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Theme="minorEastAsia" w:hAnsiTheme="minorEastAsia" w:eastAsiaTheme="minorEastAsia"/>
          <w:b/>
          <w:snapToGrid w:val="0"/>
          <w:kern w:val="0"/>
          <w:sz w:val="70"/>
          <w:szCs w:val="70"/>
          <w:highlight w:val="yellow"/>
        </w:rPr>
      </w:pPr>
      <w:r>
        <w:rPr>
          <w:rFonts w:hint="eastAsia" w:asciiTheme="minorEastAsia" w:hAnsiTheme="minorEastAsia" w:eastAsiaTheme="minorEastAsia"/>
          <w:b/>
          <w:bCs/>
          <w:snapToGrid w:val="0"/>
          <w:kern w:val="0"/>
          <w:sz w:val="70"/>
          <w:szCs w:val="70"/>
        </w:rPr>
        <w:t>网盘采购项目</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项目编号：SZZZ2023-QA0359</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pPr>
        <w:pStyle w:val="28"/>
        <w:adjustRightInd w:val="0"/>
        <w:snapToGrid w:val="0"/>
        <w:spacing w:line="300" w:lineRule="auto"/>
        <w:jc w:val="center"/>
        <w:rPr>
          <w:rFonts w:ascii="Times New Roman" w:hAnsi="Times New Roman" w:eastAsia="经典等线简"/>
          <w:b/>
          <w:snapToGrid w:val="0"/>
          <w:sz w:val="30"/>
        </w:rPr>
      </w:pPr>
    </w:p>
    <w:p/>
    <w:p/>
    <w:p>
      <w:pPr>
        <w:pStyle w:val="28"/>
        <w:adjustRightInd w:val="0"/>
        <w:snapToGrid w:val="0"/>
        <w:spacing w:line="300" w:lineRule="auto"/>
        <w:ind w:hanging="835"/>
        <w:jc w:val="center"/>
        <w:rPr>
          <w:b/>
          <w:kern w:val="0"/>
          <w:sz w:val="28"/>
          <w:szCs w:val="28"/>
        </w:rPr>
      </w:pPr>
      <w:r>
        <w:rPr>
          <w:rFonts w:hint="eastAsia"/>
          <w:b/>
          <w:snapToGrid w:val="0"/>
          <w:sz w:val="30"/>
        </w:rPr>
        <w:t>二〇二三年十一月</w:t>
      </w:r>
    </w:p>
    <w:p/>
    <w:p/>
    <w:p/>
    <w:p/>
    <w:p/>
    <w:p/>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 w:hAnsi="仿宋" w:eastAsia="仿宋"/>
          <w:sz w:val="24"/>
        </w:rPr>
      </w:pPr>
    </w:p>
    <w:p>
      <w:pPr>
        <w:spacing w:line="440" w:lineRule="exact"/>
        <w:ind w:firstLine="424" w:firstLineChars="177"/>
        <w:rPr>
          <w:rFonts w:ascii="仿宋_GB2312" w:eastAsia="仿宋_GB2312" w:hAnsiTheme="minorEastAsia"/>
          <w:b/>
          <w:color w:val="FF0000"/>
          <w:sz w:val="24"/>
        </w:rPr>
      </w:pPr>
      <w:r>
        <w:rPr>
          <w:rFonts w:hint="eastAsia" w:ascii="仿宋" w:hAnsi="仿宋" w:eastAsia="仿宋"/>
          <w:sz w:val="24"/>
        </w:rPr>
        <w:cr/>
      </w: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rFonts w:ascii="Times New Roman" w:hAnsi="Times New Roman" w:eastAsia="宋体" w:cs="Times New Roman"/>
              <w:b w:val="0"/>
              <w:bCs w:val="0"/>
              <w:iCs/>
              <w:smallCaps/>
              <w:color w:val="auto"/>
              <w:kern w:val="2"/>
              <w:sz w:val="21"/>
              <w:szCs w:val="24"/>
              <w:lang w:val="zh-CN"/>
            </w:rPr>
          </w:pPr>
          <w:bookmarkStart w:id="113" w:name="_GoBack"/>
          <w:bookmarkEnd w:id="113"/>
        </w:p>
        <w:p>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pPr>
            <w:rPr>
              <w:lang w:val="zh-CN"/>
            </w:rPr>
          </w:pPr>
        </w:p>
        <w:p>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80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85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rPr>
              <w:rFonts w:hint="eastAsia" w:ascii="仿宋_GB2312" w:eastAsia="仿宋_GB2312"/>
              <w:sz w:val="24"/>
            </w:rPr>
            <w:fldChar w:fldCharType="end"/>
          </w:r>
        </w:p>
      </w:sdtContent>
    </w:sdt>
    <w:p/>
    <w:p/>
    <w:p/>
    <w:p/>
    <w:p/>
    <w:p>
      <w:pPr>
        <w:pStyle w:val="4"/>
      </w:pPr>
      <w:bookmarkStart w:id="0" w:name="_Toc135293320"/>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网盘采购项目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2023年</w:t>
      </w:r>
      <w:r>
        <w:rPr>
          <w:rFonts w:hint="eastAsia" w:ascii="宋体" w:hAnsi="宋体" w:cs="Arial Unicode MS"/>
          <w:snapToGrid w:val="0"/>
          <w:kern w:val="0"/>
          <w:szCs w:val="21"/>
          <w:u w:val="single"/>
          <w:lang w:val="en-US" w:eastAsia="zh-CN"/>
        </w:rPr>
        <w:t>12</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11</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rPr>
        <w:t>SZZZ2023-QA0359</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2、项目名称：网盘采购项目</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26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26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pPr>
              <w:pStyle w:val="45"/>
              <w:spacing w:line="360" w:lineRule="auto"/>
              <w:jc w:val="center"/>
              <w:rPr>
                <w:sz w:val="21"/>
              </w:rPr>
            </w:pPr>
            <w:r>
              <w:rPr>
                <w:sz w:val="21"/>
              </w:rPr>
              <w:t>标的名称</w:t>
            </w:r>
          </w:p>
        </w:tc>
        <w:tc>
          <w:tcPr>
            <w:tcW w:w="850"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156"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（8）本项目不接受进口产品投标（进口产品是指通过中国海关报关验放进入中国境内且产自关境外的产品，相关内容以“财库【2007】119号文”和“财办库【2008】248号文”的相关规定为准）。</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11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日至2023年</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snapToGrid w:val="0"/>
          <w:szCs w:val="21"/>
        </w:rPr>
        <w:t>3、</w:t>
      </w:r>
      <w:r>
        <w:rPr>
          <w:rFonts w:hint="eastAsia" w:ascii="宋体" w:hAnsi="宋体" w:cs="Arial Unicode MS"/>
          <w:snapToGrid w:val="0"/>
          <w:kern w:val="0"/>
          <w:szCs w:val="21"/>
        </w:rPr>
        <w:t>方式：现场获取或线上获取</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（1）现场获取：投标人按以上时间和地点现场报名和获取招标文件，需携带以下资料:</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3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③</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4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④</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11</w:t>
      </w:r>
      <w:r>
        <w:rPr>
          <w:rFonts w:hint="eastAsia" w:ascii="宋体" w:hAnsi="宋体" w:eastAsia="宋体"/>
          <w:snapToGrid w:val="0"/>
          <w:color w:val="auto"/>
          <w:sz w:val="21"/>
          <w:szCs w:val="21"/>
          <w:u w:val="single"/>
        </w:rPr>
        <w:t>日14点30分（北京时间）</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、《关于环境标志产品政府采购实施的意见》（财库〔</w:t>
      </w:r>
      <w:r>
        <w:rPr>
          <w:rFonts w:ascii="宋体" w:hAnsi="宋体" w:eastAsia="宋体"/>
          <w:snapToGrid w:val="0"/>
          <w:color w:val="auto"/>
          <w:sz w:val="21"/>
          <w:szCs w:val="21"/>
        </w:rPr>
        <w:t>2006</w:t>
      </w:r>
      <w:r>
        <w:rPr>
          <w:rFonts w:hint="eastAsia" w:ascii="宋体" w:hAnsi="宋体" w:eastAsia="宋体"/>
          <w:snapToGrid w:val="0"/>
          <w:color w:val="auto"/>
          <w:sz w:val="21"/>
          <w:szCs w:val="21"/>
        </w:rPr>
        <w:t>〕</w:t>
      </w:r>
      <w:r>
        <w:rPr>
          <w:rFonts w:ascii="宋体" w:hAnsi="宋体" w:eastAsia="宋体"/>
          <w:snapToGrid w:val="0"/>
          <w:color w:val="auto"/>
          <w:sz w:val="21"/>
          <w:szCs w:val="21"/>
        </w:rPr>
        <w:t>90</w:t>
      </w:r>
      <w:r>
        <w:rPr>
          <w:rFonts w:hint="eastAsia" w:ascii="宋体" w:hAnsi="宋体" w:eastAsia="宋体"/>
          <w:snapToGrid w:val="0"/>
          <w:color w:val="auto"/>
          <w:sz w:val="21"/>
          <w:szCs w:val="21"/>
        </w:rPr>
        <w:t>号）、《关于印发&lt;节能产品政府采购实施意见&gt;的通知》（财库〔</w:t>
      </w:r>
      <w:r>
        <w:rPr>
          <w:rFonts w:ascii="宋体" w:hAnsi="宋体" w:eastAsia="宋体"/>
          <w:snapToGrid w:val="0"/>
          <w:color w:val="auto"/>
          <w:sz w:val="21"/>
          <w:szCs w:val="21"/>
        </w:rPr>
        <w:t>2004</w:t>
      </w:r>
      <w:r>
        <w:rPr>
          <w:rFonts w:hint="eastAsia" w:ascii="宋体" w:hAnsi="宋体" w:eastAsia="宋体"/>
          <w:snapToGrid w:val="0"/>
          <w:color w:val="auto"/>
          <w:sz w:val="21"/>
          <w:szCs w:val="21"/>
        </w:rPr>
        <w:t>〕</w:t>
      </w:r>
      <w:r>
        <w:rPr>
          <w:rFonts w:ascii="宋体" w:hAnsi="宋体" w:eastAsia="宋体"/>
          <w:snapToGrid w:val="0"/>
          <w:color w:val="auto"/>
          <w:sz w:val="21"/>
          <w:szCs w:val="21"/>
        </w:rPr>
        <w:t>185</w:t>
      </w:r>
      <w:r>
        <w:rPr>
          <w:rFonts w:hint="eastAsia" w:ascii="宋体" w:hAnsi="宋体" w:eastAsia="宋体"/>
          <w:snapToGrid w:val="0"/>
          <w:color w:val="auto"/>
          <w:sz w:val="21"/>
          <w:szCs w:val="21"/>
        </w:rPr>
        <w:t>号）、《关于调整优化节能产品、环境标志产品政府采购执行机制的通知》（财库〔</w:t>
      </w:r>
      <w:r>
        <w:rPr>
          <w:rFonts w:ascii="宋体" w:hAnsi="宋体" w:eastAsia="宋体"/>
          <w:snapToGrid w:val="0"/>
          <w:color w:val="auto"/>
          <w:sz w:val="21"/>
          <w:szCs w:val="21"/>
        </w:rPr>
        <w:t>2019</w:t>
      </w:r>
      <w:r>
        <w:rPr>
          <w:rFonts w:hint="eastAsia" w:ascii="宋体" w:hAnsi="宋体" w:eastAsia="宋体"/>
          <w:snapToGrid w:val="0"/>
          <w:color w:val="auto"/>
          <w:sz w:val="21"/>
          <w:szCs w:val="21"/>
        </w:rPr>
        <w:t>〕</w:t>
      </w:r>
      <w:r>
        <w:rPr>
          <w:rFonts w:ascii="宋体" w:hAnsi="宋体" w:eastAsia="宋体"/>
          <w:snapToGrid w:val="0"/>
          <w:color w:val="auto"/>
          <w:sz w:val="21"/>
          <w:szCs w:val="21"/>
        </w:rPr>
        <w:t>9</w:t>
      </w:r>
      <w:r>
        <w:rPr>
          <w:rFonts w:hint="eastAsia" w:ascii="宋体" w:hAnsi="宋体" w:eastAsia="宋体"/>
          <w:snapToGrid w:val="0"/>
          <w:color w:val="auto"/>
          <w:sz w:val="21"/>
          <w:szCs w:val="21"/>
        </w:rPr>
        <w:t>号）。</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名称：深圳市质量安全检验检测研究院</w:t>
      </w:r>
      <w:r>
        <w:rPr>
          <w:rFonts w:ascii="宋体" w:hAnsi="宋体" w:eastAsia="宋体"/>
          <w:snapToGrid w:val="0"/>
          <w:color w:val="auto"/>
          <w:sz w:val="21"/>
          <w:szCs w:val="21"/>
        </w:rPr>
        <w:t xml:space="preserve">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地址：深圳市罗湖区红岗路1</w:t>
      </w:r>
      <w:r>
        <w:rPr>
          <w:rFonts w:ascii="宋体" w:hAnsi="宋体" w:eastAsia="宋体"/>
          <w:snapToGrid w:val="0"/>
          <w:color w:val="auto"/>
          <w:sz w:val="21"/>
          <w:szCs w:val="21"/>
        </w:rPr>
        <w:t>032</w:t>
      </w:r>
      <w:r>
        <w:rPr>
          <w:rFonts w:hint="eastAsia" w:ascii="宋体" w:hAnsi="宋体" w:eastAsia="宋体"/>
          <w:snapToGrid w:val="0"/>
          <w:color w:val="auto"/>
          <w:sz w:val="21"/>
          <w:szCs w:val="21"/>
        </w:rPr>
        <w:t>号特检大厦</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联系方式：邓工，0</w:t>
      </w:r>
      <w:r>
        <w:rPr>
          <w:rFonts w:ascii="宋体" w:hAnsi="宋体" w:eastAsia="宋体"/>
          <w:snapToGrid w:val="0"/>
          <w:color w:val="auto"/>
          <w:sz w:val="21"/>
          <w:szCs w:val="21"/>
        </w:rPr>
        <w:t>755-25920230</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ascii="宋体" w:hAnsi="宋体"/>
          <w:snapToGrid w:val="0"/>
          <w:kern w:val="0"/>
          <w:sz w:val="24"/>
        </w:rPr>
        <w:t>2023年</w:t>
      </w:r>
      <w:r>
        <w:rPr>
          <w:rFonts w:hint="eastAsia" w:ascii="宋体" w:hAnsi="宋体"/>
          <w:snapToGrid w:val="0"/>
          <w:kern w:val="0"/>
          <w:sz w:val="24"/>
          <w:lang w:val="en-US" w:eastAsia="zh-CN"/>
        </w:rPr>
        <w:t>11</w:t>
      </w:r>
      <w:r>
        <w:rPr>
          <w:rFonts w:ascii="宋体" w:hAnsi="宋体"/>
          <w:snapToGrid w:val="0"/>
          <w:kern w:val="0"/>
          <w:sz w:val="24"/>
        </w:rPr>
        <w:t>月</w:t>
      </w:r>
      <w:r>
        <w:rPr>
          <w:rFonts w:hint="eastAsia" w:ascii="宋体" w:hAnsi="宋体"/>
          <w:snapToGrid w:val="0"/>
          <w:kern w:val="0"/>
          <w:sz w:val="24"/>
          <w:lang w:val="en-US" w:eastAsia="zh-CN"/>
        </w:rPr>
        <w:t>28</w:t>
      </w:r>
      <w:r>
        <w:rPr>
          <w:rFonts w:hint="eastAsia" w:ascii="宋体" w:hAnsi="宋体"/>
          <w:snapToGrid w:val="0"/>
          <w:kern w:val="0"/>
          <w:sz w:val="24"/>
        </w:rPr>
        <w:t>日</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2" w:firstLineChars="200"/>
        <w:jc w:val="right"/>
        <w:rPr>
          <w:rFonts w:eastAsiaTheme="minorEastAsia"/>
          <w:b/>
          <w:kern w:val="44"/>
          <w:szCs w:val="21"/>
        </w:rPr>
      </w:pPr>
    </w:p>
    <w:p>
      <w:pPr>
        <w:pStyle w:val="4"/>
      </w:pPr>
      <w:bookmarkStart w:id="1" w:name="_Toc135293321"/>
      <w:r>
        <w:rPr>
          <w:rFonts w:hint="eastAsia"/>
        </w:rPr>
        <w:t>第二章  项目需求</w:t>
      </w:r>
      <w:bookmarkEnd w:id="1"/>
    </w:p>
    <w:p>
      <w:pPr>
        <w:spacing w:after="156" w:afterLines="50" w:line="360" w:lineRule="auto"/>
        <w:ind w:left="2"/>
        <w:jc w:val="center"/>
        <w:rPr>
          <w:rFonts w:ascii="宋体" w:hAnsi="宋体"/>
          <w:b/>
          <w:sz w:val="28"/>
          <w:szCs w:val="28"/>
        </w:rPr>
      </w:pPr>
      <w:r>
        <w:rPr>
          <w:rFonts w:hint="eastAsia" w:ascii="宋体" w:hAnsi="宋体"/>
          <w:b/>
          <w:sz w:val="28"/>
          <w:szCs w:val="28"/>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4、技术参数设置为区间要求的（例如：潮气量：</w:t>
      </w:r>
      <w:r>
        <w:rPr>
          <w:rFonts w:ascii="仿宋_GB2312" w:eastAsia="仿宋_GB2312"/>
          <w:sz w:val="24"/>
        </w:rPr>
        <w:t>0-2000ML</w:t>
      </w:r>
      <w:r>
        <w:rPr>
          <w:rFonts w:hint="eastAsia" w:ascii="仿宋_GB2312" w:eastAsia="仿宋_GB2312"/>
          <w:sz w:val="24"/>
        </w:rPr>
        <w:t>），投标产品参数区间与招标要求不完全一致的均视为负偏离。</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5、对于定制类产品，投标人需在投标文件“分项价格表”中明确注明“定制”，否则该产品技术参数按负偏离处理。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6、加注▲的条款为重要条款要求，如不满足将按照第四章“评标标准”进行扣分。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7、加注★的条款为不可负偏离条款，任一项未响应或不满足要求的，将导致投标无效。</w:t>
      </w:r>
    </w:p>
    <w:p>
      <w:pPr>
        <w:spacing w:line="360" w:lineRule="auto"/>
        <w:ind w:left="510"/>
        <w:rPr>
          <w:rFonts w:eastAsia="黑体"/>
          <w:bCs/>
          <w:snapToGrid w:val="0"/>
          <w:kern w:val="0"/>
          <w:sz w:val="24"/>
        </w:rPr>
      </w:pPr>
    </w:p>
    <w:p>
      <w:pPr>
        <w:numPr>
          <w:ilvl w:val="0"/>
          <w:numId w:val="4"/>
        </w:numPr>
        <w:spacing w:line="360" w:lineRule="auto"/>
        <w:ind w:left="2"/>
        <w:rPr>
          <w:rFonts w:ascii="宋体" w:hAnsi="宋体"/>
          <w:b/>
          <w:sz w:val="24"/>
        </w:rPr>
      </w:pPr>
      <w:r>
        <w:rPr>
          <w:rFonts w:hint="eastAsia" w:ascii="宋体" w:hAnsi="宋体"/>
          <w:b/>
          <w:sz w:val="24"/>
        </w:rPr>
        <w:t>项目背景</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随着数字政府建设不断推进，云计算、大数据、物联网、移动互联网等新技术在特检领域广泛应用，采购单位各项业务运行越来越依靠数字化的基础建设。近年来，随着采购单位信息化的不断发展，内部管理文档、电子报告、图纸、视频、图片等数据出现爆发性增长，这些非结构化数据的存、管、用等问题日益突出。</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当前采购单位内部员工的重要内容数据都分散保存在各业务系统中或在员工个人本地终端上，给日常工作和知识共享复用带来极大不便，使工作效率降低，文档的安全性和有效性无法得到保障，没有对内部数字资产进行有效管理，一旦员工将内容数据丢失，将无法正常查找，导致后期工作不能正常开展。</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主要是为解决以上面临的问题，通过建立科学的统一内容管理平台，将原有分散的数据进行集中管理。在员工进行内容检索的时候通过内容管理平台自有的检索机制能快速的将内容进行提权，查找到想要了解的内容。同时通过该内容管理平台能保证采购单位内部各类非结构化数据的安全合规。</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本项目目的包括：</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数据统一存管用：构建统一的平台，汇聚全院的公文体系文件、检验业务文件、图纸等非结构化数据，进行统一存储，并实现分级分类的文档管理体系建设。</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文档在线协作：实现针对office文档、图片、视频文件的在线预览功能；实现文件共享及office类文件在线多人协同编辑，满足跨部门协作场景，提升办公效率；提供类在线文档功能进行多人编辑，可调用院内的一些文档模版进行快速创作，或者直接导入wps文件继续创作，文件需要支持精细化的权限管控能力，需要达到内容级权限。</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高效办公：内容管理平台支持多版本管理，误修改文件可还原，支持office文件版本高效差异化比对能力，版本对比结果可读性高；利用文件流转审批，将过程性文件经多级审核流转至发布文档库，供员工学习；构建强大的内容数据检索引擎，实现全文检索、标签检索的能力建设，实现文档精准高效检索。</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数据安全合规：根据各部门业务流程进行分层分级权限管理，建立全集团上下一致的权限体系；建立立体安全防护策略，进行全方位数据安全治理，保障数据使用安全。权限需要根据用户的登录地址动态收缩，支持权限流程自助申请，减少管理员授权压力。</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项目的主要用途及应用范围：</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借鉴信息系统数据安全相关国家标准建议的实施指南，作为统一内容管理平台建设的基石；采用现代的非结构化数据管理技术，将系统附件数据集中管理和保护并提供第三方的数据服务能力；建设合理的数字资产管理体系流程，完善自身在业务系统、技术和人员管理上标准和计划，提升各部门各业务系统间的数字资产综合管理能力，最大限度的发挥非结构化数字资产的作用，为实现非结构化数据知识挖掘，复用，为业务创新及人才培训持续赋能。</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项目主要内容及总体工作目标：</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通过针对质安院内部数字资产管理工作的脆弱性评估（系统、技术和人员），确定当前存在风险因素，结合非结构化数据管理的国家相关标准，制定数字资产管理的保护标准，并结合当前组织内部对内容知识的协作、使用等需求进行梳理整合。</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在制定出的数字资产管理保护标准基础上，借助统一内容管理平台，实现对各类非结构化数据的分类、发布、使用、归档、销毁整个周期管理，并保证所采用的统一内容管理平台在设计方案上的未来可扩展性。</w:t>
      </w:r>
    </w:p>
    <w:p>
      <w:pPr>
        <w:pStyle w:val="453"/>
        <w:adjustRightInd w:val="0"/>
        <w:snapToGrid w:val="0"/>
        <w:spacing w:before="0" w:beforeAutospacing="0" w:after="0" w:afterAutospacing="0" w:line="360" w:lineRule="auto"/>
        <w:ind w:firstLine="424" w:firstLineChars="202"/>
        <w:rPr>
          <w:rFonts w:ascii="宋体" w:hAnsi="宋体"/>
          <w:sz w:val="28"/>
          <w:szCs w:val="28"/>
        </w:rPr>
      </w:pPr>
      <w:r>
        <w:rPr>
          <w:rFonts w:hint="eastAsia" w:ascii="宋体" w:hAnsi="宋体" w:eastAsia="宋体"/>
          <w:snapToGrid w:val="0"/>
          <w:color w:val="auto"/>
          <w:sz w:val="21"/>
          <w:szCs w:val="21"/>
        </w:rPr>
        <w:t>对于内容管理平台的非结构化数据采用统一的集中存储管理，并建立基本的数据分级存储体系，从而实现加速组织内部数据共享协作，提升组织竞争力。</w:t>
      </w:r>
    </w:p>
    <w:p>
      <w:pPr>
        <w:spacing w:line="360" w:lineRule="auto"/>
        <w:rPr>
          <w:rFonts w:ascii="宋体" w:hAnsi="宋体"/>
          <w:b/>
          <w:sz w:val="24"/>
        </w:rPr>
      </w:pPr>
    </w:p>
    <w:p>
      <w:pPr>
        <w:spacing w:line="360" w:lineRule="auto"/>
        <w:ind w:left="2"/>
        <w:rPr>
          <w:rFonts w:ascii="宋体" w:hAnsi="宋体"/>
          <w:b/>
          <w:sz w:val="24"/>
        </w:rPr>
      </w:pPr>
      <w:r>
        <w:rPr>
          <w:rFonts w:hint="eastAsia" w:ascii="宋体" w:hAnsi="宋体"/>
          <w:b/>
          <w:sz w:val="24"/>
        </w:rPr>
        <w:t>二、采购范围</w:t>
      </w:r>
    </w:p>
    <w:p>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网盘采购项目</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pPr>
              <w:jc w:val="center"/>
              <w:rPr>
                <w:rFonts w:ascii="宋体" w:hAnsi="宋体" w:cs="宋体"/>
                <w:bCs/>
                <w:kern w:val="0"/>
                <w:szCs w:val="21"/>
              </w:rPr>
            </w:pPr>
            <w:r>
              <w:rPr>
                <w:rFonts w:hint="eastAsia" w:ascii="宋体" w:hAnsi="宋体" w:cs="宋体"/>
                <w:bCs/>
                <w:kern w:val="0"/>
                <w:szCs w:val="21"/>
              </w:rPr>
              <w:t>260000</w:t>
            </w:r>
          </w:p>
        </w:tc>
        <w:tc>
          <w:tcPr>
            <w:tcW w:w="14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pPr>
        <w:widowControl/>
        <w:snapToGrid w:val="0"/>
        <w:spacing w:line="360" w:lineRule="auto"/>
        <w:jc w:val="left"/>
        <w:rPr>
          <w:rFonts w:ascii="宋体" w:hAnsi="宋体"/>
          <w:bCs/>
          <w:snapToGrid w:val="0"/>
          <w:kern w:val="0"/>
          <w:szCs w:val="21"/>
        </w:rPr>
      </w:pPr>
    </w:p>
    <w:p>
      <w:pPr>
        <w:rPr>
          <w:rFonts w:ascii="宋体" w:hAnsi="宋体"/>
          <w:b/>
          <w:szCs w:val="21"/>
        </w:rPr>
      </w:pPr>
      <w:r>
        <w:rPr>
          <w:rFonts w:hint="eastAsia" w:ascii="宋体" w:hAnsi="宋体"/>
          <w:b/>
          <w:szCs w:val="21"/>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798"/>
        <w:gridCol w:w="850"/>
        <w:gridCol w:w="1843"/>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798"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850"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43"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pPr>
              <w:widowControl/>
              <w:spacing w:line="360" w:lineRule="auto"/>
              <w:jc w:val="center"/>
              <w:rPr>
                <w:rFonts w:ascii="宋体" w:hAnsi="宋体" w:cs="宋体"/>
                <w:b/>
                <w:kern w:val="0"/>
                <w:szCs w:val="21"/>
              </w:rPr>
            </w:pPr>
            <w:r>
              <w:rPr>
                <w:rFonts w:hint="eastAsia" w:ascii="宋体" w:hAnsi="宋体" w:cs="宋体"/>
                <w:b/>
                <w:szCs w:val="21"/>
              </w:rPr>
              <w:t>（人民币元）</w:t>
            </w:r>
          </w:p>
        </w:tc>
        <w:tc>
          <w:tcPr>
            <w:tcW w:w="620"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网盘系统</w:t>
            </w:r>
          </w:p>
        </w:tc>
        <w:tc>
          <w:tcPr>
            <w:tcW w:w="79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850"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套</w:t>
            </w:r>
          </w:p>
        </w:tc>
        <w:tc>
          <w:tcPr>
            <w:tcW w:w="1843" w:type="dxa"/>
            <w:vAlign w:val="center"/>
          </w:tcPr>
          <w:p>
            <w:pPr>
              <w:spacing w:line="360" w:lineRule="auto"/>
              <w:jc w:val="left"/>
              <w:rPr>
                <w:rFonts w:ascii="宋体" w:hAnsi="宋体" w:cs="宋体"/>
                <w:kern w:val="0"/>
                <w:szCs w:val="21"/>
              </w:rPr>
            </w:pPr>
            <w:r>
              <w:rPr>
                <w:rFonts w:hint="eastAsia" w:ascii="宋体" w:hAnsi="宋体" w:cs="宋体"/>
                <w:kern w:val="0"/>
                <w:szCs w:val="21"/>
              </w:rPr>
              <w:t>140,000.00</w:t>
            </w:r>
          </w:p>
        </w:tc>
        <w:tc>
          <w:tcPr>
            <w:tcW w:w="620" w:type="dxa"/>
            <w:vAlign w:val="center"/>
          </w:tcPr>
          <w:p>
            <w:pPr>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396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存储扩容</w:t>
            </w:r>
          </w:p>
        </w:tc>
        <w:tc>
          <w:tcPr>
            <w:tcW w:w="79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850"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套</w:t>
            </w:r>
          </w:p>
        </w:tc>
        <w:tc>
          <w:tcPr>
            <w:tcW w:w="1843" w:type="dxa"/>
            <w:vAlign w:val="center"/>
          </w:tcPr>
          <w:p>
            <w:pPr>
              <w:spacing w:line="360" w:lineRule="auto"/>
              <w:jc w:val="left"/>
              <w:rPr>
                <w:rFonts w:ascii="宋体" w:hAnsi="宋体" w:cs="宋体"/>
                <w:kern w:val="0"/>
                <w:szCs w:val="21"/>
              </w:rPr>
            </w:pPr>
            <w:r>
              <w:rPr>
                <w:rFonts w:hint="eastAsia" w:ascii="宋体" w:hAnsi="宋体" w:cs="宋体"/>
                <w:kern w:val="0"/>
                <w:szCs w:val="21"/>
              </w:rPr>
              <w:t>68,000.00</w:t>
            </w:r>
          </w:p>
        </w:tc>
        <w:tc>
          <w:tcPr>
            <w:tcW w:w="620" w:type="dxa"/>
            <w:vAlign w:val="center"/>
          </w:tcPr>
          <w:p>
            <w:pPr>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396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服务器</w:t>
            </w:r>
          </w:p>
        </w:tc>
        <w:tc>
          <w:tcPr>
            <w:tcW w:w="79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850"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台</w:t>
            </w:r>
          </w:p>
        </w:tc>
        <w:tc>
          <w:tcPr>
            <w:tcW w:w="1843" w:type="dxa"/>
            <w:vAlign w:val="center"/>
          </w:tcPr>
          <w:p>
            <w:pPr>
              <w:spacing w:line="360" w:lineRule="auto"/>
              <w:jc w:val="left"/>
              <w:rPr>
                <w:rFonts w:ascii="宋体" w:hAnsi="宋体" w:cs="宋体"/>
                <w:kern w:val="0"/>
                <w:szCs w:val="21"/>
              </w:rPr>
            </w:pPr>
            <w:r>
              <w:rPr>
                <w:rFonts w:hint="eastAsia" w:ascii="宋体" w:hAnsi="宋体" w:cs="宋体"/>
                <w:kern w:val="0"/>
                <w:szCs w:val="21"/>
              </w:rPr>
              <w:t>28,000.00</w:t>
            </w:r>
          </w:p>
        </w:tc>
        <w:tc>
          <w:tcPr>
            <w:tcW w:w="620" w:type="dxa"/>
            <w:vAlign w:val="center"/>
          </w:tcPr>
          <w:p>
            <w:pPr>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396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技术服务</w:t>
            </w:r>
          </w:p>
        </w:tc>
        <w:tc>
          <w:tcPr>
            <w:tcW w:w="79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850"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项</w:t>
            </w:r>
          </w:p>
        </w:tc>
        <w:tc>
          <w:tcPr>
            <w:tcW w:w="1843" w:type="dxa"/>
            <w:vAlign w:val="center"/>
          </w:tcPr>
          <w:p>
            <w:pPr>
              <w:spacing w:line="360" w:lineRule="auto"/>
              <w:jc w:val="left"/>
              <w:rPr>
                <w:rFonts w:ascii="宋体" w:hAnsi="宋体" w:cs="宋体"/>
                <w:kern w:val="0"/>
                <w:szCs w:val="21"/>
              </w:rPr>
            </w:pPr>
            <w:r>
              <w:rPr>
                <w:rFonts w:hint="eastAsia" w:ascii="宋体" w:hAnsi="宋体" w:cs="宋体"/>
                <w:kern w:val="0"/>
                <w:szCs w:val="21"/>
              </w:rPr>
              <w:t>24,000.00</w:t>
            </w:r>
          </w:p>
        </w:tc>
        <w:tc>
          <w:tcPr>
            <w:tcW w:w="620" w:type="dxa"/>
            <w:vAlign w:val="center"/>
          </w:tcPr>
          <w:p>
            <w:pPr>
              <w:spacing w:line="360" w:lineRule="auto"/>
              <w:jc w:val="left"/>
              <w:rPr>
                <w:rFonts w:ascii="宋体" w:hAnsi="宋体" w:cs="宋体"/>
                <w:kern w:val="0"/>
                <w:szCs w:val="21"/>
              </w:rPr>
            </w:pPr>
          </w:p>
        </w:tc>
      </w:tr>
    </w:tbl>
    <w:p>
      <w:pPr>
        <w:pStyle w:val="453"/>
        <w:adjustRightInd w:val="0"/>
        <w:snapToGrid w:val="0"/>
        <w:spacing w:before="0" w:beforeAutospacing="0" w:after="0" w:afterAutospacing="0" w:line="360" w:lineRule="auto"/>
        <w:ind w:firstLine="424" w:firstLineChars="202"/>
        <w:rPr>
          <w:rFonts w:ascii="宋体" w:hAnsi="宋体" w:eastAsia="宋体" w:cs="Times New Roman"/>
          <w:color w:val="auto"/>
          <w:kern w:val="2"/>
          <w:sz w:val="21"/>
          <w:szCs w:val="21"/>
          <w:highlight w:val="yellow"/>
        </w:rPr>
      </w:pPr>
    </w:p>
    <w:p>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pPr>
        <w:pStyle w:val="453"/>
        <w:adjustRightInd w:val="0"/>
        <w:snapToGrid w:val="0"/>
        <w:spacing w:before="0" w:beforeAutospacing="0" w:after="0" w:afterAutospacing="0" w:line="360" w:lineRule="auto"/>
        <w:ind w:firstLine="426" w:firstLineChars="202"/>
        <w:rPr>
          <w:rFonts w:ascii="宋体" w:hAnsi="宋体"/>
          <w:bCs/>
          <w:snapToGrid w:val="0"/>
          <w:szCs w:val="21"/>
        </w:rPr>
      </w:pPr>
      <w:r>
        <w:rPr>
          <w:rFonts w:hint="eastAsia" w:ascii="宋体" w:hAnsi="宋体" w:eastAsia="宋体" w:cs="Times New Roman"/>
          <w:b/>
          <w:color w:val="auto"/>
          <w:kern w:val="2"/>
          <w:sz w:val="21"/>
          <w:szCs w:val="21"/>
          <w:highlight w:val="yellow"/>
        </w:rPr>
        <w:t>（1）本项目核心产品为</w:t>
      </w:r>
      <w:r>
        <w:rPr>
          <w:rFonts w:hint="eastAsia" w:ascii="宋体" w:hAnsi="宋体"/>
          <w:b/>
          <w:bCs/>
          <w:snapToGrid w:val="0"/>
          <w:szCs w:val="21"/>
          <w:highlight w:val="yellow"/>
        </w:rPr>
        <w:t>：</w:t>
      </w:r>
      <w:r>
        <w:rPr>
          <w:rFonts w:hint="eastAsia" w:ascii="宋体" w:hAnsi="宋体"/>
          <w:b/>
          <w:bCs/>
          <w:snapToGrid w:val="0"/>
          <w:szCs w:val="21"/>
          <w:highlight w:val="yellow"/>
          <w:u w:val="single"/>
        </w:rPr>
        <w:t xml:space="preserve"> </w:t>
      </w:r>
      <w:r>
        <w:rPr>
          <w:rFonts w:hint="eastAsia" w:ascii="宋体" w:hAnsi="宋体" w:eastAsia="宋体" w:cs="Times New Roman"/>
          <w:b/>
          <w:color w:val="auto"/>
          <w:kern w:val="2"/>
          <w:sz w:val="21"/>
          <w:szCs w:val="21"/>
          <w:highlight w:val="yellow"/>
          <w:u w:val="single"/>
        </w:rPr>
        <w:t xml:space="preserve"> 网盘系统</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rPr>
        <w:t>。</w:t>
      </w:r>
      <w:r>
        <w:rPr>
          <w:rFonts w:hint="eastAsia" w:asciiTheme="minorEastAsia" w:hAnsiTheme="minorEastAsia" w:eastAsiaTheme="minorEastAsia"/>
          <w:bCs/>
          <w:snapToGrid w:val="0"/>
          <w:sz w:val="21"/>
          <w:szCs w:val="21"/>
          <w:highlight w:val="yellow"/>
        </w:rPr>
        <w:t>如同时有两家或两家以上（均为制造商的合法代理商）通过资格审查及符合性审查的合格投标人</w:t>
      </w:r>
      <w:r>
        <w:rPr>
          <w:rFonts w:hint="eastAsia" w:asciiTheme="minorEastAsia" w:hAnsiTheme="minorEastAsia" w:eastAsiaTheme="minorEastAsia"/>
          <w:b/>
          <w:bCs/>
          <w:snapToGrid w:val="0"/>
          <w:sz w:val="21"/>
          <w:szCs w:val="21"/>
          <w:highlight w:val="yellow"/>
        </w:rPr>
        <w:t>所投核心产品为相同品牌的，按一家投标人计算</w:t>
      </w:r>
      <w:r>
        <w:rPr>
          <w:rFonts w:hint="eastAsia" w:asciiTheme="minorEastAsia" w:hAnsiTheme="minorEastAsia" w:eastAsiaTheme="minorEastAsia"/>
          <w:bCs/>
          <w:snapToGrid w:val="0"/>
          <w:sz w:val="21"/>
          <w:szCs w:val="21"/>
          <w:highlight w:val="yellow"/>
        </w:rPr>
        <w:t>。在此种情况下，评审后得分最高的</w:t>
      </w:r>
      <w:r>
        <w:rPr>
          <w:rFonts w:hint="eastAsia" w:asciiTheme="minorEastAsia" w:hAnsiTheme="minorEastAsia" w:eastAsiaTheme="minorEastAsia"/>
          <w:color w:val="333333"/>
          <w:sz w:val="21"/>
          <w:szCs w:val="21"/>
          <w:highlight w:val="yellow"/>
        </w:rPr>
        <w:t>同品牌</w:t>
      </w:r>
      <w:r>
        <w:rPr>
          <w:rFonts w:hint="eastAsia" w:asciiTheme="minorEastAsia" w:hAnsiTheme="minorEastAsia" w:eastAsiaTheme="minorEastAsia"/>
          <w:bCs/>
          <w:snapToGrid w:val="0"/>
          <w:sz w:val="21"/>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asciiTheme="minorEastAsia" w:hAnsiTheme="minorEastAsia" w:eastAsiaTheme="minorEastAsia"/>
          <w:snapToGrid w:val="0"/>
          <w:sz w:val="21"/>
          <w:szCs w:val="21"/>
          <w:highlight w:val="yellow"/>
        </w:rPr>
        <w:t>以上均相同的由评标委员会采取随机抽取方式确定</w:t>
      </w:r>
      <w:r>
        <w:rPr>
          <w:rFonts w:hint="eastAsia" w:asciiTheme="minorEastAsia" w:hAnsiTheme="minorEastAsia" w:eastAsiaTheme="minorEastAsia"/>
          <w:bCs/>
          <w:snapToGrid w:val="0"/>
          <w:sz w:val="21"/>
          <w:szCs w:val="21"/>
          <w:highlight w:val="yellow"/>
        </w:rPr>
        <w:t>，其他同品牌投标人不作为候选中标供应商。</w:t>
      </w:r>
    </w:p>
    <w:p>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Pr>
        <w:spacing w:line="360" w:lineRule="auto"/>
        <w:ind w:left="2" w:firstLine="484" w:firstLineChars="201"/>
        <w:rPr>
          <w:rFonts w:ascii="宋体" w:hAnsi="宋体"/>
          <w:b/>
          <w:bCs/>
          <w:snapToGrid w:val="0"/>
          <w:kern w:val="0"/>
          <w:sz w:val="24"/>
        </w:rPr>
      </w:pPr>
    </w:p>
    <w:p>
      <w:pPr>
        <w:spacing w:line="360" w:lineRule="auto"/>
        <w:rPr>
          <w:rFonts w:ascii="宋体" w:hAnsi="宋体"/>
          <w:b/>
          <w:bCs/>
          <w:snapToGrid w:val="0"/>
          <w:kern w:val="0"/>
          <w:sz w:val="24"/>
        </w:rPr>
      </w:pPr>
      <w:r>
        <w:rPr>
          <w:rFonts w:hint="eastAsia" w:ascii="宋体" w:hAnsi="宋体"/>
          <w:b/>
          <w:bCs/>
          <w:snapToGrid w:val="0"/>
          <w:kern w:val="0"/>
          <w:sz w:val="24"/>
        </w:rPr>
        <w:t>三、技术要求</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43"/>
        <w:gridCol w:w="162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243" w:type="dxa"/>
            <w:vAlign w:val="center"/>
          </w:tcPr>
          <w:p>
            <w:pPr>
              <w:widowControl/>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指标名称</w:t>
            </w:r>
          </w:p>
        </w:tc>
        <w:tc>
          <w:tcPr>
            <w:tcW w:w="7474" w:type="dxa"/>
            <w:gridSpan w:val="2"/>
            <w:vAlign w:val="center"/>
          </w:tcPr>
          <w:p>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招标技术参数要求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restart"/>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w:t>
            </w:r>
          </w:p>
        </w:tc>
        <w:tc>
          <w:tcPr>
            <w:tcW w:w="1243" w:type="dxa"/>
            <w:vMerge w:val="restart"/>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基本功能</w:t>
            </w: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语言</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需支持（包含不限于）中文、英文、日文。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上传、下载</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1.系统各终端支持托拽上传、批量下载操作；</w:t>
            </w:r>
            <w:r>
              <w:rPr>
                <w:rFonts w:hint="eastAsia" w:asciiTheme="minorEastAsia" w:hAnsiTheme="minorEastAsia" w:eastAsiaTheme="minorEastAsia"/>
                <w:kern w:val="0"/>
                <w:szCs w:val="21"/>
              </w:rPr>
              <w:br w:type="textWrapping"/>
            </w:r>
            <w:r>
              <w:rPr>
                <w:rFonts w:hint="eastAsia" w:asciiTheme="minorEastAsia" w:hAnsiTheme="minorEastAsia" w:eastAsiaTheme="minorEastAsia"/>
                <w:kern w:val="0"/>
                <w:szCs w:val="21"/>
              </w:rPr>
              <w:t>2.各终端内需支持复制、粘贴、删除、剪贴等快捷键的操作。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文件预览类型</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1.支持常见的微软、wps文档、图片、音频、视频、Visio、project、dwg、txt等不同格式文件的在线预览；</w:t>
            </w:r>
            <w:r>
              <w:rPr>
                <w:rFonts w:hint="eastAsia" w:asciiTheme="minorEastAsia" w:hAnsiTheme="minorEastAsia" w:eastAsiaTheme="minorEastAsia"/>
                <w:kern w:val="0"/>
                <w:szCs w:val="21"/>
              </w:rPr>
              <w:br w:type="textWrapping"/>
            </w:r>
            <w:r>
              <w:rPr>
                <w:rFonts w:hint="eastAsia" w:asciiTheme="minorEastAsia" w:hAnsiTheme="minorEastAsia" w:eastAsiaTheme="minorEastAsia"/>
                <w:kern w:val="0"/>
                <w:szCs w:val="21"/>
              </w:rPr>
              <w:t>2.支持带密码的文档、压缩包的在线预览；</w:t>
            </w:r>
            <w:r>
              <w:rPr>
                <w:rFonts w:hint="eastAsia" w:asciiTheme="minorEastAsia" w:hAnsiTheme="minorEastAsia" w:eastAsiaTheme="minorEastAsia"/>
                <w:kern w:val="0"/>
                <w:szCs w:val="21"/>
              </w:rPr>
              <w:br w:type="textWrapping"/>
            </w:r>
            <w:r>
              <w:rPr>
                <w:rFonts w:hint="eastAsia" w:asciiTheme="minorEastAsia" w:hAnsiTheme="minorEastAsia" w:eastAsiaTheme="minorEastAsia"/>
                <w:kern w:val="0"/>
                <w:szCs w:val="21"/>
              </w:rPr>
              <w:t>3.对于各类格式的视频支持在线预览，且不限制视频大小。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文件查看方式</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1.提供最近访问入口，能够快速看到最近访问过的文件；</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2.提供收藏功能，收藏的文件支持分类管理；</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3.能够查看树形的目录结构；</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4.文件预览时，支持目录树预览，还需支持缩略图预览；</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5.为方便大量文件的在线预览，需支持预览模式，能够在同一个窗口连续预览文件或分屏预览，左边显示文件列表，右边显示文件内容。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文件普通搜索</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1.支持根据文件名、文件内容进行全文检索，检索支持多关键词的模糊检索、精准检索等多种方式；</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2.支持检索结果的二次筛选，根据文件夹、文件类型、创建人、更新人、更新时间等筛选查看。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文件高级检索</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1.支持根据文件所填写的元数据字段进行快速搜索；</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2.支持搜索条件保存，便于下次搜索使用。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文件动态</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1.支持对文件夹进行通知订阅，文件夹内的文件发生新增、删除、更新、共享、外发等操作时，发出站内信或者邮件通知；</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2.支持有权限的普通用户能够在前端查看文档动态，可以快速了解当前文件的预览、下载情况。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OCR识别</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▲具有Jpg、png、图片类pdf等文件OCR识别能力，OCR结果支持提取结果到附件、当前文件夹目录等，支持内容搜索。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900" w:type="dxa"/>
            <w:vMerge w:val="continue"/>
            <w:vAlign w:val="center"/>
          </w:tcPr>
          <w:p>
            <w:pPr>
              <w:spacing w:line="360" w:lineRule="auto"/>
              <w:jc w:val="center"/>
              <w:rPr>
                <w:rFonts w:asciiTheme="minorEastAsia" w:hAnsiTheme="minorEastAsia" w:eastAsiaTheme="minorEastAsia"/>
                <w:kern w:val="0"/>
                <w:szCs w:val="21"/>
              </w:rPr>
            </w:pPr>
          </w:p>
        </w:tc>
        <w:tc>
          <w:tcPr>
            <w:tcW w:w="1243" w:type="dxa"/>
            <w:vMerge w:val="continue"/>
            <w:vAlign w:val="center"/>
          </w:tcPr>
          <w:p>
            <w:pPr>
              <w:spacing w:line="360" w:lineRule="auto"/>
              <w:jc w:val="center"/>
              <w:rPr>
                <w:rFonts w:asciiTheme="minorEastAsia" w:hAnsiTheme="minorEastAsia" w:eastAsiaTheme="minorEastAsia"/>
                <w:kern w:val="0"/>
                <w:szCs w:val="21"/>
              </w:rPr>
            </w:pPr>
          </w:p>
        </w:tc>
        <w:tc>
          <w:tcPr>
            <w:tcW w:w="1620" w:type="dxa"/>
            <w:vAlign w:val="center"/>
          </w:tcPr>
          <w:p>
            <w:pPr>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文件聚合</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1.能够将存放在不同文件夹之前的文件关系，在系统内关通过功能关联起来；</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2.支持对单个文件挂载附件；</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3.能够在系统内实现文件的快捷访问，类似 windows快捷方式，实现文件离散型多维度组织。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2</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客户端</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虚拟盘</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 在“我的电脑”处添加V盘，在V盘中访问平台文件，提高访问文件简便性，完全本地化操作而文件在云端；</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▲2.支持在本地虚拟盘中对文件进行权限分配、外发文件等基本操作；</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▲3.在虚拟盘中预览编辑文件时直接调用本地软件打开，能够支持图纸文件的本地编辑场景；</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▲4.支持缓存功能，当编辑后的文件，如果发生断网，网络联通后自动上传更新。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pPr>
            <w:r>
              <w:rPr>
                <w:rFonts w:hint="eastAsia" w:cs="宋体" w:asciiTheme="minorEastAsia" w:hAnsiTheme="minorEastAsia"/>
                <w:color w:val="000000"/>
                <w:kern w:val="0"/>
                <w:szCs w:val="21"/>
              </w:rPr>
              <w:t>客户端</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客户端需支持windows、Mac、Linux，以及各类信创操作系统访问。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pPr>
            <w:r>
              <w:rPr>
                <w:rFonts w:hint="eastAsia" w:cs="宋体" w:asciiTheme="minorEastAsia" w:hAnsiTheme="minorEastAsia"/>
                <w:color w:val="000000"/>
                <w:kern w:val="0"/>
                <w:szCs w:val="21"/>
              </w:rPr>
              <w:t>移动端</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支持iOS/Android端的APP访问操作。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pPr>
            <w:r>
              <w:rPr>
                <w:rFonts w:hint="eastAsia" w:cs="宋体" w:asciiTheme="minorEastAsia" w:hAnsiTheme="minorEastAsia"/>
                <w:color w:val="000000"/>
                <w:kern w:val="0"/>
                <w:szCs w:val="21"/>
              </w:rPr>
              <w:t>H</w:t>
            </w:r>
            <w:r>
              <w:rPr>
                <w:rFonts w:cs="宋体" w:asciiTheme="minorEastAsia" w:hAnsiTheme="minorEastAsia"/>
                <w:color w:val="000000"/>
                <w:kern w:val="0"/>
                <w:szCs w:val="21"/>
              </w:rPr>
              <w:t>5</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能够嵌入第三方业务系统，通过h5的方式进行访问和操作。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pPr>
            <w:r>
              <w:rPr>
                <w:rFonts w:hint="eastAsia" w:cs="宋体" w:asciiTheme="minorEastAsia" w:hAnsiTheme="minorEastAsia"/>
                <w:color w:val="000000"/>
                <w:kern w:val="0"/>
                <w:szCs w:val="21"/>
              </w:rPr>
              <w:t>同步盘</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1.支持单向上传、下载：支持上传、下载本地文件夹内容至云端、支持下载云端文件夹至本地；</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2.支持双向同步，支持本地文件夹与云端文件的双向同步；</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3.同步记录管理，支持查看所有同步历史记录，并定位文件。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pPr>
            <w:r>
              <w:rPr>
                <w:rFonts w:hint="eastAsia" w:cs="宋体" w:asciiTheme="minorEastAsia" w:hAnsiTheme="minorEastAsia"/>
                <w:color w:val="000000"/>
                <w:kern w:val="0"/>
                <w:szCs w:val="21"/>
              </w:rPr>
              <w:t>端互通</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在Web端打开的文件支持本地虚拟盘定位与本地打开。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3</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协同协作</w:t>
            </w:r>
          </w:p>
        </w:tc>
        <w:tc>
          <w:tcPr>
            <w:tcW w:w="1620" w:type="dxa"/>
            <w:vAlign w:val="center"/>
          </w:tcPr>
          <w:p>
            <w:pPr>
              <w:widowControl/>
              <w:jc w:val="center"/>
              <w:rPr>
                <w:rFonts w:asciiTheme="minorEastAsia" w:hAnsiTheme="minorEastAsia" w:eastAsiaTheme="minorEastAsia"/>
                <w:b/>
                <w:szCs w:val="21"/>
              </w:rPr>
            </w:pPr>
            <w:r>
              <w:rPr>
                <w:rFonts w:cs="宋体" w:asciiTheme="minorEastAsia" w:hAnsiTheme="minorEastAsia"/>
                <w:color w:val="000000"/>
                <w:kern w:val="0"/>
                <w:szCs w:val="21"/>
              </w:rPr>
              <w:t>Office</w:t>
            </w:r>
            <w:r>
              <w:rPr>
                <w:rFonts w:hint="eastAsia" w:cs="宋体" w:asciiTheme="minorEastAsia" w:hAnsiTheme="minorEastAsia"/>
                <w:color w:val="000000"/>
                <w:kern w:val="0"/>
                <w:szCs w:val="21"/>
              </w:rPr>
              <w:t>文件</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1.支持在系统内预设各类office（word、excel、ppt）文档模版，能够在系统内直接基于模版创建文件；</w:t>
            </w:r>
            <w:r>
              <w:rPr>
                <w:rFonts w:hint="eastAsia" w:asciiTheme="minorEastAsia" w:hAnsiTheme="minorEastAsia" w:eastAsiaTheme="minorEastAsia"/>
                <w:kern w:val="0"/>
                <w:szCs w:val="21"/>
              </w:rPr>
              <w:br w:type="textWrapping"/>
            </w:r>
            <w:r>
              <w:rPr>
                <w:rFonts w:hint="eastAsia" w:asciiTheme="minorEastAsia" w:hAnsiTheme="minorEastAsia" w:eastAsiaTheme="minorEastAsia"/>
                <w:kern w:val="0"/>
                <w:szCs w:val="21"/>
              </w:rPr>
              <w:t>2.支持word、excel文件的在线编辑，需满足单人编辑、多人协同</w:t>
            </w:r>
            <w:r>
              <w:rPr>
                <w:rFonts w:hint="eastAsia"/>
              </w:rPr>
              <w:t>（10人及以上）</w:t>
            </w:r>
            <w:r>
              <w:rPr>
                <w:rFonts w:hint="eastAsia" w:asciiTheme="minorEastAsia" w:hAnsiTheme="minorEastAsia" w:eastAsiaTheme="minorEastAsia"/>
                <w:kern w:val="0"/>
                <w:szCs w:val="21"/>
              </w:rPr>
              <w:t>编辑等多个场景，编辑内容为避免丢失，系统应自动实时保存，为避免编辑冲突，需在客户端编辑文件时，系统支持文件自动锁定于解锁功能。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在线轻文档</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1.类在线文档功能编辑器，能够满足随想随写随记的使用场景，需提供区别于word的富文本编辑器，web端编辑时，需能支持插入图片、视频、本地文件、系统内的文件、代码块、链接、表格等丰富形式；</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2.能够支持单人、多人协同编辑（</w:t>
            </w:r>
            <w:r>
              <w:rPr>
                <w:rFonts w:hint="eastAsia"/>
              </w:rPr>
              <w:t>10人及以上</w:t>
            </w:r>
            <w:r>
              <w:rPr>
                <w:rFonts w:hint="eastAsia" w:asciiTheme="minorEastAsia" w:hAnsiTheme="minorEastAsia" w:eastAsiaTheme="minorEastAsia"/>
                <w:kern w:val="0"/>
                <w:szCs w:val="21"/>
              </w:rPr>
              <w:t>），为满足多个使用场景，在邀请人员参与文档时，能够设置权限预览、编辑权限；</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3.编辑后的轻文档，能够有历史版本记录；</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4.支持预设文档模版，满足标准文件的快速起草，比如会议纪要、工作汇报、数据收集等；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5.支持结果导出转换成word或excel格式文件。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团队库</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1.支持跨部门、跨组织的快速协同协作，能够像组建微信群一样快速将不同的人员组建起来，在团队库内进行文件协作，支持权限设置，保留协作过程资料；</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2.团队库解散后，团队库的数据支持转移到企业公共库中。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内部共享</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在系统内的文件，支持单个、批量文件进行内部人员共享，共享时可控制文件有效期、预览、下载、打印等权限。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文件普通外发</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1.支持通过链接的方式外发文件，支持设置链接的有效期、预览、下载权限、密码等；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2.外发链接支持统一管理，管理外发链接的有效期、权限等操作，外发出去的链接，访问信息均有日志记录；</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3.外发的链接能自动生成二维码，支持二维码下载，可直接扫码查看文件。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历史版本</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1.系统内的文件变动更新后，都要生成历史版本，为满足不同应用场景，版本需分为大版本和小版本，支持针对不同文件夹预设不同的版本策略，包括版本类型、版本个数等；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2.支持手动升版文件，手动升级版本时，可上传新文件；</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3.支持历史版本查看、还原、比对等操作。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批注评论</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在线预览文件时，支持在线进行截图批注、评论等操作。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消息通知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系统内的各类操作支持站内信通知、邮件通知、对接IM消息通知等操作。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4</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文件管理</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文件夹策略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支持对不同的文件夹设置空间大小、文件大小、禁止/允许文件上传类型、文件编号自动规则等。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元数据策略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1.支持添加文件自定义元数据、支持添加文件夹自定义元数据，用于存放公司业务过程中产生的大量小文件及其元数据字段；</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2.支持修改、添加、删除元数据表单字段；</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3.支持根据不同的文件夹配置不同的元数据模版；</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4.支持强制元数据，当设置强制元数据后，如文件夹内的文件没有填写元数据，则此文件不能进行预览、编辑操作。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标签</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用户根据自己分类喜好，对文件进行基于标签的分类管理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水印策略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1.支持根据不同的文件夹，配置不同的水印；</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2.水印需支持静态水印、动态水印、屏幕水印几种方式。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流程策略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1.审批流程支持以拖拽的方式自定义新增、修改调整；</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2.在审批文件时，流程支持会签、加签、串签、抄送、退回等工作流控制模式；</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3.针对不同的文件可配置不同的审批策略；</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4.为保证文件的安全性与规范性，需在文件的新增、修改、删除、外发、共享、权限申请等结算设置审批策略。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5</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安全要求</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登录安全</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1.支持短信、邮箱、Google等验证器；</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2.支持密码验证策略，包括密码复杂度、密码有效期、修改密码重复验证等；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 支持对部分IP地址进行限制登录；</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4.访问入口限制，支持对web端、客户端、移动端等入口限制部分用户访问；</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5.支持防暴力破解，可设置一定时间内验证错误次数；</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6.支持多AD域的同步和验证；</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7.针对移动端/虚拟盘支持限制绑定设备数量。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访问权限</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 三员管理：通过设置可以开启三员管理模式，分为系统管理员admin、安全保密管理员security、安全审计管理员auditor，分别管理云盘后台不同的系统信息；</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2.文件权限：支持10种以上文件权限细分，如文件可见、预览、编辑、历史版本、下载、复制、移动、重命名、打印、更新、共享、外发、管理等；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3.文件夹权限：支持10种以上文件夹权限细分，如可见、预览、编辑、历史版本、下载、复制、移动、重命名、打印、更新、共享、外发、管理等；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4.授权方式：授权支持文件/文件夹授权，授权对象支持部门/用户组/职位/用户四个维度，授权支持有效期，到期权限自动回收；</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5.权限模版：支持在管理后台设置权限模版，可以基于文件、文件夹权限自由组合配置并命名。创建完成后，用户在前端配置文件/文件夹/团队库权限时，可在下拉菜单中选择这些由管理员配置的权限模板。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敏感信息隔离</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支持对文件名与内容的敏感检查，违规文件直接进隔离区。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安全域</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1.需在管理后台满足现在内网中划分的办公网、研发网、测试网段管理；</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2.支持在不同的网段登录，能够有不同的文件权限（涉密人员在非涉密环境登录系统时，权限降级）。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回收站</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确保数据误删后可被还原。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个人库策略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为不同部门或个人设置共享/外发的允许/禁止。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日志审计</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1.从登录系统开始所有的操作都需要有日志记录，包括预览、修改、删除、共享、外发、更新等所有操作；</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2.管理员在管理后台的所有操作包括权限变动、组织架构变动等，也都需要记录；</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3.所有的日志，都需要支持条件检索、筛选、导出等操作；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9</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技术架构</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信创支持</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▲1、所投产品满足全信创自研要求，支持使用麒麟操作系统、达梦数据库；</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▲2、提供所投产品软件著作权；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存储</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1.支持S3对象存储，能需具有动态扩展、高IOPS性能、集群多副本、自我恢复、存储加密等特性；</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2.支持单实例存储，相同文件内容后台只存储一份；</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3.支持按文件/用户信息进行动态存储，满足类似不同部门不同存储、不同文件夹不同存储等个性化存储需求；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分析报表</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1.文件清单/文件夹清单，支持多条件查询和视图定义，支持excel导出；</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2.个人空间统计，团队空间报表，用户行为分析，文件新增趋势图；</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3.用户目录权限，文件夹权限记录，文件权限记录；</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4.活动用户统计图，客户端在线统计，单实例存储报表；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运维管理</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1.支持限速管理，可分配不同用户/组织的上传/下载限速，以合理分配全局网络资源；</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2.客户端支持灰度升级，适用于大规模部署与推广，有升级日志；</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 以趋势图准确展示每个时刻的活动用户，支持历史查询；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运维监控</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1.系统需支持监控平台以监控平台各项性能指标及部分删除、下载用户行，并为邮件预警；</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2.支持系统看板，图形化监控所有服务器资源消耗、网络情况以及应用服务的健康状况；</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3.支持预警中心，通过预警策略与预警动作，按条件配置各种运行类型的自定义预警；</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4.支持预警类型，支持系统资源、ICMP检测、MQ、服务状态、API响应时间、Redis、ES、HTTP检测、系统状态、NG与存储等；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5.支持健康检测，基于预警中心的拓展规则，通过主动推行脚本规则进行系统健康检测，脚本规则支持自定义；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6.支持系统监控，系统资源监控包含CPU、内存、网路、磁盘、容器等；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7.支持应用日志，毫秒级记录所有节点与服务的心跳日志、应用日志、API接口日志、Nginx日志、消息日志等；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8.支持业务统计，含外发共享统计、文档数据量、文件夹统计、转档/索引异常、lic到期提醒等；</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9.支持对大数据量的数据表监控、文档操作日志等监控功能；</w:t>
            </w:r>
          </w:p>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10.支持对存储检测、内容权限数量、列表数量超限预警检测。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color w:val="000000"/>
                <w:kern w:val="0"/>
                <w:szCs w:val="21"/>
              </w:rPr>
              <w:t>1</w:t>
            </w:r>
            <w:r>
              <w:rPr>
                <w:rFonts w:cs="宋体" w:asciiTheme="minorEastAsia" w:hAnsiTheme="minorEastAsia"/>
                <w:color w:val="000000"/>
                <w:kern w:val="0"/>
                <w:szCs w:val="21"/>
              </w:rPr>
              <w:t>0</w:t>
            </w:r>
          </w:p>
        </w:tc>
        <w:tc>
          <w:tcPr>
            <w:tcW w:w="1243" w:type="dxa"/>
            <w:vMerge w:val="restart"/>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系统对接</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单点登录</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支持与致远OA集成工作台应用、单点登录；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pPr>
              <w:widowControl/>
              <w:jc w:val="center"/>
            </w:pPr>
          </w:p>
        </w:tc>
        <w:tc>
          <w:tcPr>
            <w:tcW w:w="1243" w:type="dxa"/>
            <w:vMerge w:val="continue"/>
            <w:vAlign w:val="center"/>
          </w:tcPr>
          <w:p>
            <w:pPr>
              <w:widowControl/>
              <w:jc w:val="cente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组织架构同步</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支持同步致远OA组织架构；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pPr>
              <w:widowControl/>
              <w:jc w:val="center"/>
              <w:rPr>
                <w:rFonts w:asciiTheme="minorEastAsia" w:hAnsiTheme="minorEastAsia" w:eastAsiaTheme="minorEastAsia"/>
                <w:b/>
                <w:szCs w:val="21"/>
              </w:rPr>
            </w:pPr>
          </w:p>
        </w:tc>
        <w:tc>
          <w:tcPr>
            <w:tcW w:w="1243" w:type="dxa"/>
            <w:vMerge w:val="continue"/>
            <w:vAlign w:val="center"/>
          </w:tcPr>
          <w:p>
            <w:pPr>
              <w:widowControl/>
              <w:jc w:val="center"/>
              <w:rPr>
                <w:rFonts w:asciiTheme="minorEastAsia" w:hAnsiTheme="minorEastAsia" w:eastAsiaTheme="minorEastAsia"/>
                <w:b/>
                <w:szCs w:val="21"/>
              </w:rPr>
            </w:pP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API接口</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文档系统需具备成熟稳定API接口，需至少提供文件上传接口，满足各业务系统附件及元数据存档能力；业务系统中的所有非结构化数据均归档至文档管理系统中，业务系统不存储文件，调用文档管理系统使用。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900" w:type="dxa"/>
            <w:vMerge w:val="restart"/>
            <w:vAlign w:val="center"/>
          </w:tcPr>
          <w:p>
            <w:pPr>
              <w:widowControl/>
              <w:jc w:val="center"/>
              <w:rPr>
                <w:rFonts w:asciiTheme="minorEastAsia" w:hAnsiTheme="minorEastAsia" w:eastAsiaTheme="minorEastAsia"/>
                <w:szCs w:val="21"/>
              </w:rPr>
            </w:pPr>
            <w:r>
              <w:rPr>
                <w:rFonts w:hint="eastAsia" w:cs="宋体" w:asciiTheme="minorEastAsia" w:hAnsiTheme="minorEastAsia"/>
                <w:kern w:val="0"/>
                <w:szCs w:val="21"/>
              </w:rPr>
              <w:t>11</w:t>
            </w:r>
          </w:p>
        </w:tc>
        <w:tc>
          <w:tcPr>
            <w:tcW w:w="1243" w:type="dxa"/>
            <w:vMerge w:val="restart"/>
            <w:vAlign w:val="center"/>
          </w:tcPr>
          <w:p>
            <w:pPr>
              <w:widowControl/>
              <w:jc w:val="center"/>
              <w:rPr>
                <w:rFonts w:asciiTheme="minorEastAsia" w:hAnsiTheme="minorEastAsia" w:eastAsiaTheme="minorEastAsia"/>
                <w:b/>
                <w:szCs w:val="21"/>
                <w:highlight w:val="yellow"/>
              </w:rPr>
            </w:pPr>
            <w:r>
              <w:rPr>
                <w:rFonts w:hint="eastAsia" w:cs="宋体" w:asciiTheme="minorEastAsia" w:hAnsiTheme="minorEastAsia"/>
                <w:kern w:val="28"/>
                <w:szCs w:val="21"/>
                <w:highlight w:val="yellow"/>
              </w:rPr>
              <w:t>★</w:t>
            </w:r>
            <w:r>
              <w:rPr>
                <w:rFonts w:hint="eastAsia" w:cs="宋体" w:asciiTheme="minorEastAsia" w:hAnsiTheme="minorEastAsia"/>
                <w:kern w:val="0"/>
                <w:szCs w:val="21"/>
                <w:highlight w:val="yellow"/>
              </w:rPr>
              <w:t>硬件要求</w:t>
            </w:r>
          </w:p>
        </w:tc>
        <w:tc>
          <w:tcPr>
            <w:tcW w:w="1620" w:type="dxa"/>
            <w:vAlign w:val="center"/>
          </w:tcPr>
          <w:p>
            <w:pPr>
              <w:widowControl/>
              <w:jc w:val="center"/>
              <w:rPr>
                <w:rFonts w:asciiTheme="minorEastAsia" w:hAnsiTheme="minorEastAsia" w:eastAsiaTheme="minorEastAsia"/>
                <w:b/>
                <w:szCs w:val="21"/>
                <w:highlight w:val="yellow"/>
              </w:rPr>
            </w:pPr>
            <w:r>
              <w:rPr>
                <w:rFonts w:hint="eastAsia" w:cs="宋体" w:asciiTheme="minorEastAsia" w:hAnsiTheme="minorEastAsia"/>
                <w:kern w:val="0"/>
                <w:szCs w:val="21"/>
                <w:highlight w:val="yellow"/>
              </w:rPr>
              <w:t>存储空间</w:t>
            </w:r>
          </w:p>
        </w:tc>
        <w:tc>
          <w:tcPr>
            <w:tcW w:w="5854" w:type="dxa"/>
            <w:vAlign w:val="center"/>
          </w:tcPr>
          <w:p>
            <w:pPr>
              <w:spacing w:line="360" w:lineRule="auto"/>
              <w:jc w:val="left"/>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配置不低于11块10TB 7.2K RPM NL SAS硬盘单元(3.5")+1个3.5英寸24盘位硬盘框，兼容Oceanstor 5210 V5增强版存储；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900" w:type="dxa"/>
            <w:vMerge w:val="continue"/>
            <w:vAlign w:val="center"/>
          </w:tcPr>
          <w:p>
            <w:pPr>
              <w:widowControl/>
              <w:jc w:val="center"/>
            </w:pPr>
          </w:p>
        </w:tc>
        <w:tc>
          <w:tcPr>
            <w:tcW w:w="1243" w:type="dxa"/>
            <w:vMerge w:val="continue"/>
            <w:vAlign w:val="center"/>
          </w:tcPr>
          <w:p>
            <w:pPr>
              <w:widowControl/>
              <w:jc w:val="center"/>
              <w:rPr>
                <w:highlight w:val="yellow"/>
              </w:rPr>
            </w:pPr>
          </w:p>
        </w:tc>
        <w:tc>
          <w:tcPr>
            <w:tcW w:w="1620" w:type="dxa"/>
            <w:vAlign w:val="center"/>
          </w:tcPr>
          <w:p>
            <w:pPr>
              <w:widowControl/>
              <w:jc w:val="center"/>
              <w:rPr>
                <w:rFonts w:asciiTheme="minorEastAsia" w:hAnsiTheme="minorEastAsia" w:eastAsiaTheme="minorEastAsia"/>
                <w:b/>
                <w:szCs w:val="21"/>
                <w:highlight w:val="yellow"/>
              </w:rPr>
            </w:pPr>
            <w:r>
              <w:rPr>
                <w:rFonts w:hint="eastAsia" w:cs="宋体" w:asciiTheme="minorEastAsia" w:hAnsiTheme="minorEastAsia"/>
                <w:kern w:val="0"/>
                <w:szCs w:val="21"/>
                <w:highlight w:val="yellow"/>
              </w:rPr>
              <w:t>O</w:t>
            </w:r>
            <w:r>
              <w:rPr>
                <w:rFonts w:cs="宋体" w:asciiTheme="minorEastAsia" w:hAnsiTheme="minorEastAsia"/>
                <w:kern w:val="0"/>
                <w:szCs w:val="21"/>
                <w:highlight w:val="yellow"/>
              </w:rPr>
              <w:t>CR</w:t>
            </w:r>
            <w:r>
              <w:rPr>
                <w:rFonts w:hint="eastAsia" w:cs="宋体" w:asciiTheme="minorEastAsia" w:hAnsiTheme="minorEastAsia"/>
                <w:kern w:val="0"/>
                <w:szCs w:val="21"/>
                <w:highlight w:val="yellow"/>
              </w:rPr>
              <w:t>服务器</w:t>
            </w:r>
          </w:p>
        </w:tc>
        <w:tc>
          <w:tcPr>
            <w:tcW w:w="5854" w:type="dxa"/>
            <w:vAlign w:val="center"/>
          </w:tcPr>
          <w:p>
            <w:pPr>
              <w:spacing w:line="360" w:lineRule="auto"/>
              <w:jc w:val="left"/>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yellow"/>
              </w:rPr>
              <w:t>配置OCR服务器性能不低于16C 2.3GHz， 64G， 3块2TB硬盘，3060的显卡，1个千兆网口，兼容centos7.9。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1243" w:type="dxa"/>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技术服务</w:t>
            </w:r>
          </w:p>
        </w:tc>
        <w:tc>
          <w:tcPr>
            <w:tcW w:w="1620" w:type="dxa"/>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技术服务</w:t>
            </w:r>
          </w:p>
        </w:tc>
        <w:tc>
          <w:tcPr>
            <w:tcW w:w="5854" w:type="dxa"/>
            <w:vAlign w:val="center"/>
          </w:tcPr>
          <w:p>
            <w:pPr>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安装调试本项目软硬件设备，包括但不限于需求调研、系统部署、系统初始化、系统培训、系统上线、项目验收；所投网盘系统需要与现网 OA 对接，实现单点登录等功能。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Align w:val="center"/>
          </w:tcPr>
          <w:p>
            <w:pPr>
              <w:widowControl/>
              <w:jc w:val="center"/>
              <w:rPr>
                <w:rFonts w:asciiTheme="minorEastAsia" w:hAnsiTheme="minorEastAsia"/>
                <w:szCs w:val="21"/>
              </w:rPr>
            </w:pPr>
            <w:r>
              <w:rPr>
                <w:rFonts w:hint="eastAsia" w:cs="宋体" w:asciiTheme="minorEastAsia" w:hAnsiTheme="minorEastAsia"/>
                <w:color w:val="000000"/>
                <w:kern w:val="0"/>
                <w:szCs w:val="21"/>
              </w:rPr>
              <w:t>13</w:t>
            </w:r>
          </w:p>
        </w:tc>
        <w:tc>
          <w:tcPr>
            <w:tcW w:w="1243"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授权</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用户授权</w:t>
            </w:r>
          </w:p>
        </w:tc>
        <w:tc>
          <w:tcPr>
            <w:tcW w:w="5854" w:type="dxa"/>
            <w:vAlign w:val="center"/>
          </w:tcPr>
          <w:p>
            <w:pPr>
              <w:spacing w:line="360" w:lineRule="auto"/>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提供至少500个在线用户数授权</w:t>
            </w:r>
            <w:r>
              <w:rPr>
                <w:rFonts w:hint="eastAsia" w:asciiTheme="minorEastAsia" w:hAnsiTheme="minorEastAsia" w:eastAsiaTheme="minorEastAsia"/>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00" w:type="dxa"/>
            <w:vAlign w:val="center"/>
          </w:tcPr>
          <w:p>
            <w:pPr>
              <w:widowControl/>
              <w:jc w:val="center"/>
              <w:rPr>
                <w:rFonts w:asciiTheme="minorEastAsia" w:hAnsiTheme="minorEastAsia"/>
                <w:szCs w:val="21"/>
              </w:rPr>
            </w:pPr>
            <w:r>
              <w:rPr>
                <w:rFonts w:hint="eastAsia" w:cs="宋体" w:asciiTheme="minorEastAsia" w:hAnsiTheme="minorEastAsia"/>
                <w:color w:val="000000"/>
                <w:kern w:val="0"/>
                <w:szCs w:val="21"/>
              </w:rPr>
              <w:t>14</w:t>
            </w:r>
          </w:p>
        </w:tc>
        <w:tc>
          <w:tcPr>
            <w:tcW w:w="1243"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所投网盘厂家资质要求</w:t>
            </w:r>
          </w:p>
        </w:tc>
        <w:tc>
          <w:tcPr>
            <w:tcW w:w="1620" w:type="dxa"/>
            <w:vAlign w:val="center"/>
          </w:tcPr>
          <w:p>
            <w:pPr>
              <w:widowControl/>
              <w:jc w:val="center"/>
              <w:rPr>
                <w:rFonts w:asciiTheme="minorEastAsia" w:hAnsiTheme="minorEastAsia" w:eastAsiaTheme="minorEastAsia"/>
                <w:b/>
                <w:szCs w:val="21"/>
              </w:rPr>
            </w:pPr>
            <w:r>
              <w:rPr>
                <w:rFonts w:hint="eastAsia" w:cs="宋体" w:asciiTheme="minorEastAsia" w:hAnsiTheme="minorEastAsia"/>
                <w:color w:val="000000"/>
                <w:kern w:val="0"/>
                <w:szCs w:val="21"/>
              </w:rPr>
              <w:t>等级保护</w:t>
            </w:r>
          </w:p>
        </w:tc>
        <w:tc>
          <w:tcPr>
            <w:tcW w:w="5854" w:type="dxa"/>
            <w:vAlign w:val="center"/>
          </w:tcPr>
          <w:p>
            <w:pPr>
              <w:spacing w:line="360" w:lineRule="auto"/>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提供所投网盘厂家国家信息安全等级保护三级或以上证明材料</w:t>
            </w:r>
            <w:r>
              <w:rPr>
                <w:rFonts w:hint="eastAsia" w:asciiTheme="minorEastAsia" w:hAnsiTheme="minorEastAsia" w:eastAsiaTheme="minorEastAsia"/>
                <w:kern w:val="0"/>
                <w:szCs w:val="21"/>
                <w:lang w:eastAsia="zh-CN"/>
              </w:rPr>
              <w:t>。</w:t>
            </w:r>
          </w:p>
        </w:tc>
      </w:tr>
    </w:tbl>
    <w:p>
      <w:pPr>
        <w:spacing w:line="360" w:lineRule="auto"/>
        <w:rPr>
          <w:rFonts w:ascii="宋体" w:hAnsi="宋体"/>
          <w:b/>
          <w:bCs/>
          <w:snapToGrid w:val="0"/>
          <w:kern w:val="0"/>
          <w:sz w:val="24"/>
        </w:rPr>
      </w:pPr>
    </w:p>
    <w:p>
      <w:pPr>
        <w:spacing w:line="360" w:lineRule="auto"/>
        <w:rPr>
          <w:rFonts w:ascii="宋体" w:hAnsi="宋体"/>
          <w:b/>
          <w:bCs/>
          <w:snapToGrid w:val="0"/>
          <w:kern w:val="0"/>
          <w:sz w:val="24"/>
        </w:rPr>
      </w:pPr>
      <w:r>
        <w:rPr>
          <w:rFonts w:hint="eastAsia" w:ascii="宋体" w:hAnsi="宋体"/>
          <w:b/>
          <w:bCs/>
          <w:snapToGrid w:val="0"/>
          <w:kern w:val="0"/>
          <w:sz w:val="24"/>
        </w:rPr>
        <w:t>四、商务要求</w:t>
      </w:r>
    </w:p>
    <w:tbl>
      <w:tblPr>
        <w:tblStyle w:val="50"/>
        <w:tblW w:w="10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620"/>
        <w:gridCol w:w="7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620"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7559"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0013" w:type="dxa"/>
            <w:gridSpan w:val="3"/>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Align w:val="center"/>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维修响应及故障解决时间</w:t>
            </w:r>
          </w:p>
        </w:tc>
        <w:tc>
          <w:tcPr>
            <w:tcW w:w="7559" w:type="dxa"/>
          </w:tcPr>
          <w:p>
            <w:pPr>
              <w:spacing w:line="276" w:lineRule="auto"/>
              <w:rPr>
                <w:rFonts w:asciiTheme="minorEastAsia" w:hAnsiTheme="minorEastAsia" w:eastAsiaTheme="minorEastAsia"/>
                <w:bCs/>
                <w:szCs w:val="21"/>
              </w:rPr>
            </w:pPr>
            <w:r>
              <w:rPr>
                <w:rFonts w:hint="eastAsia" w:cs="宋体" w:asciiTheme="minorEastAsia" w:hAnsiTheme="minorEastAsia"/>
                <w:color w:val="000000"/>
                <w:szCs w:val="21"/>
              </w:rPr>
              <w:t>▲</w:t>
            </w:r>
            <w:r>
              <w:rPr>
                <w:rFonts w:hint="eastAsia" w:asciiTheme="minorEastAsia" w:hAnsiTheme="minorEastAsia"/>
                <w:bCs/>
                <w:szCs w:val="21"/>
              </w:rPr>
              <w:t>1.1在保</w:t>
            </w:r>
            <w:r>
              <w:rPr>
                <w:rFonts w:hint="eastAsia" w:asciiTheme="minorEastAsia" w:hAnsiTheme="minorEastAsia"/>
                <w:bCs/>
                <w:color w:val="000000"/>
                <w:szCs w:val="21"/>
              </w:rPr>
              <w:t>修期内，一旦发生质量问题，</w:t>
            </w:r>
            <w:r>
              <w:rPr>
                <w:rFonts w:hint="eastAsia" w:asciiTheme="minorEastAsia" w:hAnsiTheme="minorEastAsia" w:eastAsiaTheme="minorEastAsia"/>
                <w:szCs w:val="21"/>
              </w:rPr>
              <w:t>1小时内响应，4小时内到现场，24小时内解决问题。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1620" w:type="dxa"/>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产品安全承诺</w:t>
            </w:r>
          </w:p>
        </w:tc>
        <w:tc>
          <w:tcPr>
            <w:tcW w:w="7559" w:type="dxa"/>
          </w:tcPr>
          <w:p>
            <w:pPr>
              <w:spacing w:line="276" w:lineRule="auto"/>
              <w:rPr>
                <w:rFonts w:asciiTheme="minorEastAsia" w:hAnsiTheme="minorEastAsia"/>
                <w:bCs/>
                <w:szCs w:val="21"/>
              </w:rPr>
            </w:pPr>
            <w:r>
              <w:rPr>
                <w:rFonts w:hint="eastAsia" w:asciiTheme="minorEastAsia" w:hAnsiTheme="minorEastAsia"/>
                <w:bCs/>
                <w:szCs w:val="21"/>
              </w:rPr>
              <w:t>2.1请投标人提供承诺所需产品不存在任何形式侵犯用户权益的恶意代码的证明材料或承诺函（格式自拟）。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3</w:t>
            </w:r>
          </w:p>
        </w:tc>
        <w:tc>
          <w:tcPr>
            <w:tcW w:w="1620" w:type="dxa"/>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关于免费保修期</w:t>
            </w:r>
          </w:p>
        </w:tc>
        <w:tc>
          <w:tcPr>
            <w:tcW w:w="7559" w:type="dxa"/>
          </w:tcPr>
          <w:p>
            <w:pPr>
              <w:spacing w:line="276" w:lineRule="auto"/>
              <w:rPr>
                <w:rFonts w:asciiTheme="minorEastAsia" w:hAnsiTheme="minorEastAsia" w:eastAsiaTheme="minorEastAsia"/>
                <w:color w:val="FF0000"/>
                <w:kern w:val="0"/>
                <w:szCs w:val="21"/>
              </w:rPr>
            </w:pPr>
            <w:r>
              <w:rPr>
                <w:rFonts w:hint="eastAsia" w:asciiTheme="minorEastAsia" w:hAnsiTheme="minorEastAsia"/>
                <w:bCs/>
                <w:szCs w:val="21"/>
              </w:rPr>
              <w:t>3</w:t>
            </w:r>
            <w:r>
              <w:rPr>
                <w:rFonts w:asciiTheme="minorEastAsia" w:hAnsiTheme="minorEastAsia"/>
                <w:bCs/>
                <w:szCs w:val="21"/>
              </w:rPr>
              <w:t>.1</w:t>
            </w:r>
            <w:r>
              <w:rPr>
                <w:rFonts w:hint="eastAsia" w:asciiTheme="minorEastAsia" w:hAnsiTheme="minorEastAsia"/>
                <w:bCs/>
                <w:szCs w:val="21"/>
              </w:rPr>
              <w:t>货物免费保修期</w:t>
            </w:r>
            <w:r>
              <w:rPr>
                <w:rFonts w:asciiTheme="minorEastAsia" w:hAnsiTheme="minorEastAsia"/>
                <w:szCs w:val="21"/>
                <w:u w:val="single"/>
              </w:rPr>
              <w:t xml:space="preserve"> </w:t>
            </w:r>
            <w:r>
              <w:rPr>
                <w:rFonts w:hint="eastAsia" w:asciiTheme="minorEastAsia" w:hAnsiTheme="minorEastAsia"/>
                <w:szCs w:val="21"/>
                <w:u w:val="single"/>
              </w:rPr>
              <w:t>1</w:t>
            </w:r>
            <w:r>
              <w:rPr>
                <w:rFonts w:asciiTheme="minorEastAsia" w:hAnsiTheme="minorEastAsia"/>
                <w:szCs w:val="21"/>
                <w:u w:val="single"/>
              </w:rPr>
              <w:t xml:space="preserve"> </w:t>
            </w:r>
            <w:r>
              <w:rPr>
                <w:rFonts w:hint="eastAsia" w:asciiTheme="minorEastAsia" w:hAnsiTheme="minorEastAsia"/>
                <w:bCs/>
                <w:szCs w:val="21"/>
              </w:rPr>
              <w:t>年(或以上)，时间自最终验收合格并交付使用之日起计算。免费保修期内，</w:t>
            </w:r>
            <w:r>
              <w:rPr>
                <w:rFonts w:hint="eastAsia" w:asciiTheme="minorEastAsia" w:hAnsiTheme="minorEastAsia"/>
                <w:color w:val="000000"/>
                <w:szCs w:val="21"/>
              </w:rPr>
              <w:t>所有服务及配件全部免费。系指中标人提供的所有产品在非使用者人为破坏情况下，出现任何质量问题造成产品不能使用时，由中标人免费维修、更换以确保产品正常使用的时间期限。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4</w:t>
            </w:r>
          </w:p>
        </w:tc>
        <w:tc>
          <w:tcPr>
            <w:tcW w:w="1620" w:type="dxa"/>
            <w:vAlign w:val="center"/>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其他</w:t>
            </w:r>
          </w:p>
        </w:tc>
        <w:tc>
          <w:tcPr>
            <w:tcW w:w="7559" w:type="dxa"/>
            <w:vAlign w:val="center"/>
          </w:tcPr>
          <w:p>
            <w:pPr>
              <w:spacing w:line="276" w:lineRule="auto"/>
              <w:rPr>
                <w:rFonts w:asciiTheme="minorEastAsia" w:hAnsiTheme="minorEastAsia" w:eastAsiaTheme="minorEastAsia"/>
                <w:b/>
                <w:szCs w:val="21"/>
              </w:rPr>
            </w:pPr>
            <w:r>
              <w:rPr>
                <w:rFonts w:hint="eastAsia" w:asciiTheme="minorEastAsia" w:hAnsiTheme="minorEastAsia"/>
                <w:bCs/>
                <w:szCs w:val="21"/>
              </w:rPr>
              <w:t>4.1投标人应按其投标文件中的承诺进行其他售后技术支持服务工作。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013" w:type="dxa"/>
            <w:gridSpan w:val="3"/>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szCs w:val="21"/>
              </w:rPr>
              <w:t>交货要求</w:t>
            </w:r>
          </w:p>
        </w:tc>
        <w:tc>
          <w:tcPr>
            <w:tcW w:w="7559" w:type="dxa"/>
          </w:tcPr>
          <w:p>
            <w:pPr>
              <w:spacing w:line="276" w:lineRule="auto"/>
              <w:rPr>
                <w:rFonts w:asciiTheme="minorEastAsia" w:hAnsiTheme="minorEastAsia" w:eastAsiaTheme="minorEastAsia"/>
                <w:b/>
                <w:szCs w:val="21"/>
              </w:rPr>
            </w:pPr>
            <w:r>
              <w:rPr>
                <w:rFonts w:hint="eastAsia" w:asciiTheme="minorEastAsia" w:hAnsiTheme="minorEastAsia"/>
                <w:bCs/>
                <w:szCs w:val="21"/>
              </w:rPr>
              <w:t>1.1交货地点：广东省深圳市。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szCs w:val="21"/>
              </w:rPr>
            </w:pPr>
          </w:p>
        </w:tc>
        <w:tc>
          <w:tcPr>
            <w:tcW w:w="7559" w:type="dxa"/>
          </w:tcPr>
          <w:p>
            <w:pPr>
              <w:spacing w:line="276" w:lineRule="auto"/>
              <w:rPr>
                <w:rFonts w:asciiTheme="minorEastAsia" w:hAnsiTheme="minorEastAsia" w:eastAsiaTheme="minorEastAsia"/>
                <w:bCs/>
                <w:szCs w:val="21"/>
              </w:rPr>
            </w:pPr>
            <w:r>
              <w:rPr>
                <w:rFonts w:hint="eastAsia" w:asciiTheme="minorEastAsia" w:hAnsiTheme="minorEastAsia"/>
                <w:bCs/>
                <w:szCs w:val="21"/>
              </w:rPr>
              <w:t>1.2投标人需承担的设备运输、安装调试、验收检测和提供设备操作说明书、图纸等其他类似的义务。供应商应派有经验的技术人员到现场进行安装、调试，直到设备正常使用。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szCs w:val="21"/>
              </w:rPr>
            </w:pPr>
          </w:p>
        </w:tc>
        <w:tc>
          <w:tcPr>
            <w:tcW w:w="7559" w:type="dxa"/>
          </w:tcPr>
          <w:p>
            <w:pPr>
              <w:spacing w:line="276" w:lineRule="auto"/>
              <w:rPr>
                <w:rFonts w:asciiTheme="minorEastAsia" w:hAnsiTheme="minorEastAsia" w:eastAsiaTheme="minorEastAsia"/>
                <w:bCs/>
                <w:szCs w:val="21"/>
              </w:rPr>
            </w:pPr>
            <w:r>
              <w:rPr>
                <w:rFonts w:hint="eastAsia" w:cs="宋体" w:asciiTheme="minorEastAsia" w:hAnsiTheme="minorEastAsia"/>
                <w:b/>
                <w:szCs w:val="21"/>
                <w:highlight w:val="yellow"/>
              </w:rPr>
              <w:t>★1</w:t>
            </w:r>
            <w:r>
              <w:rPr>
                <w:rFonts w:hint="eastAsia" w:asciiTheme="minorEastAsia" w:hAnsiTheme="minorEastAsia"/>
                <w:bCs/>
                <w:szCs w:val="21"/>
                <w:highlight w:val="yellow"/>
              </w:rPr>
              <w:t>.3交货期：系指合同签订之日起至货物运抵采购人指定地点，并且完成安装、调试，验收合格交付使用的时间。具体是指：合同签订后</w:t>
            </w:r>
            <w:r>
              <w:rPr>
                <w:rFonts w:asciiTheme="minorEastAsia" w:hAnsiTheme="minorEastAsia"/>
                <w:bCs/>
                <w:szCs w:val="21"/>
                <w:highlight w:val="yellow"/>
                <w:u w:val="single"/>
              </w:rPr>
              <w:t xml:space="preserve">  </w:t>
            </w:r>
            <w:r>
              <w:rPr>
                <w:rFonts w:hint="eastAsia" w:asciiTheme="minorEastAsia" w:hAnsiTheme="minorEastAsia"/>
                <w:bCs/>
                <w:szCs w:val="21"/>
                <w:highlight w:val="yellow"/>
                <w:u w:val="single"/>
              </w:rPr>
              <w:t xml:space="preserve"> 30 </w:t>
            </w:r>
            <w:r>
              <w:rPr>
                <w:rFonts w:asciiTheme="minorEastAsia" w:hAnsiTheme="minorEastAsia"/>
                <w:bCs/>
                <w:szCs w:val="21"/>
                <w:highlight w:val="yellow"/>
                <w:u w:val="single"/>
              </w:rPr>
              <w:t xml:space="preserve">  </w:t>
            </w:r>
            <w:r>
              <w:rPr>
                <w:rFonts w:hint="eastAsia" w:asciiTheme="minorEastAsia" w:hAnsiTheme="minorEastAsia"/>
                <w:bCs/>
                <w:szCs w:val="21"/>
                <w:highlight w:val="yellow"/>
              </w:rPr>
              <w:t>个日历日内。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34" w:type="dxa"/>
            <w:vMerge w:val="continue"/>
            <w:vAlign w:val="center"/>
          </w:tcPr>
          <w:p>
            <w:pPr>
              <w:spacing w:line="360" w:lineRule="auto"/>
            </w:pPr>
          </w:p>
        </w:tc>
        <w:tc>
          <w:tcPr>
            <w:tcW w:w="1620" w:type="dxa"/>
            <w:vMerge w:val="continue"/>
            <w:vAlign w:val="center"/>
          </w:tcPr>
          <w:p>
            <w:pPr>
              <w:spacing w:line="360" w:lineRule="auto"/>
            </w:pPr>
          </w:p>
        </w:tc>
        <w:tc>
          <w:tcPr>
            <w:tcW w:w="7559" w:type="dxa"/>
          </w:tcPr>
          <w:p>
            <w:pPr>
              <w:spacing w:line="276" w:lineRule="auto"/>
              <w:rPr>
                <w:rFonts w:asciiTheme="minorEastAsia" w:hAnsiTheme="minorEastAsia" w:eastAsiaTheme="minorEastAsia"/>
                <w:spacing w:val="-3"/>
                <w:szCs w:val="21"/>
              </w:rPr>
            </w:pPr>
            <w:r>
              <w:rPr>
                <w:rFonts w:hint="eastAsia" w:asciiTheme="minorEastAsia" w:hAnsiTheme="minorEastAsia"/>
                <w:bCs/>
                <w:szCs w:val="21"/>
              </w:rPr>
              <w:t>1.</w:t>
            </w:r>
            <w:r>
              <w:rPr>
                <w:rFonts w:asciiTheme="minorEastAsia" w:hAnsiTheme="minorEastAsia"/>
                <w:bCs/>
                <w:szCs w:val="21"/>
              </w:rPr>
              <w:t>4</w:t>
            </w:r>
            <w:r>
              <w:rPr>
                <w:rFonts w:hint="eastAsia" w:asciiTheme="minorEastAsia" w:hAnsiTheme="minorEastAsia"/>
                <w:bCs/>
                <w:szCs w:val="21"/>
              </w:rPr>
              <w:t>▲供应商提供的各种文件载明的内容需真实，采购人对产品的技术数据置疑时有权要求供应商按照双方认可的第三方检测机构出具的检验方法进行检测(检测费用由供应商承担)，检测结果需证明供应商提供的技术数据是真实的，否则视为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276" w:lineRule="auto"/>
              <w:jc w:val="center"/>
              <w:rPr>
                <w:rFonts w:asciiTheme="minorEastAsia" w:hAnsiTheme="minorEastAsia" w:eastAsiaTheme="minorEastAsia"/>
                <w:b/>
                <w:szCs w:val="21"/>
              </w:rPr>
            </w:pPr>
            <w:r>
              <w:rPr>
                <w:rFonts w:hint="eastAsia" w:asciiTheme="minorEastAsia" w:hAnsiTheme="minorEastAsia"/>
                <w:b/>
                <w:szCs w:val="21"/>
              </w:rPr>
              <w:t>2</w:t>
            </w:r>
          </w:p>
        </w:tc>
        <w:tc>
          <w:tcPr>
            <w:tcW w:w="1620" w:type="dxa"/>
            <w:vMerge w:val="restart"/>
            <w:vAlign w:val="center"/>
          </w:tcPr>
          <w:p>
            <w:pPr>
              <w:spacing w:line="276"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rPr>
              <w:t>关于验收</w:t>
            </w:r>
          </w:p>
        </w:tc>
        <w:tc>
          <w:tcPr>
            <w:tcW w:w="7559" w:type="dxa"/>
          </w:tcPr>
          <w:p>
            <w:pPr>
              <w:spacing w:line="276" w:lineRule="auto"/>
              <w:rPr>
                <w:rFonts w:asciiTheme="minorEastAsia" w:hAnsiTheme="minorEastAsia" w:eastAsiaTheme="minorEastAsia"/>
                <w:bCs/>
                <w:szCs w:val="21"/>
              </w:rPr>
            </w:pPr>
            <w:r>
              <w:rPr>
                <w:rFonts w:hint="eastAsia" w:asciiTheme="minorEastAsia" w:hAnsiTheme="minorEastAsia"/>
                <w:bCs/>
                <w:szCs w:val="21"/>
              </w:rPr>
              <w:t>2.1投标人货物经过双方检验认可后，签署验收报告，产品保修期自验收合格之日起算，由投标人提供产品保修文件。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276" w:lineRule="auto"/>
              <w:jc w:val="center"/>
              <w:rPr>
                <w:rFonts w:asciiTheme="minorEastAsia" w:hAnsiTheme="minorEastAsia" w:eastAsiaTheme="minorEastAsia"/>
                <w:b/>
                <w:szCs w:val="21"/>
              </w:rPr>
            </w:pPr>
          </w:p>
        </w:tc>
        <w:tc>
          <w:tcPr>
            <w:tcW w:w="1620" w:type="dxa"/>
            <w:vMerge w:val="continue"/>
            <w:vAlign w:val="center"/>
          </w:tcPr>
          <w:p>
            <w:pPr>
              <w:spacing w:line="276" w:lineRule="auto"/>
              <w:rPr>
                <w:rFonts w:asciiTheme="minorEastAsia" w:hAnsiTheme="minorEastAsia" w:eastAsiaTheme="minorEastAsia"/>
                <w:b/>
                <w:szCs w:val="21"/>
              </w:rPr>
            </w:pPr>
          </w:p>
        </w:tc>
        <w:tc>
          <w:tcPr>
            <w:tcW w:w="7559" w:type="dxa"/>
          </w:tcPr>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2.2验收要求：货物需满足以下条件后方可被用户方接受： </w:t>
            </w:r>
          </w:p>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  1）货物具备产品合格证。</w:t>
            </w:r>
          </w:p>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  2）设备全新,外观无伤痕变形或明显修饰痕迹。</w:t>
            </w:r>
          </w:p>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  3）如有国标，需符合有关规定；如无国标，则按照行业标准；如无国标及行业标准，则按双方约定执行。投标文件提供的技术数据经实测证实是真实的。检验及质量保证期内达到的性能指标与要求一致，达到或优于相应标准。</w:t>
            </w:r>
          </w:p>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  4）技术文件资料、备件等已按规定数量移交完毕。</w:t>
            </w:r>
          </w:p>
          <w:p>
            <w:pPr>
              <w:tabs>
                <w:tab w:val="left" w:pos="1260"/>
              </w:tabs>
              <w:spacing w:line="276" w:lineRule="auto"/>
              <w:rPr>
                <w:rFonts w:asciiTheme="minorEastAsia" w:hAnsiTheme="minorEastAsia"/>
                <w:bCs/>
                <w:szCs w:val="21"/>
              </w:rPr>
            </w:pPr>
            <w:r>
              <w:rPr>
                <w:rFonts w:hint="eastAsia" w:asciiTheme="minorEastAsia" w:hAnsiTheme="minorEastAsia"/>
                <w:bCs/>
                <w:szCs w:val="21"/>
              </w:rPr>
              <w:t xml:space="preserve">  5）按照招标书要求及投标文件提供的技术要求验收需合格。</w:t>
            </w:r>
          </w:p>
          <w:p>
            <w:pPr>
              <w:tabs>
                <w:tab w:val="left" w:pos="1260"/>
              </w:tabs>
              <w:spacing w:line="276" w:lineRule="auto"/>
              <w:rPr>
                <w:rFonts w:asciiTheme="minorEastAsia" w:hAnsiTheme="minorEastAsia" w:eastAsiaTheme="minorEastAsia"/>
                <w:bCs/>
                <w:szCs w:val="21"/>
              </w:rPr>
            </w:pPr>
            <w:r>
              <w:rPr>
                <w:rFonts w:hint="eastAsia" w:asciiTheme="minorEastAsia" w:hAnsiTheme="minorEastAsia"/>
                <w:bCs/>
                <w:szCs w:val="21"/>
              </w:rPr>
              <w:t xml:space="preserve">  6）在货物安装调试合格后，本项目内设备稳定运行，经验收合格后，双方共同签署验收报告。产品质保期自验收合格之日起算，由供应商提供产品质保文件。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276" w:lineRule="auto"/>
              <w:jc w:val="center"/>
              <w:rPr>
                <w:rFonts w:asciiTheme="minorEastAsia" w:hAnsiTheme="minorEastAsia" w:eastAsiaTheme="minorEastAsia"/>
                <w:b/>
                <w:szCs w:val="21"/>
              </w:rPr>
            </w:pPr>
          </w:p>
        </w:tc>
        <w:tc>
          <w:tcPr>
            <w:tcW w:w="1620" w:type="dxa"/>
            <w:vMerge w:val="continue"/>
            <w:vAlign w:val="center"/>
          </w:tcPr>
          <w:p>
            <w:pPr>
              <w:spacing w:line="276" w:lineRule="auto"/>
              <w:rPr>
                <w:rFonts w:asciiTheme="minorEastAsia" w:hAnsiTheme="minorEastAsia" w:eastAsiaTheme="minorEastAsia"/>
                <w:b/>
                <w:szCs w:val="21"/>
              </w:rPr>
            </w:pPr>
          </w:p>
        </w:tc>
        <w:tc>
          <w:tcPr>
            <w:tcW w:w="7559" w:type="dxa"/>
          </w:tcPr>
          <w:p>
            <w:pPr>
              <w:spacing w:line="276" w:lineRule="auto"/>
              <w:rPr>
                <w:rFonts w:asciiTheme="minorEastAsia" w:hAnsiTheme="minorEastAsia" w:eastAsiaTheme="minorEastAsia"/>
                <w:bCs/>
                <w:szCs w:val="21"/>
              </w:rPr>
            </w:pPr>
            <w:r>
              <w:rPr>
                <w:rFonts w:hint="eastAsia" w:asciiTheme="minorEastAsia" w:hAnsiTheme="minorEastAsia"/>
                <w:bCs/>
                <w:szCs w:val="21"/>
              </w:rPr>
              <w:t>2.3由采购人按合同和招标、投标文件约定的要求和标准及中华人民共和国现行的验收规范和评定标准进行交货验收。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34" w:type="dxa"/>
            <w:vAlign w:val="center"/>
          </w:tcPr>
          <w:p>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c>
          <w:tcPr>
            <w:tcW w:w="1620" w:type="dxa"/>
            <w:vAlign w:val="center"/>
          </w:tcPr>
          <w:p>
            <w:pPr>
              <w:pStyle w:val="256"/>
              <w:spacing w:beforeLines="0" w:line="360" w:lineRule="auto"/>
              <w:ind w:firstLine="0" w:firstLineChars="0"/>
              <w:rPr>
                <w:rFonts w:hint="eastAsia" w:asciiTheme="minorEastAsia" w:hAnsiTheme="minorEastAsia" w:eastAsiaTheme="minorEastAsia"/>
                <w:b/>
                <w:kern w:val="0"/>
                <w:szCs w:val="21"/>
              </w:rPr>
            </w:pPr>
            <w:r>
              <w:rPr>
                <w:rFonts w:hint="eastAsia" w:asciiTheme="minorEastAsia" w:hAnsiTheme="minorEastAsia" w:eastAsiaTheme="minorEastAsia"/>
                <w:b/>
              </w:rPr>
              <w:t>实施人员要求（岗位要求、数量）</w:t>
            </w:r>
          </w:p>
        </w:tc>
        <w:tc>
          <w:tcPr>
            <w:tcW w:w="7559" w:type="dxa"/>
            <w:vAlign w:val="center"/>
          </w:tcPr>
          <w:p>
            <w:pPr>
              <w:pStyle w:val="95"/>
              <w:spacing w:line="360" w:lineRule="exact"/>
              <w:ind w:firstLine="0" w:firstLineChars="0"/>
              <w:jc w:val="center"/>
              <w:rPr>
                <w:rFonts w:hint="eastAsia" w:asciiTheme="minorEastAsia" w:hAnsiTheme="minorEastAsia" w:eastAsiaTheme="minorEastAsia"/>
                <w:bCs/>
                <w:kern w:val="0"/>
                <w:szCs w:val="21"/>
              </w:rPr>
            </w:pPr>
            <w:r>
              <w:rPr>
                <w:rFonts w:hint="eastAsia" w:asciiTheme="minorEastAsia" w:hAnsiTheme="minorEastAsia" w:eastAsiaTheme="minorEastAsia"/>
                <w:bCs/>
                <w:kern w:val="0"/>
                <w:szCs w:val="21"/>
              </w:rPr>
              <w:t>3.1</w:t>
            </w:r>
            <w:r>
              <w:rPr>
                <w:rFonts w:hint="eastAsia" w:asciiTheme="minorEastAsia" w:hAnsiTheme="minorEastAsia" w:eastAsiaTheme="minorEastAsia"/>
                <w:bCs/>
                <w:kern w:val="0"/>
                <w:szCs w:val="21"/>
                <w:lang w:val="en-US" w:eastAsia="zh-CN"/>
              </w:rPr>
              <w:t>中标人应派</w:t>
            </w:r>
            <w:r>
              <w:rPr>
                <w:rFonts w:hint="eastAsia" w:asciiTheme="minorEastAsia" w:hAnsiTheme="minorEastAsia" w:eastAsiaTheme="minorEastAsia"/>
                <w:bCs/>
                <w:kern w:val="0"/>
                <w:szCs w:val="21"/>
              </w:rPr>
              <w:t>项目负责人</w:t>
            </w:r>
            <w:r>
              <w:rPr>
                <w:rFonts w:hint="eastAsia" w:asciiTheme="minorEastAsia" w:hAnsiTheme="minorEastAsia" w:eastAsiaTheme="minorEastAsia"/>
                <w:bCs/>
                <w:kern w:val="0"/>
                <w:szCs w:val="21"/>
                <w:lang w:val="en-US" w:eastAsia="zh-CN"/>
              </w:rPr>
              <w:t>1人</w:t>
            </w:r>
            <w:r>
              <w:rPr>
                <w:rFonts w:hint="eastAsia" w:asciiTheme="minorEastAsia" w:hAnsiTheme="minorEastAsia" w:eastAsiaTheme="minorEastAsia"/>
                <w:bCs/>
                <w:kern w:val="0"/>
                <w:szCs w:val="21"/>
              </w:rPr>
              <w:t>，除项目负责人外项目</w:t>
            </w:r>
            <w:r>
              <w:rPr>
                <w:rFonts w:hint="eastAsia" w:asciiTheme="minorEastAsia" w:hAnsiTheme="minorEastAsia" w:eastAsiaTheme="minorEastAsia"/>
                <w:bCs/>
                <w:kern w:val="0"/>
                <w:szCs w:val="21"/>
                <w:lang w:val="en-US" w:eastAsia="zh-CN"/>
              </w:rPr>
              <w:t>具体实施人员</w:t>
            </w:r>
            <w:r>
              <w:rPr>
                <w:rFonts w:hint="eastAsia" w:asciiTheme="minorEastAsia" w:hAnsiTheme="minorEastAsia" w:eastAsiaTheme="minorEastAsia"/>
                <w:bCs/>
                <w:kern w:val="0"/>
                <w:szCs w:val="21"/>
              </w:rPr>
              <w:t>不少于1人。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34" w:type="dxa"/>
            <w:vAlign w:val="center"/>
          </w:tcPr>
          <w:p>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4</w:t>
            </w:r>
          </w:p>
        </w:tc>
        <w:tc>
          <w:tcPr>
            <w:tcW w:w="1620"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rPr>
              <w:t>培训</w:t>
            </w: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bCs/>
                <w:kern w:val="0"/>
                <w:szCs w:val="21"/>
              </w:rPr>
              <w:t>4.1中标人应派专业技术人员免费对采购单位指定人员进行定期培训及指导，直至其完全掌握设备的基本故障处理技术。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hint="eastAsia" w:asciiTheme="minorEastAsia" w:hAnsiTheme="minorEastAsia" w:eastAsiaTheme="minorEastAsia"/>
                <w:b/>
                <w:kern w:val="0"/>
                <w:szCs w:val="21"/>
                <w:lang w:eastAsia="zh-CN"/>
              </w:rPr>
            </w:pPr>
            <w:r>
              <w:rPr>
                <w:rFonts w:hint="eastAsia" w:asciiTheme="minorEastAsia" w:hAnsiTheme="minorEastAsia" w:eastAsiaTheme="minorEastAsia"/>
                <w:b/>
                <w:kern w:val="0"/>
                <w:szCs w:val="21"/>
                <w:lang w:val="en-US" w:eastAsia="zh-CN"/>
              </w:rPr>
              <w:t>5</w:t>
            </w:r>
          </w:p>
        </w:tc>
        <w:tc>
          <w:tcPr>
            <w:tcW w:w="1620" w:type="dxa"/>
            <w:vMerge w:val="restart"/>
            <w:vAlign w:val="center"/>
          </w:tcPr>
          <w:p>
            <w:pPr>
              <w:tabs>
                <w:tab w:val="left" w:pos="1260"/>
              </w:tabs>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知识产权</w:t>
            </w:r>
          </w:p>
        </w:tc>
        <w:tc>
          <w:tcPr>
            <w:tcW w:w="7559" w:type="dxa"/>
          </w:tcPr>
          <w:p>
            <w:pPr>
              <w:tabs>
                <w:tab w:val="left" w:pos="1260"/>
              </w:tabs>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5.1投标人应保证采购人在使用该货物或其任何一部分时，免受第三方提出的侵犯其专利权、商标权、著作权或其它知识产权的起诉。投标人保证所提供软件的合法性，所发生的任何知识产权纠纷与采购人无关。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34" w:type="dxa"/>
            <w:vMerge w:val="continue"/>
            <w:vAlign w:val="center"/>
          </w:tcPr>
          <w:p>
            <w:pPr>
              <w:spacing w:line="360" w:lineRule="auto"/>
              <w:jc w:val="center"/>
              <w:rPr>
                <w:rFonts w:asciiTheme="minorEastAsia" w:hAnsiTheme="minorEastAsia" w:eastAsiaTheme="minorEastAsia"/>
                <w:b/>
                <w:kern w:val="0"/>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5.2采购人购买产品后，有权对该产品与其他设备进行配套、整合或适当改进，而免受侵犯专利权的起诉。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34" w:type="dxa"/>
            <w:vAlign w:val="center"/>
          </w:tcPr>
          <w:p>
            <w:pPr>
              <w:spacing w:line="360"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6</w:t>
            </w:r>
          </w:p>
        </w:tc>
        <w:tc>
          <w:tcPr>
            <w:tcW w:w="1620" w:type="dxa"/>
            <w:vAlign w:val="center"/>
          </w:tcPr>
          <w:p>
            <w:pPr>
              <w:spacing w:line="360" w:lineRule="auto"/>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付款方式</w:t>
            </w:r>
          </w:p>
        </w:tc>
        <w:tc>
          <w:tcPr>
            <w:tcW w:w="7559" w:type="dxa"/>
          </w:tcPr>
          <w:p>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kern w:val="0"/>
                <w:szCs w:val="21"/>
              </w:rPr>
              <w:t>6.1</w:t>
            </w:r>
            <w:r>
              <w:rPr>
                <w:rFonts w:hint="eastAsia" w:ascii="宋体" w:hAnsi="宋体" w:cs="宋体"/>
                <w:bCs/>
                <w:szCs w:val="21"/>
              </w:rPr>
              <w:t>签订合同后，采购人向中标人支付合同总价的30%作为预付款，</w:t>
            </w:r>
            <w:r>
              <w:rPr>
                <w:rFonts w:hint="eastAsia" w:asciiTheme="minorEastAsia" w:hAnsiTheme="minorEastAsia" w:eastAsiaTheme="minorEastAsia"/>
                <w:kern w:val="0"/>
                <w:szCs w:val="21"/>
              </w:rPr>
              <w:t>货到指定地点并验收合格后支付合同总价的70%。</w:t>
            </w:r>
            <w:r>
              <w:rPr>
                <w:rFonts w:hint="eastAsia" w:ascii="宋体" w:hAnsi="宋体" w:cs="宋体"/>
                <w:bCs/>
                <w:szCs w:val="21"/>
              </w:rPr>
              <w:t>每次</w:t>
            </w:r>
            <w:r>
              <w:rPr>
                <w:rFonts w:hint="eastAsia" w:ascii="宋体" w:hAnsi="宋体" w:cs="宋体"/>
                <w:bCs/>
                <w:szCs w:val="21"/>
                <w:lang w:eastAsia="zh-TW"/>
              </w:rPr>
              <w:t>按合同支付款项前，中标人</w:t>
            </w:r>
            <w:r>
              <w:rPr>
                <w:rFonts w:hint="eastAsia" w:ascii="宋体" w:hAnsi="宋体" w:cs="宋体"/>
                <w:bCs/>
                <w:szCs w:val="21"/>
              </w:rPr>
              <w:t>应</w:t>
            </w:r>
            <w:r>
              <w:rPr>
                <w:rFonts w:hint="eastAsia" w:ascii="宋体" w:hAnsi="宋体" w:cs="宋体"/>
                <w:bCs/>
                <w:szCs w:val="21"/>
                <w:lang w:eastAsia="zh-TW"/>
              </w:rPr>
              <w:t>向采购人提供与支付金额相符的有效发票，且收款方、出具发票方、合同乙方均必须与中标人名称一致</w:t>
            </w: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34" w:type="dxa"/>
            <w:vMerge w:val="restart"/>
            <w:vAlign w:val="center"/>
          </w:tcPr>
          <w:p>
            <w:pPr>
              <w:spacing w:line="276" w:lineRule="auto"/>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1620" w:type="dxa"/>
            <w:vMerge w:val="restart"/>
            <w:vAlign w:val="center"/>
          </w:tcPr>
          <w:p>
            <w:pPr>
              <w:spacing w:line="276" w:lineRule="auto"/>
              <w:jc w:val="center"/>
              <w:rPr>
                <w:rFonts w:asciiTheme="minorEastAsia" w:hAnsiTheme="minorEastAsia" w:eastAsiaTheme="minorEastAsia"/>
                <w:b/>
                <w:kern w:val="0"/>
                <w:szCs w:val="21"/>
              </w:rPr>
            </w:pPr>
            <w:r>
              <w:rPr>
                <w:rFonts w:hint="eastAsia" w:asciiTheme="minorEastAsia" w:hAnsiTheme="minorEastAsia"/>
                <w:b/>
                <w:bCs/>
                <w:szCs w:val="21"/>
              </w:rPr>
              <w:t>关于违约</w:t>
            </w: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7.1中标人不能交货的，需偿付不能交货部分货款的10 %的违约金并按主管部门相关规定处理。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34" w:type="dxa"/>
            <w:vMerge w:val="continue"/>
            <w:vAlign w:val="center"/>
          </w:tcPr>
          <w:p>
            <w:pPr>
              <w:spacing w:line="276" w:lineRule="auto"/>
              <w:jc w:val="center"/>
              <w:rPr>
                <w:rFonts w:asciiTheme="minorEastAsia" w:hAnsiTheme="minorEastAsia" w:eastAsiaTheme="minorEastAsia"/>
                <w:b/>
                <w:szCs w:val="21"/>
              </w:rPr>
            </w:pPr>
          </w:p>
        </w:tc>
        <w:tc>
          <w:tcPr>
            <w:tcW w:w="1620" w:type="dxa"/>
            <w:vMerge w:val="continue"/>
            <w:vAlign w:val="center"/>
          </w:tcPr>
          <w:p>
            <w:pPr>
              <w:spacing w:line="276"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7.2中标人逾期交货的，每延迟一日，应按合同价款每日万分之五支付违约金。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276" w:lineRule="auto"/>
              <w:jc w:val="center"/>
              <w:rPr>
                <w:rFonts w:asciiTheme="minorEastAsia" w:hAnsiTheme="minorEastAsia" w:eastAsiaTheme="minorEastAsia"/>
                <w:b/>
                <w:szCs w:val="21"/>
              </w:rPr>
            </w:pPr>
          </w:p>
        </w:tc>
        <w:tc>
          <w:tcPr>
            <w:tcW w:w="1620" w:type="dxa"/>
            <w:vMerge w:val="continue"/>
            <w:vAlign w:val="center"/>
          </w:tcPr>
          <w:p>
            <w:pPr>
              <w:spacing w:line="276"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7.3中标人所交付产品、工程或服务不符合其投标承诺的，或在投标阶段为了中标而盲目虚假承诺、低价恶性竞争，在履约阶段则通过偷工减料、以次充好而获取利润的，中标人应向采购人支付本合同项下费用总价款 </w:t>
            </w:r>
            <w:r>
              <w:rPr>
                <w:rFonts w:asciiTheme="minorEastAsia" w:hAnsiTheme="minorEastAsia" w:eastAsiaTheme="minorEastAsia"/>
                <w:kern w:val="0"/>
                <w:szCs w:val="21"/>
              </w:rPr>
              <w:t>2</w:t>
            </w:r>
            <w:r>
              <w:rPr>
                <w:rFonts w:hint="eastAsia" w:asciiTheme="minorEastAsia" w:hAnsiTheme="minorEastAsia" w:eastAsiaTheme="minorEastAsia"/>
                <w:kern w:val="0"/>
                <w:szCs w:val="21"/>
              </w:rPr>
              <w:t>0%的违约金，并被履约评价工作实施机构评为履约等级“差”并按主管部门相关规定处理。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8</w:t>
            </w:r>
          </w:p>
        </w:tc>
        <w:tc>
          <w:tcPr>
            <w:tcW w:w="1620" w:type="dxa"/>
            <w:vAlign w:val="center"/>
          </w:tcPr>
          <w:p>
            <w:pPr>
              <w:spacing w:line="276" w:lineRule="auto"/>
              <w:jc w:val="center"/>
              <w:rPr>
                <w:rFonts w:asciiTheme="minorEastAsia" w:hAnsiTheme="minorEastAsia" w:eastAsiaTheme="minorEastAsia"/>
                <w:b/>
                <w:kern w:val="0"/>
                <w:szCs w:val="21"/>
              </w:rPr>
            </w:pPr>
            <w:r>
              <w:rPr>
                <w:rFonts w:hint="eastAsia" w:asciiTheme="minorEastAsia" w:hAnsiTheme="minorEastAsia"/>
                <w:b/>
                <w:szCs w:val="21"/>
              </w:rPr>
              <w:t>技术资料</w:t>
            </w:r>
          </w:p>
        </w:tc>
        <w:tc>
          <w:tcPr>
            <w:tcW w:w="7559" w:type="dxa"/>
            <w:vAlign w:val="center"/>
          </w:tcPr>
          <w:p>
            <w:pPr>
              <w:spacing w:line="276" w:lineRule="auto"/>
              <w:jc w:val="left"/>
              <w:rPr>
                <w:rFonts w:asciiTheme="minorEastAsia" w:hAnsiTheme="minorEastAsia" w:eastAsiaTheme="minorEastAsia"/>
                <w:b/>
                <w:szCs w:val="21"/>
              </w:rPr>
            </w:pPr>
            <w:r>
              <w:rPr>
                <w:rFonts w:hint="eastAsia" w:asciiTheme="minorEastAsia" w:hAnsiTheme="minorEastAsia"/>
                <w:bCs/>
                <w:szCs w:val="21"/>
              </w:rPr>
              <w:t>8.1供应商提供说明书、操作手册等。</w:t>
            </w:r>
          </w:p>
        </w:tc>
      </w:tr>
    </w:tbl>
    <w:p/>
    <w:p/>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pStyle w:val="4"/>
      </w:pPr>
      <w:bookmarkStart w:id="2" w:name="_Toc135293322"/>
      <w:r>
        <w:rPr>
          <w:rFonts w:hint="eastAsia"/>
        </w:rPr>
        <w:t>第三章  投标文件初审</w:t>
      </w:r>
      <w:bookmarkEnd w:id="2"/>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4" w:firstLineChars="202"/>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二、符合性审查</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6、投标报价有严重缺漏项的。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
    <w:p/>
    <w:p>
      <w:pPr>
        <w:pStyle w:val="4"/>
      </w:pPr>
      <w:bookmarkStart w:id="3" w:name="_Toc135293323"/>
      <w:r>
        <w:rPr>
          <w:rFonts w:hint="eastAsia"/>
        </w:rPr>
        <w:t>第四章  评标方法和标准</w:t>
      </w:r>
      <w:bookmarkEnd w:id="3"/>
    </w:p>
    <w:p>
      <w:pPr>
        <w:pStyle w:val="6"/>
        <w:spacing w:before="0" w:after="0"/>
      </w:pPr>
      <w:bookmarkStart w:id="4" w:name="_Toc44690429"/>
      <w:bookmarkStart w:id="5" w:name="_Toc44690702"/>
      <w:bookmarkStart w:id="6" w:name="_Toc44691393"/>
      <w:bookmarkStart w:id="7" w:name="_Toc135293324"/>
      <w:bookmarkStart w:id="8" w:name="_Toc44691161"/>
      <w:r>
        <w:rPr>
          <w:rFonts w:hint="eastAsia"/>
        </w:rPr>
        <w:t>一、</w:t>
      </w:r>
      <w:r>
        <w:t>评标方法</w:t>
      </w:r>
      <w:bookmarkEnd w:id="4"/>
      <w:bookmarkEnd w:id="5"/>
      <w:bookmarkEnd w:id="6"/>
      <w:bookmarkEnd w:id="7"/>
      <w:bookmarkEnd w:id="8"/>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3、中标人及候选中标供应商数量：</w:t>
      </w:r>
      <w:r>
        <w:rPr>
          <w:rFonts w:hint="eastAsia" w:cs="仿宋" w:asciiTheme="minorEastAsia" w:hAnsiTheme="minorEastAsia" w:eastAsiaTheme="minorEastAsia"/>
          <w:kern w:val="2"/>
          <w:sz w:val="21"/>
          <w:szCs w:val="21"/>
        </w:rPr>
        <w:t>中标人数量：1名，候选中标供应商数量：1名。</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作为候选中标供应商。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6、确定中标人：</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6"/>
        <w:spacing w:before="0" w:after="0"/>
      </w:pPr>
      <w:bookmarkStart w:id="9" w:name="_Toc135293325"/>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52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6"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pPr>
              <w:widowControl/>
              <w:spacing w:line="360" w:lineRule="exact"/>
              <w:jc w:val="center"/>
              <w:rPr>
                <w:rFonts w:ascii="宋体" w:hAnsi="宋体" w:cs="仿宋"/>
                <w:kern w:val="0"/>
                <w:szCs w:val="21"/>
              </w:rPr>
            </w:pPr>
            <w:r>
              <w:rPr>
                <w:rFonts w:hint="eastAsia" w:ascii="宋体" w:hAnsi="宋体" w:cs="仿宋"/>
                <w:kern w:val="0"/>
                <w:szCs w:val="21"/>
              </w:rPr>
              <w:t>47</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（一）评分内容：</w:t>
            </w:r>
          </w:p>
          <w:p>
            <w:pPr>
              <w:spacing w:line="360" w:lineRule="exact"/>
              <w:jc w:val="left"/>
              <w:rPr>
                <w:rFonts w:ascii="宋体" w:hAnsi="宋体" w:cs="仿宋"/>
                <w:szCs w:val="21"/>
              </w:rPr>
            </w:pPr>
            <w:r>
              <w:rPr>
                <w:rFonts w:hint="eastAsia" w:ascii="宋体" w:hAnsi="宋体" w:cs="仿宋"/>
                <w:szCs w:val="21"/>
              </w:rPr>
              <w:t>投标人应如实填写《技术规格偏离表》，各项技术参数指标及要求全部满足的得 47分；“▲”参数为重要指标，每负偏离一项扣3分；其余指标每负偏离一项扣 0.2分，</w:t>
            </w:r>
            <w:r>
              <w:rPr>
                <w:rFonts w:hint="eastAsia" w:ascii="宋体" w:hAnsi="宋体"/>
                <w:bCs/>
                <w:szCs w:val="21"/>
              </w:rPr>
              <w:t>最低0分</w:t>
            </w:r>
            <w:r>
              <w:rPr>
                <w:rFonts w:hint="eastAsia" w:ascii="宋体" w:hAnsi="宋体" w:cs="仿宋"/>
                <w:szCs w:val="21"/>
              </w:rPr>
              <w:t>。技术</w:t>
            </w:r>
            <w:r>
              <w:rPr>
                <w:rFonts w:hint="eastAsia" w:ascii="宋体" w:hAnsi="宋体" w:cs="仿宋"/>
                <w:szCs w:val="21"/>
                <w:lang w:val="zh-CN"/>
              </w:rPr>
              <w:t>要求中包含细项条款的，按细项条款响应情况逐项评分。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spacing w:line="360" w:lineRule="exact"/>
              <w:jc w:val="left"/>
              <w:rPr>
                <w:rFonts w:ascii="宋体" w:hAnsi="宋体" w:cs="仿宋"/>
                <w:szCs w:val="21"/>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Cs w:val="21"/>
              </w:rPr>
              <w:t>对于不同货物的技术要求中的相同项不满足时按一项不满足进行扣分，不对某一项技术要求重复扣分。</w:t>
            </w:r>
            <w:r>
              <w:rPr>
                <w:rFonts w:hint="eastAsia" w:ascii="宋体" w:hAnsi="宋体" w:cs="仿宋"/>
                <w:szCs w:val="21"/>
                <w:lang w:val="zh-CN"/>
              </w:rPr>
              <w:t>技术要求中包含子项参数的，按子项参数响应情况逐项评分。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78" w:hRule="atLeast"/>
          <w:jc w:val="center"/>
        </w:trPr>
        <w:tc>
          <w:tcPr>
            <w:tcW w:w="754" w:type="dxa"/>
            <w:vAlign w:val="center"/>
          </w:tcPr>
          <w:p>
            <w:pPr>
              <w:spacing w:line="276" w:lineRule="auto"/>
              <w:jc w:val="center"/>
              <w:rPr>
                <w:rFonts w:ascii="宋体" w:hAnsi="宋体"/>
                <w:kern w:val="0"/>
                <w:szCs w:val="21"/>
              </w:rPr>
            </w:pPr>
            <w:r>
              <w:rPr>
                <w:rFonts w:hint="eastAsia" w:cs="宋体" w:asciiTheme="minorEastAsia" w:hAnsiTheme="minorEastAsia"/>
                <w:szCs w:val="21"/>
              </w:rPr>
              <w:t>2</w:t>
            </w:r>
          </w:p>
        </w:tc>
        <w:tc>
          <w:tcPr>
            <w:tcW w:w="1143" w:type="dxa"/>
            <w:vAlign w:val="center"/>
          </w:tcPr>
          <w:p>
            <w:pPr>
              <w:spacing w:line="276" w:lineRule="auto"/>
              <w:jc w:val="center"/>
              <w:rPr>
                <w:rFonts w:ascii="宋体" w:hAnsi="宋体" w:cs="宋体"/>
                <w:szCs w:val="21"/>
              </w:rPr>
            </w:pPr>
            <w:r>
              <w:rPr>
                <w:rFonts w:hint="eastAsia" w:cs="宋体" w:asciiTheme="minorEastAsia" w:hAnsiTheme="minorEastAsia"/>
                <w:color w:val="000000"/>
                <w:szCs w:val="21"/>
              </w:rPr>
              <w:t>拟安排项目团队情况</w:t>
            </w:r>
          </w:p>
        </w:tc>
        <w:tc>
          <w:tcPr>
            <w:tcW w:w="709" w:type="dxa"/>
            <w:vAlign w:val="center"/>
          </w:tcPr>
          <w:p>
            <w:pPr>
              <w:spacing w:line="276" w:lineRule="auto"/>
              <w:jc w:val="center"/>
              <w:rPr>
                <w:rFonts w:ascii="宋体" w:hAnsi="宋体" w:cs="宋体"/>
                <w:kern w:val="0"/>
                <w:szCs w:val="21"/>
              </w:rPr>
            </w:pPr>
            <w:r>
              <w:rPr>
                <w:rFonts w:hint="eastAsia" w:cs="宋体" w:asciiTheme="minorEastAsia" w:hAnsiTheme="minorEastAsia"/>
                <w:szCs w:val="21"/>
              </w:rPr>
              <w:t>5</w:t>
            </w:r>
          </w:p>
        </w:tc>
        <w:tc>
          <w:tcPr>
            <w:tcW w:w="5953" w:type="dxa"/>
            <w:vAlign w:val="center"/>
          </w:tcPr>
          <w:p>
            <w:pPr>
              <w:rPr>
                <w:rFonts w:ascii="宋体" w:hAnsi="宋体" w:cs="宋体"/>
                <w:bCs/>
                <w:szCs w:val="21"/>
              </w:rPr>
            </w:pPr>
            <w:r>
              <w:rPr>
                <w:rFonts w:hint="eastAsia" w:cs="宋体" w:asciiTheme="minorEastAsia" w:hAnsiTheme="minorEastAsia"/>
                <w:szCs w:val="21"/>
              </w:rPr>
              <w:t>（一）评分内容：</w:t>
            </w:r>
          </w:p>
          <w:p>
            <w:pPr>
              <w:jc w:val="left"/>
              <w:rPr>
                <w:rFonts w:cs="宋体" w:asciiTheme="minorEastAsia" w:hAnsiTheme="minorEastAsia"/>
                <w:szCs w:val="21"/>
              </w:rPr>
            </w:pPr>
            <w:r>
              <w:rPr>
                <w:rFonts w:hint="eastAsia" w:cs="宋体" w:asciiTheme="minorEastAsia" w:hAnsiTheme="minorEastAsia"/>
                <w:szCs w:val="21"/>
              </w:rPr>
              <w:t>1、拟安排项目负责人（仅限一人）具有信息系统项目管理师证书或PMP 项目经理认证证书的，得2分；</w:t>
            </w:r>
          </w:p>
          <w:p>
            <w:pPr>
              <w:jc w:val="left"/>
              <w:rPr>
                <w:rFonts w:cs="宋体" w:asciiTheme="minorEastAsia" w:hAnsiTheme="minorEastAsia"/>
                <w:szCs w:val="21"/>
              </w:rPr>
            </w:pPr>
            <w:r>
              <w:rPr>
                <w:rFonts w:hint="eastAsia" w:cs="宋体" w:asciiTheme="minorEastAsia" w:hAnsiTheme="minorEastAsia"/>
                <w:szCs w:val="21"/>
              </w:rPr>
              <w:t>2、拟安排项目团队成员（项目负责人除外）提供1人同时具有存储专家（HCIE-Storage）和云计算专家（HCIE-Cloud Computing）认证证书得3分；</w:t>
            </w:r>
            <w:r>
              <w:rPr>
                <w:rFonts w:cs="宋体" w:asciiTheme="minorEastAsia" w:hAnsiTheme="minorEastAsia"/>
                <w:szCs w:val="21"/>
              </w:rPr>
              <w:br w:type="textWrapping"/>
            </w:r>
            <w:r>
              <w:rPr>
                <w:rFonts w:cs="宋体" w:asciiTheme="minorEastAsia" w:hAnsiTheme="minorEastAsia"/>
                <w:szCs w:val="21"/>
              </w:rPr>
              <w:t>同一人不重复计分。</w:t>
            </w:r>
          </w:p>
          <w:p>
            <w:pPr>
              <w:rPr>
                <w:rFonts w:ascii="宋体" w:hAnsi="宋体" w:cs="宋体"/>
                <w:bCs/>
                <w:szCs w:val="21"/>
              </w:rPr>
            </w:pPr>
            <w:r>
              <w:rPr>
                <w:rFonts w:hint="eastAsia" w:cs="宋体" w:asciiTheme="minorEastAsia" w:hAnsiTheme="minorEastAsia"/>
                <w:szCs w:val="21"/>
              </w:rPr>
              <w:t>（二）评分依据：</w:t>
            </w:r>
            <w:r>
              <w:rPr>
                <w:rFonts w:cs="宋体" w:asciiTheme="minorEastAsia" w:hAnsiTheme="minorEastAsia"/>
                <w:szCs w:val="21"/>
              </w:rPr>
              <w:br w:type="textWrapping"/>
            </w:r>
            <w:r>
              <w:rPr>
                <w:rFonts w:hint="eastAsia" w:ascii="宋体" w:hAnsi="宋体" w:cs="宋体"/>
                <w:bCs/>
                <w:szCs w:val="21"/>
              </w:rPr>
              <w:t>1、资质证书需在有效期内，提供相关证书复印件作为得分依据，原件备查；</w:t>
            </w:r>
          </w:p>
          <w:p>
            <w:pPr>
              <w:spacing w:line="276" w:lineRule="auto"/>
              <w:jc w:val="left"/>
              <w:rPr>
                <w:rFonts w:ascii="宋体" w:hAnsi="宋体"/>
                <w:szCs w:val="21"/>
              </w:rPr>
            </w:pPr>
            <w:r>
              <w:rPr>
                <w:rFonts w:hint="eastAsia" w:ascii="宋体" w:hAnsi="宋体"/>
                <w:szCs w:val="21"/>
              </w:rPr>
              <w:t>2、</w:t>
            </w:r>
            <w:r>
              <w:rPr>
                <w:rFonts w:ascii="宋体" w:hAnsi="宋体"/>
                <w:szCs w:val="21"/>
              </w:rPr>
              <w:t>要求提供通过投标人缴纳的近三个月的任意一个月的社保证明作为本单位员工的证明依据。若供应商成立不足</w:t>
            </w:r>
            <w:r>
              <w:rPr>
                <w:rFonts w:hint="eastAsia" w:ascii="宋体" w:hAnsi="宋体"/>
                <w:szCs w:val="21"/>
              </w:rPr>
              <w:t>一</w:t>
            </w:r>
            <w:r>
              <w:rPr>
                <w:rFonts w:ascii="宋体" w:hAnsi="宋体"/>
                <w:szCs w:val="21"/>
              </w:rPr>
              <w:t>个月的，需提供成立情况说明函（格式自拟），无需提供相关人员社保，亦可得分</w:t>
            </w:r>
            <w:r>
              <w:rPr>
                <w:rFonts w:hint="eastAsia" w:ascii="宋体" w:hAnsi="宋体"/>
                <w:szCs w:val="21"/>
              </w:rPr>
              <w:t>。</w:t>
            </w:r>
            <w:r>
              <w:rPr>
                <w:rFonts w:hint="eastAsia" w:ascii="宋体" w:hAnsi="宋体" w:cs="宋体"/>
                <w:bCs/>
                <w:szCs w:val="21"/>
              </w:rPr>
              <w:t>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18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6" w:hRule="atLeast"/>
          <w:jc w:val="center"/>
        </w:trPr>
        <w:tc>
          <w:tcPr>
            <w:tcW w:w="754" w:type="dxa"/>
            <w:vAlign w:val="center"/>
          </w:tcPr>
          <w:p>
            <w:pPr>
              <w:spacing w:line="276" w:lineRule="auto"/>
              <w:jc w:val="center"/>
              <w:rPr>
                <w:rFonts w:ascii="宋体" w:hAnsi="宋体" w:cs="仿宋"/>
                <w:szCs w:val="21"/>
                <w:lang w:val="zh-CN"/>
              </w:rPr>
            </w:pPr>
            <w:r>
              <w:rPr>
                <w:rFonts w:hint="eastAsia" w:cs="宋体" w:asciiTheme="minorEastAsia" w:hAnsiTheme="minorEastAsia"/>
                <w:szCs w:val="21"/>
              </w:rPr>
              <w:t>1</w:t>
            </w:r>
          </w:p>
        </w:tc>
        <w:tc>
          <w:tcPr>
            <w:tcW w:w="1143" w:type="dxa"/>
            <w:vAlign w:val="center"/>
          </w:tcPr>
          <w:p>
            <w:pPr>
              <w:spacing w:line="276" w:lineRule="auto"/>
              <w:jc w:val="center"/>
              <w:rPr>
                <w:rFonts w:ascii="宋体" w:hAnsi="宋体" w:cs="宋体"/>
                <w:kern w:val="0"/>
                <w:szCs w:val="21"/>
              </w:rPr>
            </w:pPr>
            <w:r>
              <w:rPr>
                <w:rFonts w:hint="eastAsia" w:cs="宋体" w:asciiTheme="minorEastAsia" w:hAnsiTheme="minorEastAsia"/>
                <w:szCs w:val="21"/>
              </w:rPr>
              <w:t>商务</w:t>
            </w:r>
            <w:r>
              <w:rPr>
                <w:rFonts w:hint="eastAsia" w:cs="宋体" w:asciiTheme="minorEastAsia" w:hAnsiTheme="minorEastAsia"/>
                <w:bCs/>
                <w:szCs w:val="21"/>
              </w:rPr>
              <w:t>条款</w:t>
            </w:r>
            <w:r>
              <w:rPr>
                <w:rFonts w:hint="eastAsia" w:cs="宋体" w:asciiTheme="minorEastAsia" w:hAnsiTheme="minorEastAsia"/>
                <w:szCs w:val="21"/>
              </w:rPr>
              <w:t>响应情况</w:t>
            </w:r>
          </w:p>
        </w:tc>
        <w:tc>
          <w:tcPr>
            <w:tcW w:w="709" w:type="dxa"/>
            <w:vAlign w:val="center"/>
          </w:tcPr>
          <w:p>
            <w:pPr>
              <w:spacing w:line="276" w:lineRule="auto"/>
              <w:ind w:firstLine="210" w:firstLineChars="100"/>
              <w:rPr>
                <w:rFonts w:ascii="宋体" w:hAnsi="宋体" w:cs="仿宋"/>
                <w:szCs w:val="21"/>
              </w:rPr>
            </w:pPr>
            <w:r>
              <w:rPr>
                <w:rFonts w:hint="eastAsia" w:cs="宋体" w:asciiTheme="minorEastAsia" w:hAnsiTheme="minorEastAsia"/>
                <w:szCs w:val="21"/>
              </w:rPr>
              <w:t>5</w:t>
            </w:r>
          </w:p>
        </w:tc>
        <w:tc>
          <w:tcPr>
            <w:tcW w:w="5953" w:type="dxa"/>
            <w:vAlign w:val="center"/>
          </w:tcPr>
          <w:p>
            <w:pPr>
              <w:autoSpaceDE w:val="0"/>
              <w:autoSpaceDN w:val="0"/>
              <w:adjustRightInd w:val="0"/>
              <w:spacing w:line="360" w:lineRule="exact"/>
              <w:jc w:val="left"/>
              <w:rPr>
                <w:rFonts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pPr>
              <w:autoSpaceDE w:val="0"/>
              <w:autoSpaceDN w:val="0"/>
              <w:adjustRightInd w:val="0"/>
              <w:spacing w:line="360" w:lineRule="exact"/>
              <w:jc w:val="left"/>
              <w:rPr>
                <w:rFonts w:ascii="宋体" w:hAnsi="宋体" w:cs="仿宋"/>
                <w:szCs w:val="21"/>
              </w:rPr>
            </w:pPr>
            <w:r>
              <w:rPr>
                <w:rFonts w:hint="eastAsia" w:ascii="宋体" w:hAnsi="宋体" w:cs="仿宋"/>
                <w:szCs w:val="21"/>
              </w:rPr>
              <w:t>（1）免费保修期在满足招标要求的基础上，每增加一年得1分，最高得2分。</w:t>
            </w:r>
          </w:p>
          <w:p>
            <w:pPr>
              <w:autoSpaceDE w:val="0"/>
              <w:autoSpaceDN w:val="0"/>
              <w:adjustRightInd w:val="0"/>
              <w:spacing w:line="360" w:lineRule="exact"/>
              <w:jc w:val="left"/>
              <w:rPr>
                <w:rFonts w:ascii="宋体" w:hAnsi="宋体" w:cs="仿宋"/>
                <w:szCs w:val="21"/>
              </w:rPr>
            </w:pPr>
            <w:r>
              <w:rPr>
                <w:rFonts w:hint="eastAsia" w:ascii="宋体" w:hAnsi="宋体" w:cs="仿宋"/>
                <w:szCs w:val="21"/>
              </w:rPr>
              <w:t>（2）其它要求全部满足的得3分，否则不得分。</w:t>
            </w:r>
          </w:p>
          <w:p>
            <w:pPr>
              <w:spacing w:line="276" w:lineRule="auto"/>
              <w:jc w:val="left"/>
              <w:rPr>
                <w:rFonts w:ascii="宋体" w:hAnsi="宋体" w:cs="宋体"/>
                <w:kern w:val="0"/>
                <w:szCs w:val="21"/>
              </w:rPr>
            </w:pPr>
            <w:r>
              <w:rPr>
                <w:rFonts w:hint="eastAsia" w:ascii="宋体" w:hAnsi="宋体" w:cs="仿宋"/>
                <w:szCs w:val="21"/>
              </w:rPr>
              <w:t>以上累计满分为5分。</w:t>
            </w:r>
            <w:r>
              <w:rPr>
                <w:rFonts w:hint="eastAsia" w:ascii="宋体" w:hAnsi="宋体" w:cs="仿宋"/>
                <w:szCs w:val="21"/>
                <w:lang w:val="zh-CN"/>
              </w:rPr>
              <w:t>商务要求中包含子项条款的，按子项条款响应情况逐项评分。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81" w:hRule="atLeast"/>
          <w:jc w:val="center"/>
        </w:trPr>
        <w:tc>
          <w:tcPr>
            <w:tcW w:w="754" w:type="dxa"/>
            <w:vAlign w:val="center"/>
          </w:tcPr>
          <w:p>
            <w:pPr>
              <w:spacing w:line="276" w:lineRule="auto"/>
              <w:jc w:val="center"/>
              <w:rPr>
                <w:rFonts w:ascii="宋体" w:hAnsi="宋体" w:cs="仿宋"/>
                <w:szCs w:val="21"/>
                <w:lang w:val="zh-CN"/>
              </w:rPr>
            </w:pPr>
            <w:r>
              <w:rPr>
                <w:rFonts w:hint="eastAsia" w:cs="宋体" w:asciiTheme="minorEastAsia" w:hAnsiTheme="minorEastAsia"/>
                <w:szCs w:val="21"/>
              </w:rPr>
              <w:t>2</w:t>
            </w:r>
          </w:p>
        </w:tc>
        <w:tc>
          <w:tcPr>
            <w:tcW w:w="1143" w:type="dxa"/>
            <w:vAlign w:val="center"/>
          </w:tcPr>
          <w:p>
            <w:pPr>
              <w:spacing w:line="276" w:lineRule="auto"/>
              <w:jc w:val="center"/>
              <w:rPr>
                <w:rFonts w:ascii="宋体" w:hAnsi="宋体" w:cs="仿宋"/>
                <w:szCs w:val="21"/>
              </w:rPr>
            </w:pPr>
            <w:r>
              <w:rPr>
                <w:rFonts w:hint="eastAsia" w:cs="宋体" w:asciiTheme="minorEastAsia" w:hAnsiTheme="minorEastAsia"/>
                <w:szCs w:val="21"/>
              </w:rPr>
              <w:t>投标人通过相关认证情况</w:t>
            </w:r>
          </w:p>
        </w:tc>
        <w:tc>
          <w:tcPr>
            <w:tcW w:w="709" w:type="dxa"/>
            <w:vAlign w:val="center"/>
          </w:tcPr>
          <w:p>
            <w:pPr>
              <w:spacing w:line="276" w:lineRule="auto"/>
              <w:jc w:val="center"/>
              <w:rPr>
                <w:rFonts w:ascii="宋体" w:hAnsi="宋体" w:cs="仿宋"/>
                <w:szCs w:val="21"/>
              </w:rPr>
            </w:pPr>
            <w:r>
              <w:rPr>
                <w:rFonts w:hint="eastAsia" w:cs="宋体" w:asciiTheme="minorEastAsia" w:hAnsiTheme="minorEastAsia"/>
                <w:szCs w:val="21"/>
              </w:rPr>
              <w:t>6</w:t>
            </w:r>
          </w:p>
        </w:tc>
        <w:tc>
          <w:tcPr>
            <w:tcW w:w="5953" w:type="dxa"/>
          </w:tcPr>
          <w:p>
            <w:pPr>
              <w:spacing w:line="276" w:lineRule="auto"/>
              <w:rPr>
                <w:rFonts w:cs="宋体" w:asciiTheme="minorEastAsia" w:hAnsiTheme="minorEastAsia"/>
                <w:szCs w:val="21"/>
              </w:rPr>
            </w:pPr>
            <w:r>
              <w:rPr>
                <w:rFonts w:hint="eastAsia" w:cs="宋体" w:asciiTheme="minorEastAsia" w:hAnsiTheme="minorEastAsia"/>
                <w:szCs w:val="21"/>
              </w:rPr>
              <w:t>（一）评分内容：</w:t>
            </w:r>
          </w:p>
          <w:p>
            <w:pPr>
              <w:spacing w:line="276" w:lineRule="auto"/>
              <w:rPr>
                <w:rFonts w:cs="宋体" w:asciiTheme="minorEastAsia" w:hAnsiTheme="minorEastAsia"/>
                <w:szCs w:val="21"/>
              </w:rPr>
            </w:pPr>
            <w:r>
              <w:rPr>
                <w:rFonts w:hint="eastAsia" w:cs="宋体" w:asciiTheme="minorEastAsia" w:hAnsiTheme="minorEastAsia"/>
                <w:szCs w:val="21"/>
              </w:rPr>
              <w:t>1. 投标人具有质量管理体系认证证书得3分；</w:t>
            </w:r>
          </w:p>
          <w:p>
            <w:pPr>
              <w:spacing w:line="276" w:lineRule="auto"/>
              <w:rPr>
                <w:rFonts w:cs="宋体" w:asciiTheme="minorEastAsia" w:hAnsiTheme="minorEastAsia"/>
                <w:szCs w:val="21"/>
              </w:rPr>
            </w:pPr>
            <w:r>
              <w:rPr>
                <w:rFonts w:hint="eastAsia" w:cs="宋体" w:asciiTheme="minorEastAsia" w:hAnsiTheme="minorEastAsia"/>
                <w:szCs w:val="21"/>
              </w:rPr>
              <w:t>2. 投标人具有信息安全管理体系认证证书的得3分。</w:t>
            </w:r>
          </w:p>
          <w:p>
            <w:pPr>
              <w:spacing w:line="276" w:lineRule="auto"/>
              <w:rPr>
                <w:rFonts w:cs="宋体" w:asciiTheme="minorEastAsia" w:hAnsiTheme="minorEastAsia"/>
                <w:szCs w:val="21"/>
              </w:rPr>
            </w:pPr>
            <w:r>
              <w:rPr>
                <w:rFonts w:hint="eastAsia" w:cs="宋体" w:asciiTheme="minorEastAsia" w:hAnsiTheme="minorEastAsia"/>
                <w:szCs w:val="21"/>
              </w:rPr>
              <w:t>（二）评分依据：</w:t>
            </w:r>
          </w:p>
          <w:p>
            <w:pPr>
              <w:spacing w:line="276" w:lineRule="auto"/>
              <w:rPr>
                <w:rFonts w:cs="宋体" w:asciiTheme="minorEastAsia" w:hAnsiTheme="minorEastAsia"/>
                <w:szCs w:val="21"/>
              </w:rPr>
            </w:pPr>
            <w:r>
              <w:rPr>
                <w:rFonts w:hint="eastAsia" w:cs="宋体" w:asciiTheme="minorEastAsia" w:hAnsiTheme="minorEastAsia"/>
                <w:szCs w:val="21"/>
              </w:rPr>
              <w:t>1.要求提供有效的认证证书</w:t>
            </w:r>
            <w:r>
              <w:rPr>
                <w:rFonts w:hint="eastAsia" w:ascii="宋体" w:hAnsi="宋体"/>
                <w:kern w:val="0"/>
                <w:szCs w:val="21"/>
              </w:rPr>
              <w:t>（如认证证书注明年审要求的，必须按规定年审且证书在有效期内的方为有效；如未注明年审要求的，证书必须在有效期内的方为有效）</w:t>
            </w:r>
            <w:r>
              <w:rPr>
                <w:rFonts w:hint="eastAsia" w:cs="宋体" w:asciiTheme="minorEastAsia" w:hAnsiTheme="minorEastAsia"/>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2. 提供证书官网或权威机构【如：全国认证认可信息公共服务平台（cx.cnca.cn）】认证信息查询截图（截图需显示证书状态为有效）。</w:t>
            </w:r>
            <w:r>
              <w:rPr>
                <w:rFonts w:hint="eastAsia" w:ascii="宋体" w:hAnsi="宋体" w:cs="仿宋"/>
                <w:szCs w:val="21"/>
                <w:lang w:val="zh-CN"/>
              </w:rPr>
              <w:t>相关证书在公开渠道无法查询的，投标人需提供颁发部门或者监管机构的证明材料，证明证书真实有效且为合法机构颁发；</w:t>
            </w:r>
          </w:p>
          <w:p>
            <w:pPr>
              <w:spacing w:line="276" w:lineRule="auto"/>
              <w:jc w:val="left"/>
              <w:rPr>
                <w:rFonts w:ascii="宋体" w:hAnsi="宋体" w:cs="仿宋"/>
                <w:szCs w:val="21"/>
              </w:rPr>
            </w:pPr>
            <w:r>
              <w:rPr>
                <w:rFonts w:hint="eastAsia" w:ascii="宋体" w:hAnsi="宋体"/>
                <w:kern w:val="0"/>
                <w:szCs w:val="21"/>
              </w:rPr>
              <w:t>3.</w:t>
            </w:r>
            <w:r>
              <w:rPr>
                <w:rFonts w:hint="eastAsia" w:ascii="宋体" w:hAnsi="宋体"/>
                <w:szCs w:val="21"/>
              </w:rPr>
              <w:t xml:space="preserve"> 提供以上证明文件复印件或扫描件，如涉及网站截图或照片等证明材料,需提供清晰图片,均要求加盖投标人公章,原件备查。未按要求提供有效证明材料或提供不清晰导致评委无法识别的不计得分</w:t>
            </w:r>
            <w:r>
              <w:rPr>
                <w:rFonts w:hint="eastAsia" w:ascii="宋体" w:hAnsi="宋体" w:cs="仿宋"/>
                <w:szCs w:val="21"/>
                <w:lang w:val="zh-CN"/>
              </w:rPr>
              <w:t>。</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02" w:hRule="atLeast"/>
          <w:jc w:val="center"/>
        </w:trPr>
        <w:tc>
          <w:tcPr>
            <w:tcW w:w="754" w:type="dxa"/>
            <w:vAlign w:val="center"/>
          </w:tcPr>
          <w:p>
            <w:pPr>
              <w:spacing w:line="276" w:lineRule="auto"/>
              <w:jc w:val="center"/>
              <w:rPr>
                <w:rFonts w:ascii="宋体" w:hAnsi="宋体" w:cs="仿宋"/>
                <w:szCs w:val="21"/>
                <w:lang w:val="zh-CN"/>
              </w:rPr>
            </w:pPr>
            <w:r>
              <w:rPr>
                <w:rFonts w:hint="eastAsia" w:cs="宋体" w:asciiTheme="minorEastAsia" w:hAnsiTheme="minorEastAsia"/>
                <w:szCs w:val="21"/>
              </w:rPr>
              <w:t>3</w:t>
            </w:r>
          </w:p>
        </w:tc>
        <w:tc>
          <w:tcPr>
            <w:tcW w:w="1143" w:type="dxa"/>
            <w:vAlign w:val="center"/>
          </w:tcPr>
          <w:p>
            <w:pPr>
              <w:spacing w:line="276" w:lineRule="auto"/>
              <w:jc w:val="center"/>
              <w:rPr>
                <w:rFonts w:ascii="宋体" w:hAnsi="宋体" w:cs="仿宋"/>
                <w:szCs w:val="21"/>
              </w:rPr>
            </w:pPr>
            <w:r>
              <w:rPr>
                <w:rFonts w:hint="eastAsia" w:cs="宋体" w:asciiTheme="minorEastAsia" w:hAnsiTheme="minorEastAsia"/>
                <w:szCs w:val="21"/>
              </w:rPr>
              <w:t>投标人同类项目业绩情况</w:t>
            </w:r>
          </w:p>
        </w:tc>
        <w:tc>
          <w:tcPr>
            <w:tcW w:w="709" w:type="dxa"/>
            <w:vAlign w:val="center"/>
          </w:tcPr>
          <w:p>
            <w:pPr>
              <w:spacing w:line="276" w:lineRule="auto"/>
              <w:jc w:val="center"/>
              <w:rPr>
                <w:rFonts w:ascii="宋体" w:hAnsi="宋体" w:cs="仿宋"/>
                <w:szCs w:val="21"/>
              </w:rPr>
            </w:pPr>
            <w:r>
              <w:rPr>
                <w:rFonts w:hint="eastAsia" w:cs="宋体" w:asciiTheme="minorEastAsia" w:hAnsiTheme="minorEastAsia"/>
                <w:szCs w:val="21"/>
              </w:rPr>
              <w:t>2</w:t>
            </w:r>
          </w:p>
        </w:tc>
        <w:tc>
          <w:tcPr>
            <w:tcW w:w="5953" w:type="dxa"/>
          </w:tcPr>
          <w:p>
            <w:pPr>
              <w:spacing w:line="276" w:lineRule="auto"/>
              <w:rPr>
                <w:rFonts w:cs="宋体" w:asciiTheme="minorEastAsia" w:hAnsiTheme="minorEastAsia"/>
                <w:szCs w:val="21"/>
              </w:rPr>
            </w:pPr>
            <w:r>
              <w:rPr>
                <w:rFonts w:hint="eastAsia" w:cs="宋体" w:asciiTheme="minorEastAsia" w:hAnsiTheme="minorEastAsia"/>
                <w:szCs w:val="21"/>
              </w:rPr>
              <w:t>（一）评分内容：</w:t>
            </w:r>
          </w:p>
          <w:p>
            <w:pPr>
              <w:spacing w:line="276" w:lineRule="auto"/>
              <w:rPr>
                <w:rFonts w:cs="宋体" w:asciiTheme="minorEastAsia" w:hAnsiTheme="minorEastAsia"/>
                <w:szCs w:val="21"/>
              </w:rPr>
            </w:pPr>
            <w:r>
              <w:rPr>
                <w:rFonts w:hint="eastAsia" w:ascii="宋体" w:hAnsi="宋体" w:cs="宋体"/>
                <w:szCs w:val="21"/>
              </w:rPr>
              <w:t>2020年1月1日至本项目投标截止日（以合同签订日期</w:t>
            </w:r>
            <w:r>
              <w:rPr>
                <w:rFonts w:hint="eastAsia" w:ascii="宋体" w:hAnsi="宋体"/>
                <w:szCs w:val="21"/>
              </w:rPr>
              <w:t>或中标通知书落款日期</w:t>
            </w:r>
            <w:r>
              <w:rPr>
                <w:rFonts w:hint="eastAsia" w:ascii="宋体" w:hAnsi="宋体" w:cs="宋体"/>
                <w:szCs w:val="21"/>
              </w:rPr>
              <w:t>为准），投标人</w:t>
            </w:r>
            <w:r>
              <w:rPr>
                <w:rFonts w:hint="eastAsia" w:ascii="宋体" w:hAnsi="宋体" w:cs="仿宋"/>
                <w:szCs w:val="21"/>
              </w:rPr>
              <w:t>具有同类项目业绩的，</w:t>
            </w:r>
            <w:r>
              <w:rPr>
                <w:rFonts w:hint="eastAsia" w:cs="宋体" w:asciiTheme="minorEastAsia" w:hAnsiTheme="minorEastAsia"/>
                <w:szCs w:val="21"/>
              </w:rPr>
              <w:t>每提供1个项目得1分，最多得2分，不提供不得分。</w:t>
            </w:r>
          </w:p>
          <w:p>
            <w:pPr>
              <w:spacing w:line="276" w:lineRule="auto"/>
              <w:rPr>
                <w:rFonts w:cs="宋体" w:asciiTheme="minorEastAsia" w:hAnsiTheme="minorEastAsia"/>
                <w:szCs w:val="21"/>
              </w:rPr>
            </w:pPr>
            <w:r>
              <w:rPr>
                <w:rFonts w:hint="eastAsia" w:cs="宋体" w:asciiTheme="minorEastAsia" w:hAnsiTheme="minorEastAsia"/>
                <w:szCs w:val="21"/>
              </w:rPr>
              <w:t>（二）评分依据：</w:t>
            </w:r>
          </w:p>
          <w:p>
            <w:pPr>
              <w:spacing w:line="276" w:lineRule="auto"/>
              <w:rPr>
                <w:rFonts w:cs="宋体" w:asciiTheme="minorEastAsia" w:hAnsiTheme="minorEastAsia"/>
                <w:szCs w:val="21"/>
              </w:rPr>
            </w:pPr>
            <w:r>
              <w:rPr>
                <w:rFonts w:hint="eastAsia" w:cs="宋体" w:asciiTheme="minorEastAsia" w:hAnsiTheme="minorEastAsia"/>
                <w:szCs w:val="21"/>
              </w:rPr>
              <w:t>1.要求提供合同关键信息或者中标通知书作为得分依据。</w:t>
            </w:r>
          </w:p>
          <w:p>
            <w:pPr>
              <w:spacing w:line="276" w:lineRule="auto"/>
              <w:jc w:val="left"/>
              <w:rPr>
                <w:rFonts w:ascii="宋体" w:hAnsi="宋体"/>
                <w:szCs w:val="21"/>
              </w:rPr>
            </w:pPr>
            <w:r>
              <w:rPr>
                <w:rFonts w:hint="eastAsia" w:cs="宋体" w:asciiTheme="minorEastAsia" w:hAnsiTheme="minorEastAsia"/>
                <w:szCs w:val="21"/>
              </w:rPr>
              <w:t>2.以上资料均要求提供复印件或扫描件加盖投标人公章，原件备查。评分中出现无证明资料或专家无法凭所提供资料判断是否得分的情况，一律作不得分处理。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1" w:hRule="atLeast"/>
          <w:jc w:val="center"/>
        </w:trPr>
        <w:tc>
          <w:tcPr>
            <w:tcW w:w="754" w:type="dxa"/>
            <w:vAlign w:val="center"/>
          </w:tcPr>
          <w:p>
            <w:pPr>
              <w:wordWrap w:val="0"/>
              <w:spacing w:line="276" w:lineRule="auto"/>
              <w:jc w:val="center"/>
              <w:rPr>
                <w:rFonts w:ascii="宋体" w:hAnsi="宋体" w:cs="仿宋"/>
                <w:szCs w:val="21"/>
              </w:rPr>
            </w:pPr>
            <w:r>
              <w:rPr>
                <w:rFonts w:hint="eastAsia" w:cs="宋体" w:asciiTheme="minorEastAsia" w:hAnsiTheme="minorEastAsia"/>
                <w:szCs w:val="21"/>
              </w:rPr>
              <w:t>4</w:t>
            </w:r>
          </w:p>
        </w:tc>
        <w:tc>
          <w:tcPr>
            <w:tcW w:w="1143" w:type="dxa"/>
            <w:vAlign w:val="center"/>
          </w:tcPr>
          <w:p>
            <w:pPr>
              <w:spacing w:line="276" w:lineRule="auto"/>
              <w:jc w:val="center"/>
              <w:rPr>
                <w:rFonts w:ascii="宋体" w:hAnsi="宋体" w:cs="仿宋"/>
                <w:szCs w:val="21"/>
              </w:rPr>
            </w:pPr>
            <w:r>
              <w:rPr>
                <w:rFonts w:hint="eastAsia" w:ascii="宋体" w:hAnsi="宋体" w:cs="仿宋"/>
                <w:szCs w:val="21"/>
              </w:rPr>
              <w:t>诚信评审</w:t>
            </w:r>
          </w:p>
        </w:tc>
        <w:tc>
          <w:tcPr>
            <w:tcW w:w="709" w:type="dxa"/>
            <w:vAlign w:val="center"/>
          </w:tcPr>
          <w:p>
            <w:pPr>
              <w:wordWrap w:val="0"/>
              <w:spacing w:line="276" w:lineRule="auto"/>
              <w:jc w:val="center"/>
              <w:rPr>
                <w:rFonts w:ascii="宋体" w:hAnsi="宋体" w:cs="仿宋"/>
                <w:szCs w:val="21"/>
              </w:rPr>
            </w:pPr>
            <w:r>
              <w:rPr>
                <w:rFonts w:hint="eastAsia" w:cs="宋体" w:asciiTheme="minorEastAsia" w:hAnsiTheme="minorEastAsia"/>
                <w:szCs w:val="21"/>
              </w:rPr>
              <w:t>5</w:t>
            </w:r>
          </w:p>
        </w:tc>
        <w:tc>
          <w:tcPr>
            <w:tcW w:w="5953" w:type="dxa"/>
          </w:tcPr>
          <w:p>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pPr>
              <w:spacing w:line="276" w:lineRule="auto"/>
              <w:rPr>
                <w:rFonts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ascii="宋体" w:hAnsi="宋体" w:cs="仿宋"/>
                <w:szCs w:val="21"/>
              </w:rPr>
            </w:pPr>
            <w:r>
              <w:rPr>
                <w:rFonts w:hint="eastAsia" w:ascii="宋体" w:hAnsi="宋体" w:cs="仿宋"/>
                <w:szCs w:val="21"/>
              </w:rPr>
              <w:t>评委打分</w:t>
            </w:r>
          </w:p>
        </w:tc>
      </w:tr>
    </w:tbl>
    <w:p>
      <w:pPr>
        <w:pStyle w:val="6"/>
        <w:spacing w:before="0" w:after="0"/>
        <w:jc w:val="left"/>
        <w:rPr>
          <w:rFonts w:asciiTheme="minorEastAsia" w:hAnsiTheme="minorEastAsia"/>
          <w:bCs w:val="0"/>
          <w:sz w:val="21"/>
          <w:szCs w:val="21"/>
        </w:rPr>
      </w:pPr>
      <w:bookmarkStart w:id="10" w:name="_Toc44691162"/>
      <w:bookmarkStart w:id="11" w:name="_Toc135293326"/>
      <w:bookmarkStart w:id="12" w:name="_Toc44690703"/>
      <w:bookmarkStart w:id="13" w:name="_Toc44691394"/>
      <w:bookmarkStart w:id="14" w:name="_Toc44690430"/>
      <w:r>
        <w:rPr>
          <w:rFonts w:hint="eastAsia" w:asciiTheme="minorEastAsia" w:hAnsiTheme="minorEastAsia"/>
          <w:bCs w:val="0"/>
          <w:sz w:val="21"/>
          <w:szCs w:val="21"/>
        </w:rPr>
        <w:t>备注：</w:t>
      </w:r>
      <w:bookmarkEnd w:id="10"/>
      <w:bookmarkEnd w:id="11"/>
      <w:bookmarkEnd w:id="12"/>
      <w:bookmarkEnd w:id="13"/>
      <w:bookmarkEnd w:id="14"/>
    </w:p>
    <w:p>
      <w:pPr>
        <w:pStyle w:val="5"/>
        <w:spacing w:before="0" w:after="0"/>
      </w:pPr>
      <w:bookmarkStart w:id="15" w:name="_Toc135293327"/>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5"/>
        <w:spacing w:before="0" w:after="0"/>
        <w:rPr>
          <w:rFonts w:asciiTheme="minorEastAsia" w:hAnsiTheme="minorEastAsia" w:eastAsiaTheme="minorEastAsia"/>
        </w:rPr>
      </w:pPr>
      <w:bookmarkStart w:id="16" w:name="_Toc135293328"/>
      <w:r>
        <w:rPr>
          <w:rFonts w:hint="eastAsia" w:asciiTheme="minorEastAsia" w:hAnsiTheme="minorEastAsia" w:eastAsiaTheme="minorEastAsia"/>
        </w:rPr>
        <w:t>2、政府采购扶持政策</w:t>
      </w:r>
      <w:bookmarkEnd w:id="16"/>
    </w:p>
    <w:p>
      <w:pPr>
        <w:spacing w:line="360" w:lineRule="auto"/>
        <w:ind w:firstLine="424" w:firstLineChars="202"/>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after="156" w:afterLines="50" w:line="360" w:lineRule="auto"/>
        <w:ind w:firstLine="424" w:firstLineChars="202"/>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pPr>
        <w:adjustRightInd w:val="0"/>
        <w:snapToGrid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。对于同时属于小微企业、监狱企业或残疾人福利性单位的，不重复进行投标报价扣除。</w:t>
      </w:r>
    </w:p>
    <w:p>
      <w:pPr>
        <w:adjustRightInd w:val="0"/>
        <w:snapToGrid w:val="0"/>
        <w:spacing w:line="360" w:lineRule="auto"/>
        <w:ind w:firstLine="426" w:firstLineChars="202"/>
        <w:rPr>
          <w:rFonts w:asciiTheme="minorEastAsia" w:hAnsiTheme="minorEastAsia" w:eastAsiaTheme="minorEastAsia"/>
          <w:szCs w:val="21"/>
        </w:rPr>
      </w:pPr>
      <w:r>
        <w:rPr>
          <w:rFonts w:hint="eastAsia" w:ascii="宋体" w:hAnsi="宋体"/>
          <w:b/>
          <w:szCs w:val="21"/>
          <w:highlight w:val="yellow"/>
        </w:rPr>
        <w:t>本项目所属行业为</w:t>
      </w:r>
      <w:r>
        <w:rPr>
          <w:rFonts w:hint="eastAsia" w:ascii="宋体" w:hAnsi="宋体"/>
          <w:b/>
          <w:szCs w:val="21"/>
          <w:highlight w:val="yellow"/>
          <w:u w:val="single"/>
        </w:rPr>
        <w:t xml:space="preserve">  工业  </w:t>
      </w:r>
      <w:r>
        <w:rPr>
          <w:rFonts w:hint="eastAsia" w:ascii="宋体" w:hAnsi="宋体"/>
          <w:b/>
          <w:szCs w:val="21"/>
          <w:highlight w:val="yellow"/>
        </w:rPr>
        <w:t>。</w:t>
      </w:r>
      <w:r>
        <w:rPr>
          <w:rFonts w:hint="eastAsia" w:ascii="宋体" w:hAnsi="宋体"/>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adjustRightInd w:val="0"/>
        <w:snapToGrid w:val="0"/>
        <w:spacing w:line="360" w:lineRule="auto"/>
        <w:ind w:firstLine="424" w:firstLineChars="202"/>
        <w:rPr>
          <w:rFonts w:asciiTheme="minorEastAsia" w:hAnsiTheme="minorEastAsia" w:eastAsiaTheme="minorEastAsia"/>
          <w:szCs w:val="21"/>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p>
    <w:p>
      <w:pPr>
        <w:spacing w:line="360" w:lineRule="auto"/>
        <w:ind w:firstLine="424" w:firstLineChars="202"/>
        <w:jc w:val="left"/>
        <w:rPr>
          <w:rFonts w:asciiTheme="minorEastAsia" w:hAnsiTheme="minorEastAsia" w:eastAsiaTheme="minorEastAsia"/>
        </w:rPr>
      </w:pPr>
      <w:r>
        <w:rPr>
          <w:rFonts w:hint="eastAsia" w:asciiTheme="minorEastAsia" w:hAnsiTheme="minorEastAsia" w:eastAsiaTheme="minorEastAsia"/>
        </w:rPr>
        <w:t>联合体各方均为小型、微型企业、监狱企业和</w:t>
      </w:r>
      <w:r>
        <w:rPr>
          <w:rFonts w:hint="eastAsia" w:ascii="宋体" w:hAnsi="宋体"/>
        </w:rPr>
        <w:t>残疾人福利性单位</w:t>
      </w:r>
      <w:r>
        <w:rPr>
          <w:rFonts w:hint="eastAsia" w:asciiTheme="minorEastAsia" w:hAnsiTheme="minorEastAsia" w:eastAsiaTheme="minorEastAsia"/>
        </w:rPr>
        <w:t>的，联合体视同为小型、微型企业、监狱企业和</w:t>
      </w:r>
      <w:r>
        <w:rPr>
          <w:rFonts w:hint="eastAsia" w:ascii="宋体" w:hAnsi="宋体"/>
        </w:rPr>
        <w:t>残疾人福利性单位</w:t>
      </w:r>
      <w:r>
        <w:rPr>
          <w:rFonts w:hint="eastAsia" w:asciiTheme="minorEastAsia" w:hAnsiTheme="minorEastAsia" w:eastAsiaTheme="minorEastAsia"/>
        </w:rPr>
        <w:t>，均享受</w:t>
      </w:r>
      <w:r>
        <w:rPr>
          <w:rFonts w:hint="eastAsia" w:asciiTheme="minorEastAsia" w:hAnsiTheme="minorEastAsia" w:eastAsiaTheme="minorEastAsia"/>
          <w:b/>
          <w:bCs/>
        </w:rPr>
        <w:t>本章政府采购扶持政策第一款</w:t>
      </w:r>
      <w:r>
        <w:rPr>
          <w:rFonts w:hint="eastAsia" w:asciiTheme="minorEastAsia" w:hAnsiTheme="minorEastAsia" w:eastAsiaTheme="minorEastAsia"/>
        </w:rPr>
        <w:t>的优惠政策。</w:t>
      </w:r>
    </w:p>
    <w:p>
      <w:pPr>
        <w:spacing w:line="360" w:lineRule="auto"/>
        <w:ind w:firstLine="424" w:firstLineChars="202"/>
        <w:jc w:val="left"/>
        <w:rPr>
          <w:rFonts w:asciiTheme="minorEastAsia" w:hAnsiTheme="minorEastAsia" w:eastAsiaTheme="minorEastAsia"/>
        </w:rPr>
      </w:pPr>
      <w:r>
        <w:rPr>
          <w:rFonts w:hint="eastAsia" w:asciiTheme="minorEastAsia" w:hAnsiTheme="minorEastAsia" w:eastAsiaTheme="minorEastAsia"/>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（4）投标产品属于《关于调整优化节能产品环境标志产品政府采购执行机制的通知》（财库〔2019〕9号）、《关于印发环境标志产品政府采购品目清单的通知》（财库〔2019〕18号）和《关于印发节能产品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对符合条件的获证产品（强制采购产品除外）</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szCs w:val="21"/>
        </w:rPr>
        <w:t>。</w:t>
      </w: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pStyle w:val="2"/>
        <w:rPr>
          <w:rFonts w:asciiTheme="minorEastAsia" w:hAnsiTheme="minorEastAsia" w:eastAsiaTheme="minorEastAsia"/>
          <w:szCs w:val="21"/>
        </w:rPr>
      </w:pPr>
    </w:p>
    <w:p>
      <w:pPr>
        <w:pStyle w:val="3"/>
        <w:rPr>
          <w:rFonts w:asciiTheme="minorEastAsia" w:hAnsiTheme="minorEastAsia" w:eastAsiaTheme="minorEastAsia"/>
          <w:szCs w:val="21"/>
        </w:rPr>
      </w:pPr>
    </w:p>
    <w:p>
      <w:pPr>
        <w:rPr>
          <w:rFonts w:asciiTheme="minorEastAsia" w:hAnsiTheme="minorEastAsia" w:eastAsiaTheme="minorEastAsia"/>
          <w:szCs w:val="21"/>
        </w:rPr>
      </w:pPr>
    </w:p>
    <w:p>
      <w:pPr>
        <w:pStyle w:val="2"/>
        <w:rPr>
          <w:rFonts w:asciiTheme="minorEastAsia" w:hAnsiTheme="minorEastAsia" w:eastAsiaTheme="minorEastAsia"/>
          <w:szCs w:val="21"/>
        </w:rPr>
      </w:pPr>
    </w:p>
    <w:p>
      <w:pPr>
        <w:pStyle w:val="3"/>
        <w:rPr>
          <w:rFonts w:asciiTheme="minorEastAsia" w:hAnsiTheme="minorEastAsia" w:eastAsiaTheme="minorEastAsia"/>
          <w:szCs w:val="21"/>
        </w:rPr>
      </w:pPr>
    </w:p>
    <w:p>
      <w:pPr>
        <w:rPr>
          <w:rFonts w:asciiTheme="minorEastAsia" w:hAnsiTheme="minorEastAsia" w:eastAsiaTheme="minorEastAsia"/>
          <w:szCs w:val="21"/>
        </w:rPr>
      </w:pPr>
    </w:p>
    <w:p>
      <w:pPr>
        <w:pStyle w:val="2"/>
        <w:rPr>
          <w:rFonts w:asciiTheme="minorEastAsia" w:hAnsiTheme="minorEastAsia" w:eastAsiaTheme="minorEastAsia"/>
          <w:szCs w:val="21"/>
        </w:rPr>
      </w:pPr>
    </w:p>
    <w:p>
      <w:pPr>
        <w:pStyle w:val="3"/>
        <w:rPr>
          <w:rFonts w:asciiTheme="minorEastAsia" w:hAnsiTheme="minorEastAsia" w:eastAsiaTheme="minorEastAsia"/>
          <w:szCs w:val="21"/>
        </w:rPr>
      </w:pPr>
    </w:p>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pStyle w:val="4"/>
        <w:rPr>
          <w:rFonts w:hint="eastAsia"/>
        </w:rPr>
      </w:pPr>
      <w:bookmarkStart w:id="17" w:name="_Toc135293329"/>
    </w:p>
    <w:p>
      <w:pPr>
        <w:pStyle w:val="4"/>
      </w:pPr>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项号</w:t>
            </w:r>
          </w:p>
        </w:tc>
        <w:tc>
          <w:tcPr>
            <w:tcW w:w="1038" w:type="dxa"/>
            <w:vAlign w:val="center"/>
          </w:tcPr>
          <w:p>
            <w:pPr>
              <w:pStyle w:val="26"/>
              <w:spacing w:line="360" w:lineRule="auto"/>
              <w:jc w:val="center"/>
              <w:rPr>
                <w:rFonts w:hAnsi="宋体"/>
              </w:rPr>
            </w:pPr>
            <w:r>
              <w:rPr>
                <w:rFonts w:hint="eastAsia" w:hAnsi="宋体"/>
              </w:rPr>
              <w:t>条款号</w:t>
            </w:r>
          </w:p>
        </w:tc>
        <w:tc>
          <w:tcPr>
            <w:tcW w:w="1843" w:type="dxa"/>
            <w:vAlign w:val="center"/>
          </w:tcPr>
          <w:p>
            <w:pPr>
              <w:pStyle w:val="26"/>
              <w:spacing w:line="360" w:lineRule="auto"/>
              <w:jc w:val="center"/>
              <w:rPr>
                <w:rFonts w:hAnsi="宋体"/>
              </w:rPr>
            </w:pPr>
            <w:r>
              <w:rPr>
                <w:rFonts w:hint="eastAsia" w:hAnsi="宋体"/>
              </w:rPr>
              <w:t>内容</w:t>
            </w:r>
          </w:p>
        </w:tc>
        <w:tc>
          <w:tcPr>
            <w:tcW w:w="6520" w:type="dxa"/>
          </w:tcPr>
          <w:p>
            <w:pPr>
              <w:pStyle w:val="26"/>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Ansi="宋体"/>
              </w:rPr>
              <w:t>1</w:t>
            </w:r>
          </w:p>
        </w:tc>
        <w:tc>
          <w:tcPr>
            <w:tcW w:w="1038" w:type="dxa"/>
            <w:vAlign w:val="center"/>
          </w:tcPr>
          <w:p>
            <w:pPr>
              <w:pStyle w:val="26"/>
              <w:spacing w:line="360" w:lineRule="auto"/>
              <w:jc w:val="center"/>
              <w:rPr>
                <w:rFonts w:hAnsi="宋体"/>
              </w:rPr>
            </w:pPr>
            <w:r>
              <w:rPr>
                <w:rFonts w:hAnsi="宋体"/>
              </w:rPr>
              <w:t>1.1</w:t>
            </w:r>
          </w:p>
        </w:tc>
        <w:tc>
          <w:tcPr>
            <w:tcW w:w="1843" w:type="dxa"/>
            <w:vAlign w:val="center"/>
          </w:tcPr>
          <w:p>
            <w:pPr>
              <w:pStyle w:val="26"/>
              <w:spacing w:line="360" w:lineRule="exact"/>
              <w:jc w:val="center"/>
              <w:rPr>
                <w:rFonts w:hAnsi="宋体"/>
              </w:rPr>
            </w:pPr>
            <w:r>
              <w:rPr>
                <w:rFonts w:hint="eastAsia" w:hAnsi="宋体"/>
              </w:rPr>
              <w:t>项目名称</w:t>
            </w:r>
          </w:p>
        </w:tc>
        <w:tc>
          <w:tcPr>
            <w:tcW w:w="6520" w:type="dxa"/>
            <w:vAlign w:val="center"/>
          </w:tcPr>
          <w:p>
            <w:pPr>
              <w:pStyle w:val="26"/>
              <w:spacing w:line="360" w:lineRule="exact"/>
            </w:pPr>
            <w:r>
              <w:rPr>
                <w:rFonts w:hint="eastAsia" w:asciiTheme="minorEastAsia" w:hAnsiTheme="minorEastAsia" w:eastAsiaTheme="minorEastAsia"/>
              </w:rPr>
              <w:t>网盘采购项目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2</w:t>
            </w:r>
          </w:p>
        </w:tc>
        <w:tc>
          <w:tcPr>
            <w:tcW w:w="1038" w:type="dxa"/>
            <w:vAlign w:val="center"/>
          </w:tcPr>
          <w:p>
            <w:pPr>
              <w:pStyle w:val="26"/>
              <w:spacing w:line="360" w:lineRule="auto"/>
              <w:jc w:val="center"/>
              <w:rPr>
                <w:rFonts w:hAnsi="宋体"/>
              </w:rPr>
            </w:pPr>
            <w:r>
              <w:rPr>
                <w:rFonts w:hAnsi="宋体"/>
              </w:rPr>
              <w:t>2.1</w:t>
            </w:r>
          </w:p>
        </w:tc>
        <w:tc>
          <w:tcPr>
            <w:tcW w:w="1843" w:type="dxa"/>
            <w:vAlign w:val="center"/>
          </w:tcPr>
          <w:p>
            <w:pPr>
              <w:pStyle w:val="26"/>
              <w:spacing w:line="360" w:lineRule="exact"/>
              <w:jc w:val="center"/>
              <w:rPr>
                <w:rFonts w:hAnsi="宋体"/>
              </w:rPr>
            </w:pPr>
            <w:r>
              <w:rPr>
                <w:rFonts w:hint="eastAsia" w:hAnsi="宋体"/>
              </w:rPr>
              <w:t>采购人</w:t>
            </w:r>
          </w:p>
        </w:tc>
        <w:tc>
          <w:tcPr>
            <w:tcW w:w="6520" w:type="dxa"/>
            <w:vAlign w:val="center"/>
          </w:tcPr>
          <w:p>
            <w:pPr>
              <w:pStyle w:val="26"/>
              <w:spacing w:line="360" w:lineRule="exact"/>
              <w:rPr>
                <w:rFonts w:hAnsi="宋体"/>
                <w:szCs w:val="24"/>
              </w:rPr>
            </w:pPr>
            <w:r>
              <w:rPr>
                <w:rFonts w:hint="eastAsia" w:hAnsi="宋体"/>
                <w:snapToGrid w:val="0"/>
                <w:szCs w:val="21"/>
              </w:rPr>
              <w:t>深圳市质量安全检验检测研究院</w:t>
            </w:r>
            <w:r>
              <w:rPr>
                <w:rFonts w:hAnsi="宋体"/>
                <w:snapToGrid w:val="0"/>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3</w:t>
            </w:r>
          </w:p>
        </w:tc>
        <w:tc>
          <w:tcPr>
            <w:tcW w:w="1038" w:type="dxa"/>
            <w:vAlign w:val="center"/>
          </w:tcPr>
          <w:p>
            <w:pPr>
              <w:pStyle w:val="26"/>
              <w:spacing w:line="360" w:lineRule="auto"/>
              <w:jc w:val="center"/>
              <w:rPr>
                <w:rFonts w:hAnsi="宋体"/>
              </w:rPr>
            </w:pPr>
            <w:r>
              <w:rPr>
                <w:rFonts w:hAnsi="宋体"/>
              </w:rPr>
              <w:t>2.2</w:t>
            </w:r>
          </w:p>
        </w:tc>
        <w:tc>
          <w:tcPr>
            <w:tcW w:w="1843" w:type="dxa"/>
            <w:vAlign w:val="center"/>
          </w:tcPr>
          <w:p>
            <w:pPr>
              <w:pStyle w:val="26"/>
              <w:spacing w:line="360" w:lineRule="exact"/>
              <w:jc w:val="center"/>
              <w:rPr>
                <w:rFonts w:hAnsi="宋体"/>
              </w:rPr>
            </w:pPr>
            <w:r>
              <w:rPr>
                <w:rFonts w:hint="eastAsia" w:hAnsi="宋体"/>
              </w:rPr>
              <w:t>采购代理机构</w:t>
            </w:r>
          </w:p>
        </w:tc>
        <w:tc>
          <w:tcPr>
            <w:tcW w:w="6520" w:type="dxa"/>
            <w:vAlign w:val="center"/>
          </w:tcPr>
          <w:p>
            <w:pPr>
              <w:pStyle w:val="26"/>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rPr>
            </w:pPr>
            <w:r>
              <w:rPr>
                <w:rFonts w:hint="eastAsia" w:hAnsi="宋体"/>
              </w:rPr>
              <w:t>4</w:t>
            </w:r>
          </w:p>
        </w:tc>
        <w:tc>
          <w:tcPr>
            <w:tcW w:w="1038" w:type="dxa"/>
            <w:vAlign w:val="center"/>
          </w:tcPr>
          <w:p>
            <w:pPr>
              <w:pStyle w:val="26"/>
              <w:spacing w:line="360" w:lineRule="auto"/>
              <w:jc w:val="center"/>
              <w:rPr>
                <w:rFonts w:hAnsi="宋体"/>
              </w:rPr>
            </w:pPr>
            <w:r>
              <w:rPr>
                <w:rFonts w:hint="eastAsia" w:hAnsi="宋体"/>
              </w:rPr>
              <w:t>3.1</w:t>
            </w:r>
          </w:p>
        </w:tc>
        <w:tc>
          <w:tcPr>
            <w:tcW w:w="1843" w:type="dxa"/>
            <w:vAlign w:val="center"/>
          </w:tcPr>
          <w:p>
            <w:pPr>
              <w:pStyle w:val="26"/>
              <w:spacing w:line="360" w:lineRule="exact"/>
              <w:jc w:val="center"/>
              <w:rPr>
                <w:rFonts w:hAnsi="宋体"/>
              </w:rPr>
            </w:pPr>
            <w:r>
              <w:rPr>
                <w:rFonts w:hint="eastAsia" w:hAnsi="宋体"/>
              </w:rPr>
              <w:t>资金来源</w:t>
            </w:r>
          </w:p>
        </w:tc>
        <w:tc>
          <w:tcPr>
            <w:tcW w:w="6520" w:type="dxa"/>
            <w:vAlign w:val="center"/>
          </w:tcPr>
          <w:p>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6"/>
              <w:spacing w:line="360" w:lineRule="auto"/>
              <w:jc w:val="center"/>
              <w:rPr>
                <w:rFonts w:hAnsi="宋体"/>
              </w:rPr>
            </w:pPr>
            <w:r>
              <w:rPr>
                <w:rFonts w:hint="eastAsia" w:hAnsi="宋体"/>
              </w:rPr>
              <w:t>5</w:t>
            </w:r>
          </w:p>
        </w:tc>
        <w:tc>
          <w:tcPr>
            <w:tcW w:w="1038" w:type="dxa"/>
            <w:vAlign w:val="center"/>
          </w:tcPr>
          <w:p>
            <w:pPr>
              <w:pStyle w:val="26"/>
              <w:spacing w:line="360" w:lineRule="auto"/>
              <w:jc w:val="center"/>
              <w:rPr>
                <w:rFonts w:hAnsi="宋体"/>
              </w:rPr>
            </w:pPr>
            <w:r>
              <w:rPr>
                <w:rFonts w:hint="eastAsia" w:hAnsi="宋体"/>
              </w:rPr>
              <w:t>4.7</w:t>
            </w:r>
          </w:p>
        </w:tc>
        <w:tc>
          <w:tcPr>
            <w:tcW w:w="1843" w:type="dxa"/>
            <w:vAlign w:val="center"/>
          </w:tcPr>
          <w:p>
            <w:pPr>
              <w:pStyle w:val="26"/>
              <w:spacing w:line="360" w:lineRule="auto"/>
              <w:jc w:val="center"/>
              <w:rPr>
                <w:rFonts w:hAnsi="宋体"/>
              </w:rPr>
            </w:pPr>
            <w:r>
              <w:rPr>
                <w:rFonts w:hint="eastAsia" w:hAnsi="宋体"/>
              </w:rPr>
              <w:t>投标人资格要求</w:t>
            </w:r>
          </w:p>
        </w:tc>
        <w:tc>
          <w:tcPr>
            <w:tcW w:w="6520" w:type="dxa"/>
            <w:vAlign w:val="center"/>
          </w:tcPr>
          <w:p>
            <w:pPr>
              <w:pStyle w:val="26"/>
              <w:spacing w:line="360" w:lineRule="auto"/>
              <w:rPr>
                <w:rFonts w:hAnsi="宋体"/>
                <w:szCs w:val="21"/>
              </w:rPr>
            </w:pPr>
            <w:r>
              <w:rPr>
                <w:rFonts w:hint="eastAsia" w:hAnsi="宋体"/>
                <w:szCs w:val="21"/>
              </w:rPr>
              <w:t>详见《第一章 投标邀请》“申请人的资格要求”</w:t>
            </w:r>
          </w:p>
          <w:p>
            <w:pPr>
              <w:pStyle w:val="26"/>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6</w:t>
            </w:r>
          </w:p>
        </w:tc>
        <w:tc>
          <w:tcPr>
            <w:tcW w:w="1038" w:type="dxa"/>
            <w:vAlign w:val="center"/>
          </w:tcPr>
          <w:p>
            <w:pPr>
              <w:pStyle w:val="26"/>
              <w:spacing w:line="360" w:lineRule="auto"/>
              <w:jc w:val="center"/>
              <w:rPr>
                <w:rFonts w:hAnsi="宋体"/>
              </w:rPr>
            </w:pPr>
            <w:r>
              <w:rPr>
                <w:rFonts w:hint="eastAsia" w:hAnsi="宋体"/>
              </w:rPr>
              <w:t>4.8</w:t>
            </w:r>
          </w:p>
        </w:tc>
        <w:tc>
          <w:tcPr>
            <w:tcW w:w="1843" w:type="dxa"/>
            <w:vAlign w:val="center"/>
          </w:tcPr>
          <w:p>
            <w:pPr>
              <w:pStyle w:val="26"/>
              <w:spacing w:line="360" w:lineRule="auto"/>
              <w:jc w:val="center"/>
              <w:rPr>
                <w:rFonts w:hAnsi="宋体"/>
              </w:rPr>
            </w:pPr>
            <w:r>
              <w:rPr>
                <w:rFonts w:hint="eastAsia" w:hAnsi="宋体"/>
              </w:rPr>
              <w:t>联合体投标</w:t>
            </w:r>
          </w:p>
        </w:tc>
        <w:tc>
          <w:tcPr>
            <w:tcW w:w="6520" w:type="dxa"/>
          </w:tcPr>
          <w:p>
            <w:pPr>
              <w:pStyle w:val="26"/>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7</w:t>
            </w:r>
          </w:p>
        </w:tc>
        <w:tc>
          <w:tcPr>
            <w:tcW w:w="1038" w:type="dxa"/>
            <w:vAlign w:val="center"/>
          </w:tcPr>
          <w:p>
            <w:pPr>
              <w:pStyle w:val="26"/>
              <w:spacing w:line="360" w:lineRule="auto"/>
              <w:jc w:val="center"/>
              <w:rPr>
                <w:rFonts w:hAnsi="宋体"/>
              </w:rPr>
            </w:pPr>
            <w:r>
              <w:rPr>
                <w:rFonts w:hint="eastAsia" w:hAnsi="宋体"/>
              </w:rPr>
              <w:t>6.1</w:t>
            </w:r>
          </w:p>
        </w:tc>
        <w:tc>
          <w:tcPr>
            <w:tcW w:w="1843" w:type="dxa"/>
            <w:vAlign w:val="center"/>
          </w:tcPr>
          <w:p>
            <w:pPr>
              <w:pStyle w:val="26"/>
              <w:spacing w:line="360" w:lineRule="auto"/>
              <w:jc w:val="center"/>
              <w:rPr>
                <w:rFonts w:hAnsi="宋体"/>
              </w:rPr>
            </w:pPr>
            <w:r>
              <w:rPr>
                <w:rFonts w:hint="eastAsia" w:hAnsi="宋体"/>
              </w:rPr>
              <w:t>踏勘现场</w:t>
            </w:r>
          </w:p>
        </w:tc>
        <w:tc>
          <w:tcPr>
            <w:tcW w:w="6520" w:type="dxa"/>
          </w:tcPr>
          <w:p>
            <w:pPr>
              <w:pStyle w:val="26"/>
              <w:spacing w:line="360" w:lineRule="auto"/>
              <w:rPr>
                <w:rFonts w:hAnsi="宋体"/>
              </w:rPr>
            </w:pPr>
            <w:r>
              <w:rPr>
                <w:rFonts w:hint="eastAsia" w:hAnsi="宋体"/>
              </w:rPr>
              <w:t>不统一组织</w:t>
            </w:r>
            <w:r>
              <w:rPr>
                <w:rFonts w:hint="eastAsia"/>
                <w:snapToGrid w:val="0"/>
              </w:rPr>
              <w:t>，由各投标人自行查看现场。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pPr>
              <w:pStyle w:val="26"/>
              <w:spacing w:line="360" w:lineRule="auto"/>
              <w:jc w:val="center"/>
              <w:rPr>
                <w:rFonts w:hAnsi="宋体"/>
              </w:rPr>
            </w:pPr>
            <w:r>
              <w:rPr>
                <w:rFonts w:hint="eastAsia" w:hAnsi="宋体"/>
              </w:rPr>
              <w:t>8</w:t>
            </w:r>
          </w:p>
        </w:tc>
        <w:tc>
          <w:tcPr>
            <w:tcW w:w="1038" w:type="dxa"/>
            <w:vAlign w:val="center"/>
          </w:tcPr>
          <w:p>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6"/>
              <w:spacing w:line="360" w:lineRule="auto"/>
              <w:jc w:val="center"/>
              <w:rPr>
                <w:rFonts w:hAnsi="宋体"/>
              </w:rPr>
            </w:pPr>
            <w:r>
              <w:rPr>
                <w:rFonts w:hint="eastAsia" w:hAnsi="宋体"/>
              </w:rPr>
              <w:t>投标有效期</w:t>
            </w:r>
          </w:p>
        </w:tc>
        <w:tc>
          <w:tcPr>
            <w:tcW w:w="6520" w:type="dxa"/>
          </w:tcPr>
          <w:p>
            <w:pPr>
              <w:pStyle w:val="26"/>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pPr>
              <w:pStyle w:val="26"/>
              <w:spacing w:line="360" w:lineRule="auto"/>
              <w:jc w:val="center"/>
              <w:rPr>
                <w:rFonts w:hAnsi="宋体"/>
              </w:rPr>
            </w:pPr>
            <w:r>
              <w:rPr>
                <w:rFonts w:hint="eastAsia" w:hAnsi="宋体"/>
              </w:rPr>
              <w:t>9</w:t>
            </w:r>
          </w:p>
        </w:tc>
        <w:tc>
          <w:tcPr>
            <w:tcW w:w="1038" w:type="dxa"/>
            <w:vAlign w:val="center"/>
          </w:tcPr>
          <w:p>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rPr>
            </w:pPr>
            <w:r>
              <w:rPr>
                <w:rFonts w:hint="eastAsia" w:hAnsi="宋体"/>
              </w:rPr>
              <w:t>10</w:t>
            </w:r>
          </w:p>
        </w:tc>
        <w:tc>
          <w:tcPr>
            <w:tcW w:w="1038" w:type="dxa"/>
            <w:vAlign w:val="center"/>
          </w:tcPr>
          <w:p>
            <w:pPr>
              <w:pStyle w:val="26"/>
              <w:spacing w:line="360" w:lineRule="auto"/>
              <w:jc w:val="center"/>
              <w:rPr>
                <w:rFonts w:hAnsi="宋体"/>
              </w:rPr>
            </w:pPr>
            <w:r>
              <w:rPr>
                <w:rFonts w:hint="eastAsia" w:hAnsi="宋体"/>
              </w:rPr>
              <w:t>16.1</w:t>
            </w:r>
          </w:p>
        </w:tc>
        <w:tc>
          <w:tcPr>
            <w:tcW w:w="1843" w:type="dxa"/>
            <w:vAlign w:val="center"/>
          </w:tcPr>
          <w:p>
            <w:pPr>
              <w:pStyle w:val="26"/>
              <w:spacing w:line="360" w:lineRule="auto"/>
              <w:jc w:val="center"/>
              <w:rPr>
                <w:rFonts w:hAnsi="宋体"/>
              </w:rPr>
            </w:pPr>
            <w:r>
              <w:rPr>
                <w:rFonts w:hint="eastAsia" w:hAnsi="宋体"/>
              </w:rPr>
              <w:t>投标预备会</w:t>
            </w:r>
          </w:p>
          <w:p>
            <w:pPr>
              <w:pStyle w:val="26"/>
              <w:spacing w:line="360" w:lineRule="auto"/>
              <w:jc w:val="center"/>
              <w:rPr>
                <w:rFonts w:hAnsi="宋体"/>
              </w:rPr>
            </w:pPr>
            <w:r>
              <w:rPr>
                <w:rFonts w:hint="eastAsia" w:hAnsi="宋体"/>
              </w:rPr>
              <w:t>（答疑会）</w:t>
            </w:r>
          </w:p>
        </w:tc>
        <w:tc>
          <w:tcPr>
            <w:tcW w:w="6520" w:type="dxa"/>
            <w:vAlign w:val="center"/>
          </w:tcPr>
          <w:p>
            <w:pPr>
              <w:pStyle w:val="26"/>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11</w:t>
            </w:r>
          </w:p>
        </w:tc>
        <w:tc>
          <w:tcPr>
            <w:tcW w:w="1038" w:type="dxa"/>
            <w:vAlign w:val="center"/>
          </w:tcPr>
          <w:p>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6"/>
              <w:spacing w:line="360" w:lineRule="auto"/>
              <w:jc w:val="center"/>
              <w:rPr>
                <w:rFonts w:hAnsi="宋体"/>
              </w:rPr>
            </w:pPr>
            <w:r>
              <w:rPr>
                <w:rFonts w:hint="eastAsia" w:hAnsi="宋体"/>
              </w:rPr>
              <w:t>投标文件份数</w:t>
            </w:r>
          </w:p>
        </w:tc>
        <w:tc>
          <w:tcPr>
            <w:tcW w:w="6520" w:type="dxa"/>
          </w:tcPr>
          <w:p>
            <w:pPr>
              <w:pStyle w:val="26"/>
              <w:spacing w:line="360" w:lineRule="auto"/>
              <w:rPr>
                <w:rFonts w:hAnsi="宋体"/>
              </w:rPr>
            </w:pPr>
            <w:r>
              <w:rPr>
                <w:rFonts w:asciiTheme="minorEastAsia" w:hAnsiTheme="minorEastAsia" w:eastAsiaTheme="minorEastAsia"/>
              </w:rPr>
              <w:t>正本1份，副本</w:t>
            </w:r>
            <w:r>
              <w:rPr>
                <w:rFonts w:hint="eastAsia" w:asciiTheme="minorEastAsia" w:hAnsiTheme="minorEastAsia" w:eastAsiaTheme="minorEastAsia"/>
              </w:rPr>
              <w:t>5</w:t>
            </w:r>
            <w:r>
              <w:rPr>
                <w:rFonts w:asciiTheme="minorEastAsia" w:hAnsiTheme="minorEastAsia" w:eastAsiaTheme="minorEastAsia"/>
              </w:rPr>
              <w:t>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投标文件必须标注页码并装订成册</w:t>
            </w:r>
            <w:r>
              <w:rPr>
                <w:rFonts w:hint="eastAsia" w:asciiTheme="minorEastAsia" w:hAnsiTheme="minorEastAsia" w:eastAsiaTheme="minor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12</w:t>
            </w:r>
          </w:p>
        </w:tc>
        <w:tc>
          <w:tcPr>
            <w:tcW w:w="1038" w:type="dxa"/>
            <w:vAlign w:val="center"/>
          </w:tcPr>
          <w:p>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6"/>
              <w:spacing w:line="360" w:lineRule="auto"/>
              <w:jc w:val="center"/>
              <w:rPr>
                <w:rFonts w:hAnsi="宋体"/>
              </w:rPr>
            </w:pPr>
            <w:r>
              <w:rPr>
                <w:rFonts w:hint="eastAsia" w:hAnsi="宋体"/>
              </w:rPr>
              <w:t>开标</w:t>
            </w:r>
          </w:p>
        </w:tc>
        <w:tc>
          <w:tcPr>
            <w:tcW w:w="6520" w:type="dxa"/>
          </w:tcPr>
          <w:p>
            <w:pPr>
              <w:pStyle w:val="26"/>
              <w:spacing w:line="360" w:lineRule="auto"/>
              <w:rPr>
                <w:rFonts w:hAnsi="宋体"/>
                <w:b/>
              </w:rPr>
            </w:pPr>
            <w:r>
              <w:rPr>
                <w:rFonts w:hAnsi="宋体"/>
                <w:b/>
              </w:rPr>
              <w:t>时间：</w:t>
            </w:r>
            <w:r>
              <w:rPr>
                <w:rFonts w:hint="eastAsia" w:hAnsi="宋体"/>
                <w:b/>
                <w:snapToGrid w:val="0"/>
                <w:szCs w:val="18"/>
              </w:rPr>
              <w:t>2023年</w:t>
            </w:r>
            <w:r>
              <w:rPr>
                <w:rFonts w:hint="eastAsia" w:hAnsi="宋体"/>
                <w:b/>
                <w:snapToGrid w:val="0"/>
                <w:szCs w:val="18"/>
                <w:lang w:val="en-US" w:eastAsia="zh-CN"/>
              </w:rPr>
              <w:t>12</w:t>
            </w:r>
            <w:r>
              <w:rPr>
                <w:rFonts w:hint="eastAsia" w:hAnsi="宋体"/>
                <w:b/>
                <w:snapToGrid w:val="0"/>
                <w:szCs w:val="18"/>
              </w:rPr>
              <w:t>月</w:t>
            </w:r>
            <w:r>
              <w:rPr>
                <w:rFonts w:hint="eastAsia" w:hAnsi="宋体"/>
                <w:b/>
                <w:snapToGrid w:val="0"/>
                <w:szCs w:val="18"/>
                <w:lang w:val="en-US" w:eastAsia="zh-CN"/>
              </w:rPr>
              <w:t>11</w:t>
            </w:r>
            <w:r>
              <w:rPr>
                <w:rFonts w:hint="eastAsia" w:hAnsi="宋体"/>
                <w:b/>
                <w:snapToGrid w:val="0"/>
                <w:szCs w:val="18"/>
              </w:rPr>
              <w:t>日14点30分</w:t>
            </w:r>
            <w:r>
              <w:rPr>
                <w:rFonts w:hAnsi="宋体"/>
                <w:b/>
              </w:rPr>
              <w:t>（北京时间）</w:t>
            </w:r>
          </w:p>
          <w:p>
            <w:pPr>
              <w:pStyle w:val="26"/>
              <w:spacing w:line="360" w:lineRule="auto"/>
              <w:rPr>
                <w:rFonts w:hAnsi="宋体"/>
              </w:rPr>
            </w:pPr>
            <w:r>
              <w:rPr>
                <w:rFonts w:hAnsi="宋体"/>
              </w:rPr>
              <w:t>地点：</w:t>
            </w:r>
            <w:r>
              <w:rPr>
                <w:rFonts w:hint="eastAsia" w:hAnsi="宋体"/>
                <w:snapToGrid w:val="0"/>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13</w:t>
            </w:r>
          </w:p>
        </w:tc>
        <w:tc>
          <w:tcPr>
            <w:tcW w:w="1038" w:type="dxa"/>
            <w:vAlign w:val="center"/>
          </w:tcPr>
          <w:p>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投标截止时间</w:t>
            </w:r>
          </w:p>
        </w:tc>
        <w:tc>
          <w:tcPr>
            <w:tcW w:w="6520" w:type="dxa"/>
          </w:tcPr>
          <w:p>
            <w:pPr>
              <w:pStyle w:val="26"/>
              <w:spacing w:line="360" w:lineRule="auto"/>
              <w:rPr>
                <w:rFonts w:hAnsi="宋体"/>
                <w:b/>
              </w:rPr>
            </w:pPr>
            <w:r>
              <w:rPr>
                <w:rFonts w:hint="eastAsia" w:hAnsi="宋体"/>
                <w:b/>
                <w:snapToGrid w:val="0"/>
                <w:szCs w:val="18"/>
              </w:rPr>
              <w:t>2023年</w:t>
            </w:r>
            <w:r>
              <w:rPr>
                <w:rFonts w:hint="eastAsia" w:hAnsi="宋体"/>
                <w:b/>
                <w:snapToGrid w:val="0"/>
                <w:szCs w:val="18"/>
                <w:lang w:val="en-US" w:eastAsia="zh-CN"/>
              </w:rPr>
              <w:t>12</w:t>
            </w:r>
            <w:r>
              <w:rPr>
                <w:rFonts w:hint="eastAsia" w:hAnsi="宋体"/>
                <w:b/>
                <w:snapToGrid w:val="0"/>
                <w:szCs w:val="18"/>
              </w:rPr>
              <w:t>月</w:t>
            </w:r>
            <w:r>
              <w:rPr>
                <w:rFonts w:hint="eastAsia" w:hAnsi="宋体"/>
                <w:b/>
                <w:snapToGrid w:val="0"/>
                <w:szCs w:val="18"/>
                <w:lang w:val="en-US" w:eastAsia="zh-CN"/>
              </w:rPr>
              <w:t>11</w:t>
            </w:r>
            <w:r>
              <w:rPr>
                <w:rFonts w:hint="eastAsia" w:hAnsi="宋体"/>
                <w:b/>
                <w:snapToGrid w:val="0"/>
                <w:szCs w:val="18"/>
              </w:rPr>
              <w:t>日14点30分</w:t>
            </w:r>
            <w:r>
              <w:rPr>
                <w:rFonts w:hint="eastAsia" w:hAnsi="宋体"/>
                <w:b/>
              </w:rPr>
              <w:t>（北京时间）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14</w:t>
            </w:r>
          </w:p>
        </w:tc>
        <w:tc>
          <w:tcPr>
            <w:tcW w:w="1038" w:type="dxa"/>
            <w:vAlign w:val="center"/>
          </w:tcPr>
          <w:p>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6"/>
              <w:spacing w:line="360" w:lineRule="auto"/>
              <w:jc w:val="center"/>
              <w:rPr>
                <w:rFonts w:hAnsi="宋体"/>
              </w:rPr>
            </w:pPr>
            <w:r>
              <w:rPr>
                <w:rFonts w:hint="eastAsia" w:hAnsi="宋体"/>
              </w:rPr>
              <w:t>评标办法</w:t>
            </w:r>
          </w:p>
        </w:tc>
        <w:tc>
          <w:tcPr>
            <w:tcW w:w="6520" w:type="dxa"/>
          </w:tcPr>
          <w:p>
            <w:pPr>
              <w:pStyle w:val="26"/>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15</w:t>
            </w:r>
          </w:p>
        </w:tc>
        <w:tc>
          <w:tcPr>
            <w:tcW w:w="1038" w:type="dxa"/>
            <w:vAlign w:val="center"/>
          </w:tcPr>
          <w:p>
            <w:pPr>
              <w:pStyle w:val="26"/>
              <w:spacing w:line="360" w:lineRule="auto"/>
              <w:jc w:val="center"/>
              <w:rPr>
                <w:rFonts w:hAnsi="宋体"/>
              </w:rPr>
            </w:pPr>
            <w:r>
              <w:rPr>
                <w:rFonts w:hint="eastAsia" w:hAnsi="宋体"/>
              </w:rPr>
              <w:t>33</w:t>
            </w:r>
            <w:r>
              <w:rPr>
                <w:rFonts w:hAnsi="宋体"/>
              </w:rPr>
              <w:t>.1</w:t>
            </w:r>
          </w:p>
        </w:tc>
        <w:tc>
          <w:tcPr>
            <w:tcW w:w="1843" w:type="dxa"/>
            <w:vAlign w:val="center"/>
          </w:tcPr>
          <w:p>
            <w:pPr>
              <w:pStyle w:val="26"/>
              <w:spacing w:line="360" w:lineRule="auto"/>
              <w:jc w:val="center"/>
              <w:rPr>
                <w:snapToGrid w:val="0"/>
                <w:kern w:val="0"/>
              </w:rPr>
            </w:pPr>
            <w:r>
              <w:rPr>
                <w:rFonts w:hint="eastAsia"/>
                <w:snapToGrid w:val="0"/>
                <w:kern w:val="0"/>
              </w:rPr>
              <w:t>履约保证金</w:t>
            </w:r>
          </w:p>
        </w:tc>
        <w:tc>
          <w:tcPr>
            <w:tcW w:w="6520" w:type="dxa"/>
          </w:tcPr>
          <w:p>
            <w:pPr>
              <w:pStyle w:val="26"/>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16</w:t>
            </w:r>
          </w:p>
        </w:tc>
        <w:tc>
          <w:tcPr>
            <w:tcW w:w="1038" w:type="dxa"/>
            <w:vAlign w:val="center"/>
          </w:tcPr>
          <w:p>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6"/>
              <w:spacing w:line="360" w:lineRule="auto"/>
              <w:jc w:val="center"/>
              <w:rPr>
                <w:rFonts w:hAnsi="宋体"/>
              </w:rPr>
            </w:pPr>
            <w:r>
              <w:rPr>
                <w:rFonts w:hint="eastAsia" w:hAnsi="宋体"/>
              </w:rPr>
              <w:t>中标服务费</w:t>
            </w:r>
          </w:p>
        </w:tc>
        <w:tc>
          <w:tcPr>
            <w:tcW w:w="6520" w:type="dxa"/>
          </w:tcPr>
          <w:p>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p>
    <w:p>
      <w:pPr>
        <w:pStyle w:val="4"/>
      </w:pPr>
      <w:bookmarkStart w:id="18" w:name="_Toc135293330"/>
    </w:p>
    <w:p>
      <w:pPr>
        <w:pStyle w:val="4"/>
      </w:pPr>
      <w:r>
        <w:rPr>
          <w:rFonts w:hint="eastAsia"/>
        </w:rPr>
        <w:t>第六章  投标人须知</w:t>
      </w:r>
      <w:bookmarkEnd w:id="18"/>
    </w:p>
    <w:p>
      <w:pPr>
        <w:pStyle w:val="6"/>
        <w:spacing w:before="0" w:after="0"/>
      </w:pPr>
      <w:bookmarkStart w:id="19" w:name="_Toc135293331"/>
      <w:r>
        <w:rPr>
          <w:rFonts w:hint="eastAsia"/>
        </w:rPr>
        <w:t>一、说</w:t>
      </w:r>
      <w:r>
        <w:t xml:space="preserve">  </w:t>
      </w:r>
      <w:r>
        <w:rPr>
          <w:rFonts w:hint="eastAsia"/>
        </w:rPr>
        <w:t>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6"/>
        <w:spacing w:before="0" w:after="0"/>
      </w:pPr>
      <w:bookmarkStart w:id="21" w:name="_Toc135293332"/>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6"/>
        <w:spacing w:before="0" w:after="0"/>
      </w:pPr>
      <w:bookmarkStart w:id="22" w:name="q6"/>
      <w:bookmarkEnd w:id="22"/>
      <w:bookmarkStart w:id="23" w:name="_Toc135293333"/>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pPr>
        <w:adjustRightInd w:val="0"/>
        <w:spacing w:line="360" w:lineRule="auto"/>
        <w:rPr>
          <w:rFonts w:asciiTheme="minorEastAsia" w:hAnsiTheme="minorEastAsia" w:eastAsiaTheme="minorEastAsia"/>
          <w:snapToGrid w:val="0"/>
          <w:kern w:val="0"/>
        </w:rPr>
      </w:pPr>
    </w:p>
    <w:p>
      <w:pPr>
        <w:pStyle w:val="6"/>
        <w:spacing w:before="0" w:after="0"/>
      </w:pPr>
      <w:bookmarkStart w:id="24" w:name="q7"/>
      <w:bookmarkEnd w:id="24"/>
      <w:bookmarkStart w:id="25" w:name="_Toc135293334"/>
      <w:r>
        <w:rPr>
          <w:rFonts w:hint="eastAsia"/>
        </w:rPr>
        <w:t>四、投标文件的递交</w:t>
      </w:r>
      <w:bookmarkEnd w:id="25"/>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6"/>
        <w:spacing w:before="0" w:after="0"/>
      </w:pPr>
      <w:bookmarkStart w:id="27" w:name="q8"/>
      <w:bookmarkEnd w:id="27"/>
      <w:bookmarkStart w:id="28" w:name="_Toc135293335"/>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6"/>
        <w:spacing w:before="0" w:after="0"/>
      </w:pPr>
      <w:bookmarkStart w:id="30" w:name="_Toc135293336"/>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NDVPy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fdjj9/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ONmhNX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pPr>
        <w:spacing w:line="360" w:lineRule="auto"/>
        <w:ind w:firstLine="1044" w:firstLineChars="200"/>
        <w:rPr>
          <w:b/>
          <w:sz w:val="52"/>
          <w:szCs w:val="52"/>
        </w:rPr>
      </w:pPr>
    </w:p>
    <w:p>
      <w:pPr>
        <w:pStyle w:val="6"/>
        <w:spacing w:before="0" w:after="0"/>
      </w:pPr>
      <w:bookmarkStart w:id="31" w:name="_Toc135293337"/>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2"/>
    </w:p>
    <w:p/>
    <w:p/>
    <w:p/>
    <w:p/>
    <w:p/>
    <w:p/>
    <w:p/>
    <w:p>
      <w:pPr>
        <w:pStyle w:val="4"/>
      </w:pPr>
      <w:bookmarkStart w:id="34" w:name="_Toc135293338"/>
      <w:r>
        <w:rPr>
          <w:rFonts w:hint="eastAsia"/>
        </w:rPr>
        <w:t>第七章  投标文件格式</w:t>
      </w:r>
      <w:bookmarkEnd w:id="34"/>
    </w:p>
    <w:p>
      <w:pPr>
        <w:jc w:val="center"/>
        <w:rPr>
          <w:b/>
          <w:sz w:val="52"/>
          <w:szCs w:val="52"/>
        </w:rPr>
      </w:pPr>
    </w:p>
    <w:p>
      <w:pPr>
        <w:pStyle w:val="6"/>
        <w:spacing w:line="400" w:lineRule="exact"/>
        <w:rPr>
          <w:rFonts w:ascii="仿宋" w:hAnsi="仿宋" w:eastAsia="仿宋"/>
        </w:rPr>
      </w:pPr>
      <w:bookmarkStart w:id="35" w:name="_Toc44690704"/>
      <w:bookmarkStart w:id="36" w:name="_Toc14934"/>
      <w:bookmarkStart w:id="37" w:name="_Toc25194"/>
      <w:bookmarkStart w:id="38" w:name="_Toc44691163"/>
      <w:bookmarkStart w:id="39" w:name="_Toc44691395"/>
      <w:bookmarkStart w:id="40" w:name="_Toc11772"/>
      <w:bookmarkStart w:id="41" w:name="_Toc44690431"/>
      <w:bookmarkStart w:id="42" w:name="_Toc135293339"/>
      <w:bookmarkStart w:id="43" w:name="_Toc31468"/>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spacing w:line="400" w:lineRule="exact"/>
        <w:rPr>
          <w:rFonts w:ascii="仿宋" w:hAnsi="仿宋" w:eastAsia="仿宋"/>
        </w:rPr>
      </w:pPr>
      <w:bookmarkStart w:id="44" w:name="_投标文件格式（第一册）"/>
      <w:bookmarkEnd w:id="44"/>
      <w:bookmarkStart w:id="45" w:name="q0"/>
    </w:p>
    <w:p>
      <w:pPr>
        <w:spacing w:line="400" w:lineRule="exact"/>
        <w:rPr>
          <w:rFonts w:ascii="仿宋" w:hAnsi="仿宋" w:eastAsia="仿宋"/>
        </w:rPr>
      </w:pPr>
    </w:p>
    <w:p>
      <w:pPr>
        <w:spacing w:line="400" w:lineRule="exact"/>
        <w:rPr>
          <w:rFonts w:ascii="仿宋" w:hAnsi="仿宋" w:eastAsia="仿宋"/>
        </w:rPr>
      </w:pPr>
    </w:p>
    <w:p>
      <w:pPr>
        <w:pStyle w:val="6"/>
        <w:spacing w:line="400" w:lineRule="exact"/>
        <w:rPr>
          <w:rFonts w:ascii="仿宋" w:hAnsi="仿宋" w:eastAsia="仿宋"/>
        </w:rPr>
      </w:pPr>
      <w:bookmarkStart w:id="46" w:name="_Toc135293340"/>
      <w:r>
        <w:rPr>
          <w:rFonts w:hint="eastAsia" w:ascii="仿宋" w:hAnsi="仿宋" w:eastAsia="仿宋"/>
        </w:rPr>
        <w:t>投标文件格式</w:t>
      </w:r>
      <w:bookmarkEnd w:id="46"/>
    </w:p>
    <w:bookmarkEnd w:id="45"/>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评标指引表</w:t>
      </w:r>
    </w:p>
    <w:p>
      <w:pPr>
        <w:numPr>
          <w:ilvl w:val="0"/>
          <w:numId w:val="5"/>
        </w:numPr>
        <w:adjustRightInd w:val="0"/>
        <w:spacing w:line="360" w:lineRule="auto"/>
        <w:rPr>
          <w:snapToGrid w:val="0"/>
          <w:kern w:val="0"/>
          <w:szCs w:val="21"/>
        </w:rPr>
      </w:pPr>
      <w:r>
        <w:rPr>
          <w:rFonts w:hint="eastAsia"/>
          <w:snapToGrid w:val="0"/>
          <w:kern w:val="0"/>
          <w:szCs w:val="21"/>
        </w:rPr>
        <w:t>投标人资格证明文件（格式1）</w:t>
      </w:r>
    </w:p>
    <w:p>
      <w:pPr>
        <w:numPr>
          <w:ilvl w:val="0"/>
          <w:numId w:val="5"/>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pPr>
        <w:numPr>
          <w:ilvl w:val="0"/>
          <w:numId w:val="5"/>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pPr>
        <w:numPr>
          <w:ilvl w:val="0"/>
          <w:numId w:val="5"/>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6"/>
        <w:spacing w:line="400" w:lineRule="exact"/>
        <w:rPr>
          <w:rFonts w:ascii="仿宋" w:hAnsi="仿宋" w:eastAsia="仿宋"/>
        </w:rPr>
      </w:pPr>
      <w:bookmarkStart w:id="48" w:name="_Toc135293341"/>
      <w:bookmarkStart w:id="49" w:name="_Toc73610158"/>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pStyle w:val="6"/>
        <w:spacing w:line="400" w:lineRule="exact"/>
        <w:rPr>
          <w:rFonts w:ascii="仿宋" w:hAnsi="仿宋" w:eastAsia="仿宋"/>
        </w:rPr>
      </w:pPr>
      <w:bookmarkStart w:id="50" w:name="_Toc135293342"/>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pStyle w:val="26"/>
        <w:spacing w:line="360" w:lineRule="auto"/>
        <w:ind w:firstLine="424" w:firstLineChars="201"/>
        <w:rPr>
          <w:rFonts w:hAnsi="宋体"/>
          <w:b/>
          <w:szCs w:val="21"/>
        </w:rPr>
      </w:pPr>
    </w:p>
    <w:p>
      <w:pPr>
        <w:pStyle w:val="26"/>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
    <w:p/>
    <w:p/>
    <w:p/>
    <w:p/>
    <w:p/>
    <w:p>
      <w:pPr>
        <w:pStyle w:val="5"/>
        <w:tabs>
          <w:tab w:val="left" w:pos="371"/>
        </w:tabs>
        <w:spacing w:before="120" w:after="120"/>
        <w:ind w:left="-1" w:leftChars="-1" w:hanging="1"/>
        <w:jc w:val="center"/>
        <w:rPr>
          <w:rFonts w:asciiTheme="minorEastAsia" w:hAnsiTheme="minorEastAsia" w:eastAsiaTheme="minorEastAsia"/>
          <w:snapToGrid w:val="0"/>
          <w:kern w:val="0"/>
        </w:rPr>
      </w:pPr>
      <w:bookmarkStart w:id="51" w:name="_Toc44690432"/>
      <w:bookmarkStart w:id="52" w:name="_Toc44690705"/>
      <w:bookmarkStart w:id="53" w:name="_Toc135293343"/>
      <w:bookmarkStart w:id="54" w:name="_Toc44691164"/>
      <w:bookmarkStart w:id="55" w:name="_Toc44691396"/>
      <w:r>
        <w:rPr>
          <w:rFonts w:hint="eastAsia" w:asciiTheme="minorEastAsia" w:hAnsiTheme="minorEastAsia" w:eastAsiaTheme="minorEastAsia"/>
        </w:rPr>
        <w:t>格式1  投标人资格证明文件</w:t>
      </w:r>
      <w:bookmarkEnd w:id="51"/>
      <w:bookmarkEnd w:id="52"/>
      <w:bookmarkEnd w:id="53"/>
      <w:bookmarkEnd w:id="54"/>
      <w:bookmarkEnd w:id="55"/>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rPr>
          <w:rFonts w:ascii="宋体" w:hAnsi="宋体"/>
          <w:bCs/>
          <w:snapToGrid w:val="0"/>
          <w:kern w:val="0"/>
        </w:rPr>
      </w:pPr>
    </w:p>
    <w:p>
      <w:pPr>
        <w:adjustRightInd w:val="0"/>
        <w:snapToGrid w:val="0"/>
        <w:spacing w:line="360" w:lineRule="auto"/>
        <w:ind w:firstLine="424" w:firstLineChars="201"/>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pPr>
        <w:spacing w:line="400" w:lineRule="exact"/>
        <w:ind w:firstLine="420" w:firstLineChars="200"/>
        <w:rPr>
          <w:rFonts w:ascii="宋体" w:hAnsi="宋体"/>
          <w:szCs w:val="21"/>
        </w:rPr>
      </w:pPr>
      <w:r>
        <w:rPr>
          <w:rFonts w:hint="eastAsia" w:ascii="宋体" w:hAnsi="宋体"/>
          <w:szCs w:val="21"/>
        </w:rPr>
        <w:t>（一）具有独立承担民事责任的能力；</w:t>
      </w:r>
    </w:p>
    <w:p>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（六）法律、行政法规规定的其他条件。</w:t>
      </w:r>
    </w:p>
    <w:p>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w:t>
      </w:r>
      <w:r>
        <w:rPr>
          <w:rFonts w:hint="eastAsia" w:ascii="宋体" w:hAnsi="宋体" w:cs="仿宋_GB2312"/>
          <w:kern w:val="0"/>
          <w:szCs w:val="21"/>
        </w:rPr>
        <w:t>与其他采购参加人</w:t>
      </w:r>
      <w:r>
        <w:rPr>
          <w:rFonts w:hint="eastAsia" w:ascii="宋体" w:hAnsi="宋体"/>
          <w:szCs w:val="21"/>
        </w:rPr>
        <w:t>不存在下列</w:t>
      </w:r>
      <w:r>
        <w:rPr>
          <w:rFonts w:hint="eastAsia" w:ascii="宋体" w:hAnsi="宋体" w:cs="仿宋_GB2312"/>
          <w:kern w:val="0"/>
          <w:szCs w:val="21"/>
        </w:rPr>
        <w:t>串通投标</w:t>
      </w:r>
      <w:r>
        <w:rPr>
          <w:rFonts w:hint="eastAsia" w:ascii="宋体" w:hAnsi="宋体"/>
          <w:szCs w:val="21"/>
        </w:rPr>
        <w:t>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00" w:lineRule="auto"/>
        <w:jc w:val="center"/>
        <w:rPr>
          <w:b/>
          <w:snapToGrid w:val="0"/>
          <w:sz w:val="32"/>
          <w:szCs w:val="32"/>
        </w:rPr>
      </w:pPr>
    </w:p>
    <w:p>
      <w:pPr>
        <w:pStyle w:val="5"/>
        <w:tabs>
          <w:tab w:val="left" w:pos="371"/>
        </w:tabs>
        <w:spacing w:before="120" w:after="120"/>
        <w:ind w:left="-1" w:leftChars="-1" w:hanging="1"/>
        <w:jc w:val="center"/>
        <w:rPr>
          <w:rFonts w:asciiTheme="minorEastAsia" w:hAnsiTheme="minorEastAsia" w:eastAsiaTheme="minorEastAsia"/>
          <w:snapToGrid w:val="0"/>
          <w:kern w:val="0"/>
        </w:rPr>
      </w:pPr>
      <w:bookmarkStart w:id="56" w:name="_Toc135293344"/>
      <w:r>
        <w:rPr>
          <w:rFonts w:hint="eastAsia" w:asciiTheme="minorEastAsia" w:hAnsiTheme="minorEastAsia" w:eastAsiaTheme="minorEastAsia"/>
        </w:rPr>
        <w:t>格式2  法定代表人（负责人）证明书及授权委托书</w:t>
      </w:r>
      <w:bookmarkEnd w:id="56"/>
    </w:p>
    <w:p>
      <w:pPr>
        <w:adjustRightInd w:val="0"/>
        <w:snapToGrid w:val="0"/>
        <w:spacing w:line="300" w:lineRule="auto"/>
        <w:jc w:val="center"/>
        <w:rPr>
          <w:b/>
          <w:snapToGrid w:val="0"/>
          <w:sz w:val="32"/>
          <w:szCs w:val="32"/>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法定代表人（负责人）：（签字）</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7"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57"/>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Pr>
        <w:widowControl/>
        <w:snapToGrid w:val="0"/>
        <w:spacing w:line="360" w:lineRule="auto"/>
        <w:jc w:val="left"/>
      </w:pPr>
    </w:p>
    <w:p>
      <w:pPr>
        <w:widowControl/>
        <w:snapToGrid w:val="0"/>
        <w:spacing w:line="360" w:lineRule="auto"/>
        <w:jc w:val="left"/>
      </w:pPr>
    </w:p>
    <w:p>
      <w:pPr>
        <w:widowControl/>
        <w:snapToGrid w:val="0"/>
        <w:spacing w:line="360" w:lineRule="auto"/>
        <w:jc w:val="left"/>
        <w:rPr>
          <w:rFonts w:asciiTheme="minorEastAsia" w:hAnsiTheme="minorEastAsia" w:eastAsiaTheme="minorEastAsia"/>
          <w:color w:val="FF0000"/>
          <w:kern w:val="0"/>
          <w:szCs w:val="21"/>
        </w:rPr>
      </w:pPr>
    </w:p>
    <w:p>
      <w:pPr>
        <w:pStyle w:val="5"/>
        <w:tabs>
          <w:tab w:val="left" w:pos="371"/>
        </w:tabs>
        <w:spacing w:before="120" w:after="120"/>
        <w:ind w:left="-1" w:leftChars="-1" w:hanging="1"/>
        <w:jc w:val="center"/>
        <w:rPr>
          <w:rFonts w:asciiTheme="minorEastAsia" w:hAnsiTheme="minorEastAsia" w:eastAsiaTheme="minorEastAsia"/>
        </w:rPr>
      </w:pPr>
      <w:bookmarkStart w:id="58"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tabs>
          <w:tab w:val="left" w:pos="371"/>
        </w:tabs>
        <w:spacing w:before="120" w:after="120"/>
        <w:ind w:left="-1" w:leftChars="-1" w:hanging="1"/>
        <w:jc w:val="center"/>
        <w:rPr>
          <w:b/>
          <w:snapToGrid w:val="0"/>
          <w:kern w:val="0"/>
          <w:sz w:val="28"/>
        </w:rPr>
      </w:pPr>
    </w:p>
    <w:p>
      <w:pPr>
        <w:tabs>
          <w:tab w:val="left" w:pos="371"/>
        </w:tabs>
        <w:spacing w:before="120" w:after="120"/>
        <w:ind w:left="-1" w:leftChars="-1" w:hanging="1"/>
        <w:jc w:val="center"/>
        <w:rPr>
          <w:rFonts w:asciiTheme="minorEastAsia" w:hAnsiTheme="minorEastAsia" w:eastAsiaTheme="minorEastAsia"/>
          <w:sz w:val="24"/>
        </w:rPr>
      </w:pPr>
    </w:p>
    <w:p>
      <w:pPr>
        <w:tabs>
          <w:tab w:val="left" w:pos="371"/>
        </w:tabs>
        <w:spacing w:before="120" w:after="120"/>
        <w:ind w:left="-1" w:leftChars="-1" w:hanging="1"/>
        <w:jc w:val="center"/>
        <w:rPr>
          <w:rFonts w:asciiTheme="minorEastAsia" w:hAnsiTheme="minorEastAsia" w:eastAsiaTheme="minorEastAsia"/>
          <w:sz w:val="24"/>
        </w:rPr>
      </w:pPr>
    </w:p>
    <w:p>
      <w:pPr>
        <w:pStyle w:val="5"/>
        <w:tabs>
          <w:tab w:val="left" w:pos="371"/>
        </w:tabs>
        <w:spacing w:before="120" w:after="120"/>
        <w:ind w:left="-1" w:leftChars="-1" w:hanging="1"/>
        <w:jc w:val="center"/>
        <w:rPr>
          <w:rFonts w:asciiTheme="minorEastAsia" w:hAnsiTheme="minorEastAsia" w:eastAsiaTheme="minorEastAsia"/>
        </w:rPr>
      </w:pPr>
      <w:bookmarkStart w:id="59" w:name="_Toc135293346"/>
      <w:r>
        <w:rPr>
          <w:rFonts w:hint="eastAsia" w:asciiTheme="minorEastAsia" w:hAnsiTheme="minorEastAsia" w:eastAsiaTheme="minorEastAsia"/>
        </w:rPr>
        <w:t>格式4  评分中涉及的承诺及声明函</w:t>
      </w:r>
      <w:bookmarkEnd w:id="59"/>
    </w:p>
    <w:p>
      <w:pPr>
        <w:widowControl/>
        <w:snapToGrid w:val="0"/>
        <w:spacing w:line="360" w:lineRule="auto"/>
        <w:jc w:val="left"/>
        <w:rPr>
          <w:rFonts w:ascii="仿宋" w:hAnsi="仿宋" w:eastAsia="仿宋"/>
          <w:b/>
          <w:bCs/>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pStyle w:val="7"/>
        <w:tabs>
          <w:tab w:val="left" w:pos="0"/>
        </w:tabs>
        <w:jc w:val="center"/>
        <w:rPr>
          <w:rFonts w:ascii="宋体" w:hAnsi="宋体" w:eastAsia="宋体"/>
        </w:rPr>
      </w:pPr>
      <w:r>
        <w:rPr>
          <w:rFonts w:hint="eastAsia" w:ascii="宋体" w:hAnsi="宋体" w:eastAsia="宋体"/>
        </w:rPr>
        <w:t>中小企业声明函</w:t>
      </w:r>
    </w:p>
    <w:p>
      <w:pPr>
        <w:pStyle w:val="3"/>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pPr>
        <w:pStyle w:val="3"/>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3"/>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3"/>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3"/>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r>
        <w:rPr>
          <w:rFonts w:hint="eastAsia" w:ascii="宋体" w:hAnsi="宋体"/>
          <w:szCs w:val="21"/>
        </w:rPr>
        <w:t>3、供应商提供的货物既有中小企业制造货物，也有大型企业制造货物的，不享受中小企业扶持政策。</w:t>
      </w:r>
    </w:p>
    <w:p>
      <w:pPr>
        <w:pStyle w:val="7"/>
        <w:tabs>
          <w:tab w:val="left" w:pos="0"/>
        </w:tabs>
        <w:jc w:val="center"/>
        <w:rPr>
          <w:rFonts w:ascii="宋体" w:hAnsi="宋体" w:eastAsia="宋体"/>
        </w:rPr>
      </w:pPr>
      <w:r>
        <w:rPr>
          <w:rFonts w:hint="eastAsia" w:ascii="宋体" w:hAnsi="宋体" w:eastAsia="宋体"/>
        </w:rPr>
        <w:t>监狱企业声明函</w:t>
      </w:r>
    </w:p>
    <w:p>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pStyle w:val="7"/>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pStyle w:val="7"/>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989"/>
        <w:gridCol w:w="1080"/>
        <w:gridCol w:w="1464"/>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restart"/>
            <w:vAlign w:val="center"/>
          </w:tcPr>
          <w:p>
            <w:pPr>
              <w:rPr>
                <w:b/>
                <w:szCs w:val="21"/>
              </w:rPr>
            </w:pPr>
            <w:r>
              <w:rPr>
                <w:rFonts w:hint="eastAsia"/>
                <w:b/>
                <w:szCs w:val="21"/>
              </w:rPr>
              <w:t>序号</w:t>
            </w:r>
          </w:p>
        </w:tc>
        <w:tc>
          <w:tcPr>
            <w:tcW w:w="1213" w:type="dxa"/>
            <w:vMerge w:val="restart"/>
            <w:vAlign w:val="center"/>
          </w:tcPr>
          <w:p>
            <w:pPr>
              <w:jc w:val="center"/>
              <w:rPr>
                <w:b/>
                <w:szCs w:val="21"/>
              </w:rPr>
            </w:pPr>
            <w:r>
              <w:rPr>
                <w:rFonts w:hint="eastAsia"/>
                <w:b/>
                <w:szCs w:val="21"/>
              </w:rPr>
              <w:t>投标产品名称</w:t>
            </w:r>
          </w:p>
        </w:tc>
        <w:tc>
          <w:tcPr>
            <w:tcW w:w="1840" w:type="dxa"/>
            <w:vMerge w:val="restart"/>
            <w:vAlign w:val="center"/>
          </w:tcPr>
          <w:p>
            <w:pPr>
              <w:jc w:val="center"/>
              <w:rPr>
                <w:b/>
                <w:szCs w:val="21"/>
              </w:rPr>
            </w:pPr>
            <w:r>
              <w:rPr>
                <w:rFonts w:hint="eastAsia"/>
                <w:b/>
                <w:szCs w:val="21"/>
              </w:rPr>
              <w:t>规格及型号</w:t>
            </w:r>
          </w:p>
        </w:tc>
        <w:tc>
          <w:tcPr>
            <w:tcW w:w="4351" w:type="dxa"/>
            <w:gridSpan w:val="4"/>
          </w:tcPr>
          <w:p>
            <w:pPr>
              <w:jc w:val="center"/>
              <w:rPr>
                <w:b/>
                <w:szCs w:val="21"/>
              </w:rPr>
            </w:pPr>
            <w:r>
              <w:rPr>
                <w:rFonts w:hint="eastAsia"/>
                <w:b/>
                <w:szCs w:val="21"/>
              </w:rPr>
              <w:t>该投标产品报价及占投标总价的比例</w:t>
            </w:r>
          </w:p>
        </w:tc>
        <w:tc>
          <w:tcPr>
            <w:tcW w:w="1503" w:type="dxa"/>
            <w:vMerge w:val="restart"/>
            <w:vAlign w:val="center"/>
          </w:tcPr>
          <w:p>
            <w:pPr>
              <w:rPr>
                <w:b/>
                <w:szCs w:val="21"/>
              </w:rPr>
            </w:pPr>
            <w:r>
              <w:rPr>
                <w:rFonts w:hint="eastAsia"/>
                <w:b/>
                <w:szCs w:val="21"/>
              </w:rPr>
              <w:t>属于优先采购清单的类别</w:t>
            </w:r>
          </w:p>
        </w:tc>
        <w:tc>
          <w:tcPr>
            <w:tcW w:w="720" w:type="dxa"/>
            <w:vMerge w:val="restart"/>
            <w:vAlign w:val="center"/>
          </w:tcPr>
          <w:p>
            <w:pP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szCs w:val="21"/>
              </w:rPr>
            </w:pPr>
          </w:p>
        </w:tc>
        <w:tc>
          <w:tcPr>
            <w:tcW w:w="1213" w:type="dxa"/>
            <w:vMerge w:val="continue"/>
            <w:vAlign w:val="center"/>
          </w:tcPr>
          <w:p>
            <w:pPr>
              <w:rPr>
                <w:szCs w:val="21"/>
              </w:rPr>
            </w:pPr>
          </w:p>
        </w:tc>
        <w:tc>
          <w:tcPr>
            <w:tcW w:w="1840" w:type="dxa"/>
            <w:vMerge w:val="continue"/>
            <w:vAlign w:val="center"/>
          </w:tcPr>
          <w:p>
            <w:pPr>
              <w:rPr>
                <w:szCs w:val="21"/>
              </w:rPr>
            </w:pPr>
          </w:p>
        </w:tc>
        <w:tc>
          <w:tcPr>
            <w:tcW w:w="818" w:type="dxa"/>
            <w:vAlign w:val="center"/>
          </w:tcPr>
          <w:p>
            <w:pPr>
              <w:rPr>
                <w:szCs w:val="21"/>
              </w:rPr>
            </w:pPr>
            <w:r>
              <w:rPr>
                <w:rFonts w:hint="eastAsia"/>
                <w:szCs w:val="21"/>
              </w:rPr>
              <w:t>数量</w:t>
            </w:r>
          </w:p>
        </w:tc>
        <w:tc>
          <w:tcPr>
            <w:tcW w:w="989" w:type="dxa"/>
            <w:vAlign w:val="center"/>
          </w:tcPr>
          <w:p>
            <w:pPr>
              <w:rPr>
                <w:szCs w:val="21"/>
              </w:rPr>
            </w:pPr>
            <w:r>
              <w:rPr>
                <w:rFonts w:hint="eastAsia"/>
                <w:szCs w:val="21"/>
              </w:rPr>
              <w:t>投标单价（元）</w:t>
            </w:r>
          </w:p>
        </w:tc>
        <w:tc>
          <w:tcPr>
            <w:tcW w:w="1080" w:type="dxa"/>
            <w:vAlign w:val="center"/>
          </w:tcPr>
          <w:p>
            <w:pPr>
              <w:rPr>
                <w:szCs w:val="21"/>
              </w:rPr>
            </w:pPr>
            <w:r>
              <w:rPr>
                <w:rFonts w:hint="eastAsia"/>
                <w:szCs w:val="21"/>
              </w:rPr>
              <w:t>投标合计报价（元）</w:t>
            </w:r>
          </w:p>
        </w:tc>
        <w:tc>
          <w:tcPr>
            <w:tcW w:w="1464" w:type="dxa"/>
            <w:vAlign w:val="center"/>
          </w:tcPr>
          <w:p>
            <w:pPr>
              <w:rPr>
                <w:szCs w:val="21"/>
              </w:rPr>
            </w:pPr>
            <w:r>
              <w:rPr>
                <w:rFonts w:hint="eastAsia"/>
                <w:szCs w:val="21"/>
              </w:rPr>
              <w:t>占投标总价的比例（%）</w:t>
            </w:r>
          </w:p>
        </w:tc>
        <w:tc>
          <w:tcPr>
            <w:tcW w:w="1503" w:type="dxa"/>
            <w:vMerge w:val="continue"/>
            <w:vAlign w:val="center"/>
          </w:tcPr>
          <w:p>
            <w:pPr>
              <w:rPr>
                <w:szCs w:val="21"/>
              </w:rPr>
            </w:pPr>
          </w:p>
        </w:tc>
        <w:tc>
          <w:tcPr>
            <w:tcW w:w="720"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szCs w:val="21"/>
              </w:rPr>
            </w:pPr>
            <w:r>
              <w:rPr>
                <w:rFonts w:hint="eastAsia" w:ascii="宋体" w:hAnsi="宋体"/>
                <w:szCs w:val="21"/>
              </w:rPr>
              <w:t>1</w:t>
            </w:r>
          </w:p>
        </w:tc>
        <w:tc>
          <w:tcPr>
            <w:tcW w:w="1213" w:type="dxa"/>
          </w:tcPr>
          <w:p>
            <w:pPr>
              <w:rPr>
                <w:szCs w:val="21"/>
              </w:rPr>
            </w:pPr>
          </w:p>
        </w:tc>
        <w:tc>
          <w:tcPr>
            <w:tcW w:w="1840" w:type="dxa"/>
          </w:tcPr>
          <w:p>
            <w:pPr>
              <w:rPr>
                <w:szCs w:val="21"/>
              </w:rPr>
            </w:pPr>
          </w:p>
        </w:tc>
        <w:tc>
          <w:tcPr>
            <w:tcW w:w="818" w:type="dxa"/>
          </w:tcPr>
          <w:p>
            <w:pPr>
              <w:rPr>
                <w:szCs w:val="21"/>
              </w:rPr>
            </w:pPr>
          </w:p>
        </w:tc>
        <w:tc>
          <w:tcPr>
            <w:tcW w:w="989" w:type="dxa"/>
          </w:tcPr>
          <w:p>
            <w:pPr>
              <w:rPr>
                <w:szCs w:val="21"/>
              </w:rPr>
            </w:pPr>
          </w:p>
        </w:tc>
        <w:tc>
          <w:tcPr>
            <w:tcW w:w="1080" w:type="dxa"/>
          </w:tcPr>
          <w:p>
            <w:pPr>
              <w:rPr>
                <w:szCs w:val="21"/>
              </w:rPr>
            </w:pPr>
          </w:p>
        </w:tc>
        <w:tc>
          <w:tcPr>
            <w:tcW w:w="1464" w:type="dxa"/>
          </w:tcPr>
          <w:p>
            <w:pPr>
              <w:rPr>
                <w:szCs w:val="21"/>
              </w:rPr>
            </w:pPr>
          </w:p>
        </w:tc>
        <w:tc>
          <w:tcPr>
            <w:tcW w:w="1503" w:type="dxa"/>
          </w:tcPr>
          <w:p>
            <w:pPr>
              <w:rPr>
                <w:szCs w:val="21"/>
              </w:rPr>
            </w:pPr>
          </w:p>
        </w:tc>
        <w:tc>
          <w:tcPr>
            <w:tcW w:w="720"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szCs w:val="21"/>
              </w:rPr>
            </w:pPr>
            <w:r>
              <w:rPr>
                <w:rFonts w:hint="eastAsia" w:ascii="宋体" w:hAnsi="宋体"/>
                <w:szCs w:val="21"/>
              </w:rPr>
              <w:t>2</w:t>
            </w:r>
          </w:p>
        </w:tc>
        <w:tc>
          <w:tcPr>
            <w:tcW w:w="1213" w:type="dxa"/>
          </w:tcPr>
          <w:p>
            <w:pPr>
              <w:rPr>
                <w:szCs w:val="21"/>
              </w:rPr>
            </w:pPr>
          </w:p>
        </w:tc>
        <w:tc>
          <w:tcPr>
            <w:tcW w:w="1840" w:type="dxa"/>
          </w:tcPr>
          <w:p>
            <w:pPr>
              <w:rPr>
                <w:szCs w:val="21"/>
              </w:rPr>
            </w:pPr>
          </w:p>
        </w:tc>
        <w:tc>
          <w:tcPr>
            <w:tcW w:w="818" w:type="dxa"/>
          </w:tcPr>
          <w:p>
            <w:pPr>
              <w:rPr>
                <w:szCs w:val="21"/>
              </w:rPr>
            </w:pPr>
          </w:p>
        </w:tc>
        <w:tc>
          <w:tcPr>
            <w:tcW w:w="989" w:type="dxa"/>
          </w:tcPr>
          <w:p>
            <w:pPr>
              <w:rPr>
                <w:szCs w:val="21"/>
              </w:rPr>
            </w:pPr>
          </w:p>
        </w:tc>
        <w:tc>
          <w:tcPr>
            <w:tcW w:w="1080" w:type="dxa"/>
          </w:tcPr>
          <w:p>
            <w:pPr>
              <w:rPr>
                <w:szCs w:val="21"/>
              </w:rPr>
            </w:pPr>
          </w:p>
        </w:tc>
        <w:tc>
          <w:tcPr>
            <w:tcW w:w="1464" w:type="dxa"/>
          </w:tcPr>
          <w:p>
            <w:pPr>
              <w:rPr>
                <w:szCs w:val="21"/>
              </w:rPr>
            </w:pPr>
          </w:p>
        </w:tc>
        <w:tc>
          <w:tcPr>
            <w:tcW w:w="1503" w:type="dxa"/>
          </w:tcPr>
          <w:p>
            <w:pPr>
              <w:rPr>
                <w:szCs w:val="21"/>
              </w:rPr>
            </w:pPr>
          </w:p>
        </w:tc>
        <w:tc>
          <w:tcPr>
            <w:tcW w:w="720" w:type="dxa"/>
          </w:tcPr>
          <w:p>
            <w:pPr>
              <w:rPr>
                <w:szCs w:val="21"/>
              </w:rPr>
            </w:pPr>
          </w:p>
        </w:tc>
      </w:tr>
    </w:tbl>
    <w:p>
      <w:pPr>
        <w:spacing w:line="360" w:lineRule="auto"/>
        <w:rPr>
          <w:szCs w:val="21"/>
        </w:rPr>
      </w:pPr>
      <w:r>
        <w:rPr>
          <w:rFonts w:hint="eastAsia"/>
          <w:szCs w:val="21"/>
        </w:rPr>
        <w:t>注</w:t>
      </w:r>
      <w:r>
        <w:rPr>
          <w:rFonts w:hint="eastAsia" w:ascii="宋体" w:hAnsi="宋体"/>
          <w:szCs w:val="21"/>
        </w:rPr>
        <w:t xml:space="preserve">：1. </w:t>
      </w:r>
      <w:r>
        <w:rPr>
          <w:rFonts w:hint="eastAsia"/>
          <w:szCs w:val="21"/>
        </w:rPr>
        <w:t>投标人的投标产品若不属于招标文件第四章“政府采购扶持政策</w:t>
      </w:r>
      <w:r>
        <w:rPr>
          <w:rFonts w:hint="eastAsia"/>
          <w:bCs/>
          <w:szCs w:val="21"/>
        </w:rPr>
        <w:t>”</w:t>
      </w:r>
      <w:r>
        <w:rPr>
          <w:rFonts w:hint="eastAsia"/>
          <w:szCs w:val="21"/>
        </w:rPr>
        <w:t>中所述清单或目录范围内，则无需填写该表。</w:t>
      </w:r>
    </w:p>
    <w:p>
      <w:pPr>
        <w:spacing w:line="360" w:lineRule="auto"/>
        <w:rPr>
          <w:rFonts w:ascii="宋体" w:hAnsi="宋体"/>
          <w:szCs w:val="21"/>
        </w:rPr>
      </w:pPr>
      <w:r>
        <w:rPr>
          <w:rFonts w:hint="eastAsia" w:ascii="宋体" w:hAnsi="宋体"/>
          <w:szCs w:val="21"/>
        </w:rPr>
        <w:t>2. “该投标产品报价及占投标总价的比例”栏中须准确填报该投标产品的投标单价、数量、投标合计报价及占</w:t>
      </w:r>
      <w:r>
        <w:rPr>
          <w:rFonts w:hint="eastAsia"/>
          <w:szCs w:val="21"/>
        </w:rPr>
        <w:t>投标总</w:t>
      </w:r>
      <w:r>
        <w:rPr>
          <w:rFonts w:hint="eastAsia" w:ascii="宋体" w:hAnsi="宋体"/>
          <w:szCs w:val="21"/>
        </w:rPr>
        <w:t>价的比例。</w:t>
      </w:r>
    </w:p>
    <w:p>
      <w:pPr>
        <w:spacing w:line="360" w:lineRule="auto"/>
        <w:rPr>
          <w:rFonts w:ascii="宋体" w:hAnsi="宋体"/>
          <w:szCs w:val="21"/>
        </w:rPr>
      </w:pPr>
      <w:r>
        <w:rPr>
          <w:rFonts w:hint="eastAsia" w:ascii="宋体" w:hAnsi="宋体"/>
          <w:szCs w:val="21"/>
        </w:rPr>
        <w:t>3. “属于优先采购清单的类别”栏中填写“《节能产品政府采购品目清单》”、“《环境标志产品政府采购品目清单》”（以</w:t>
      </w:r>
      <w:r>
        <w:rPr>
          <w:rFonts w:hint="eastAsia" w:ascii="宋体" w:hAnsi="宋体"/>
          <w:bCs/>
          <w:szCs w:val="21"/>
        </w:rPr>
        <w:t>中国政府采购网（http://www.ccgp.gov.cn/）最新一期查询结果为准</w:t>
      </w:r>
      <w:r>
        <w:rPr>
          <w:rFonts w:hint="eastAsia" w:ascii="宋体" w:hAnsi="宋体"/>
          <w:szCs w:val="21"/>
        </w:rPr>
        <w:t>）。</w:t>
      </w:r>
    </w:p>
    <w:p>
      <w:pPr>
        <w:spacing w:line="360" w:lineRule="auto"/>
        <w:jc w:val="left"/>
      </w:pPr>
      <w:r>
        <w:rPr>
          <w:rFonts w:hint="eastAsia" w:ascii="宋体" w:hAnsi="宋体"/>
          <w:b/>
          <w:szCs w:val="21"/>
        </w:rPr>
        <w:t>4. 对上表所列</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t xml:space="preserve">                                       </w:t>
      </w:r>
      <w:r>
        <w:rPr>
          <w:b/>
          <w:bCs/>
        </w:rPr>
        <w:t xml:space="preserve">  </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napToGrid w:val="0"/>
        <w:spacing w:line="360" w:lineRule="auto"/>
        <w:ind w:firstLine="600"/>
        <w:jc w:val="left"/>
        <w:rPr>
          <w:b/>
          <w:snapToGrid w:val="0"/>
          <w:kern w:val="0"/>
          <w:sz w:val="28"/>
        </w:rPr>
      </w:pPr>
    </w:p>
    <w:p>
      <w:pPr>
        <w:adjustRightInd w:val="0"/>
        <w:snapToGrid w:val="0"/>
        <w:spacing w:line="360" w:lineRule="auto"/>
        <w:ind w:firstLine="600"/>
        <w:jc w:val="left"/>
      </w:pPr>
    </w:p>
    <w:p>
      <w:pPr>
        <w:pStyle w:val="5"/>
        <w:tabs>
          <w:tab w:val="left" w:pos="371"/>
        </w:tabs>
        <w:spacing w:before="120" w:after="120"/>
        <w:ind w:left="-1" w:leftChars="-1" w:hanging="1"/>
        <w:jc w:val="center"/>
        <w:rPr>
          <w:rFonts w:asciiTheme="minorEastAsia" w:hAnsiTheme="minorEastAsia" w:eastAsiaTheme="minorEastAsia"/>
        </w:rPr>
      </w:pPr>
      <w:bookmarkStart w:id="61" w:name="_Toc44691397"/>
      <w:bookmarkStart w:id="62" w:name="_Toc44690706"/>
      <w:bookmarkStart w:id="63" w:name="_Toc44691165"/>
      <w:bookmarkStart w:id="64" w:name="_Toc44690433"/>
      <w:bookmarkStart w:id="65" w:name="_Toc135293347"/>
      <w:r>
        <w:rPr>
          <w:rFonts w:hint="eastAsia" w:asciiTheme="minorEastAsia" w:hAnsiTheme="minorEastAsia" w:eastAsiaTheme="minorEastAsia"/>
        </w:rPr>
        <w:t>格式5  开标一览表</w:t>
      </w:r>
      <w:bookmarkEnd w:id="61"/>
      <w:bookmarkEnd w:id="62"/>
      <w:bookmarkEnd w:id="63"/>
      <w:bookmarkEnd w:id="64"/>
      <w:bookmarkEnd w:id="65"/>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4396"/>
        <w:gridCol w:w="226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976"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96"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976" w:type="dxa"/>
            <w:tcBorders>
              <w:top w:val="single" w:color="auto" w:sz="4" w:space="0"/>
            </w:tcBorders>
            <w:vAlign w:val="center"/>
          </w:tcPr>
          <w:p>
            <w:pPr>
              <w:adjustRightInd w:val="0"/>
              <w:snapToGrid w:val="0"/>
              <w:spacing w:line="360" w:lineRule="auto"/>
              <w:jc w:val="center"/>
            </w:pPr>
            <w:r>
              <w:rPr>
                <w:rFonts w:hint="eastAsia"/>
              </w:rPr>
              <w:t>网盘采购项目</w:t>
            </w:r>
          </w:p>
        </w:tc>
        <w:tc>
          <w:tcPr>
            <w:tcW w:w="4396" w:type="dxa"/>
            <w:tcBorders>
              <w:top w:val="single" w:color="auto" w:sz="4" w:space="0"/>
            </w:tcBorders>
            <w:vAlign w:val="center"/>
          </w:tcPr>
          <w:p>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法定代表人或其授权代表：（签字）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Pr>
        <w:pStyle w:val="28"/>
        <w:adjustRightInd w:val="0"/>
        <w:snapToGrid w:val="0"/>
        <w:spacing w:line="312" w:lineRule="auto"/>
        <w:jc w:val="center"/>
        <w:rPr>
          <w:rFonts w:ascii="Times New Roman" w:hAnsi="Times New Roman"/>
          <w:b/>
          <w:sz w:val="28"/>
        </w:rPr>
      </w:pPr>
    </w:p>
    <w:p/>
    <w:p/>
    <w:p/>
    <w:p/>
    <w:p/>
    <w:p/>
    <w:p/>
    <w:p/>
    <w:p>
      <w:pPr>
        <w:pStyle w:val="5"/>
        <w:tabs>
          <w:tab w:val="left" w:pos="371"/>
        </w:tabs>
        <w:spacing w:before="120" w:after="120"/>
        <w:ind w:left="-1" w:leftChars="-1" w:hanging="1"/>
        <w:jc w:val="center"/>
        <w:rPr>
          <w:rFonts w:asciiTheme="minorEastAsia" w:hAnsiTheme="minorEastAsia" w:eastAsiaTheme="minorEastAsia"/>
        </w:rPr>
      </w:pPr>
      <w:bookmarkStart w:id="66" w:name="_Toc44690707"/>
      <w:bookmarkStart w:id="67" w:name="_Toc135293348"/>
      <w:bookmarkStart w:id="68" w:name="_Toc44691166"/>
      <w:bookmarkStart w:id="69" w:name="_Toc44690434"/>
      <w:bookmarkStart w:id="70" w:name="_Toc44691398"/>
      <w:r>
        <w:rPr>
          <w:rFonts w:hint="eastAsia" w:asciiTheme="minorEastAsia" w:hAnsiTheme="minorEastAsia" w:eastAsiaTheme="minorEastAsia"/>
        </w:rPr>
        <w:t>格式6  报价表</w:t>
      </w:r>
      <w:bookmarkEnd w:id="66"/>
      <w:bookmarkEnd w:id="67"/>
      <w:bookmarkEnd w:id="68"/>
      <w:bookmarkEnd w:id="69"/>
      <w:bookmarkEnd w:id="70"/>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1.4  此表应经法定代表人或授权委托人签名，并加盖公章。</w:t>
      </w:r>
    </w:p>
    <w:p>
      <w:pPr>
        <w:adjustRightInd w:val="0"/>
        <w:snapToGrid w:val="0"/>
        <w:spacing w:line="300" w:lineRule="auto"/>
        <w:rPr>
          <w:snapToGrid w:val="0"/>
          <w:kern w:val="0"/>
        </w:rPr>
      </w:pPr>
    </w:p>
    <w:p>
      <w:pPr>
        <w:spacing w:line="300" w:lineRule="auto"/>
        <w:rPr>
          <w:rFonts w:eastAsia="楷体_GB2312"/>
          <w:b/>
          <w:sz w:val="24"/>
        </w:rPr>
      </w:pPr>
      <w:r>
        <w:rPr>
          <w:rFonts w:hint="eastAsia" w:eastAsia="楷体_GB2312"/>
          <w:b/>
          <w:sz w:val="24"/>
        </w:rPr>
        <w:t>2   报价表</w:t>
      </w:r>
    </w:p>
    <w:p>
      <w:pPr>
        <w:adjustRightInd w:val="0"/>
        <w:snapToGrid w:val="0"/>
        <w:spacing w:line="300" w:lineRule="auto"/>
        <w:rPr>
          <w:snapToGrid w:val="0"/>
          <w:kern w:val="0"/>
        </w:rPr>
      </w:pPr>
    </w:p>
    <w:p>
      <w:pPr>
        <w:adjustRightInd w:val="0"/>
        <w:snapToGrid w:val="0"/>
        <w:spacing w:line="300" w:lineRule="auto"/>
        <w:jc w:val="center"/>
        <w:rPr>
          <w:rFonts w:asciiTheme="minorEastAsia" w:hAnsiTheme="minorEastAsia" w:eastAsiaTheme="minorEastAsia"/>
          <w:bCs/>
          <w:snapToGrid w:val="0"/>
          <w:kern w:val="0"/>
          <w:sz w:val="24"/>
          <w:u w:val="single"/>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bCs/>
          <w:snapToGrid w:val="0"/>
          <w:kern w:val="0"/>
          <w:sz w:val="24"/>
        </w:rPr>
        <w:t>报价总表</w:t>
      </w:r>
    </w:p>
    <w:p>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pPr>
        <w:adjustRightInd w:val="0"/>
        <w:snapToGrid w:val="0"/>
        <w:spacing w:line="300" w:lineRule="auto"/>
        <w:rPr>
          <w:rFonts w:asciiTheme="minorEastAsia" w:hAnsiTheme="minorEastAsia" w:eastAsiaTheme="minorEastAsia"/>
          <w:bCs/>
          <w:snapToGrid w:val="0"/>
          <w:kern w:val="0"/>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p>
    <w:tbl>
      <w:tblPr>
        <w:tblStyle w:val="50"/>
        <w:tblW w:w="105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4939"/>
        <w:gridCol w:w="483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名称</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总价（单位：元）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设备费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运输费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装卸费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安装费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调试费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6</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保险费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技术培训费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售后服务费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国家规定的各项税费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其它</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85" w:type="dxa"/>
            <w:gridSpan w:val="2"/>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   计</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bl>
    <w:p>
      <w:pPr>
        <w:rPr>
          <w:rFonts w:asciiTheme="minorEastAsia" w:hAnsiTheme="minorEastAsia" w:eastAsiaTheme="minorEastAsia"/>
          <w:szCs w:val="21"/>
        </w:rPr>
      </w:pPr>
      <w:r>
        <w:rPr>
          <w:rFonts w:hint="eastAsia" w:asciiTheme="minorEastAsia" w:hAnsiTheme="minorEastAsia" w:eastAsiaTheme="minorEastAsia"/>
          <w:szCs w:val="21"/>
        </w:rPr>
        <w:t>备注：1、</w:t>
      </w:r>
      <w:r>
        <w:rPr>
          <w:rFonts w:hint="eastAsia" w:asciiTheme="minorEastAsia" w:hAnsiTheme="minorEastAsia" w:eastAsiaTheme="minorEastAsia"/>
          <w:bCs/>
          <w:szCs w:val="21"/>
        </w:rPr>
        <w:t>本表格仅为指导性范本，供应商可根据项目具体情况对各分项内容进行调整。</w:t>
      </w:r>
    </w:p>
    <w:p>
      <w:pPr>
        <w:adjustRightInd w:val="0"/>
        <w:jc w:val="left"/>
        <w:rPr>
          <w:rFonts w:asciiTheme="minorEastAsia" w:hAnsiTheme="minorEastAsia" w:eastAsiaTheme="minorEastAsia"/>
          <w:snapToGrid w:val="0"/>
          <w:kern w:val="0"/>
          <w:szCs w:val="21"/>
        </w:rPr>
      </w:pPr>
      <w:r>
        <w:rPr>
          <w:rFonts w:hint="eastAsia" w:asciiTheme="minorEastAsia" w:hAnsiTheme="minorEastAsia" w:eastAsiaTheme="minorEastAsia"/>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Theme="minorEastAsia" w:hAnsiTheme="minorEastAsia" w:eastAsiaTheme="minorEastAsia"/>
          <w:szCs w:val="21"/>
        </w:rPr>
        <w:t>。</w:t>
      </w:r>
    </w:p>
    <w:p>
      <w:pPr>
        <w:adjustRightInd w:val="0"/>
        <w:snapToGrid w:val="0"/>
        <w:spacing w:line="300" w:lineRule="auto"/>
        <w:rPr>
          <w:rFonts w:asciiTheme="minorEastAsia" w:hAnsiTheme="minorEastAsia" w:eastAsiaTheme="minorEastAsia"/>
          <w:snapToGrid w:val="0"/>
          <w:kern w:val="0"/>
        </w:rPr>
      </w:pPr>
    </w:p>
    <w:p>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（二）</w:t>
      </w:r>
      <w:r>
        <w:rPr>
          <w:rFonts w:asciiTheme="minorEastAsia" w:hAnsiTheme="minorEastAsia" w:eastAsiaTheme="minorEastAsia"/>
          <w:snapToGrid w:val="0"/>
          <w:kern w:val="0"/>
          <w:sz w:val="24"/>
        </w:rPr>
        <w:t>分项价格表</w:t>
      </w:r>
    </w:p>
    <w:p>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9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821"/>
        <w:gridCol w:w="709"/>
        <w:gridCol w:w="851"/>
        <w:gridCol w:w="1417"/>
        <w:gridCol w:w="992"/>
        <w:gridCol w:w="651"/>
        <w:gridCol w:w="725"/>
        <w:gridCol w:w="709"/>
        <w:gridCol w:w="773"/>
        <w:gridCol w:w="980"/>
        <w:gridCol w:w="65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821"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980" w:type="dxa"/>
          </w:tcPr>
          <w:p>
            <w:pPr>
              <w:adjustRightInd w:val="0"/>
              <w:snapToGrid w:val="0"/>
              <w:spacing w:line="300" w:lineRule="auto"/>
              <w:jc w:val="center"/>
              <w:rPr>
                <w:rFonts w:asciiTheme="minorEastAsia" w:hAnsiTheme="minorEastAsia" w:eastAsiaTheme="minorEastAsia"/>
                <w:snapToGrid w:val="0"/>
                <w:kern w:val="0"/>
              </w:rPr>
            </w:pPr>
          </w:p>
        </w:tc>
        <w:tc>
          <w:tcPr>
            <w:tcW w:w="657"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980" w:type="dxa"/>
          </w:tcPr>
          <w:p>
            <w:pPr>
              <w:adjustRightInd w:val="0"/>
              <w:snapToGrid w:val="0"/>
              <w:spacing w:line="300" w:lineRule="auto"/>
              <w:jc w:val="center"/>
              <w:rPr>
                <w:rFonts w:asciiTheme="minorEastAsia" w:hAnsiTheme="minorEastAsia" w:eastAsiaTheme="minorEastAsia"/>
                <w:snapToGrid w:val="0"/>
                <w:kern w:val="0"/>
              </w:rPr>
            </w:pPr>
          </w:p>
        </w:tc>
        <w:tc>
          <w:tcPr>
            <w:tcW w:w="657"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980" w:type="dxa"/>
          </w:tcPr>
          <w:p>
            <w:pPr>
              <w:adjustRightInd w:val="0"/>
              <w:snapToGrid w:val="0"/>
              <w:spacing w:line="300" w:lineRule="auto"/>
              <w:jc w:val="center"/>
              <w:rPr>
                <w:rFonts w:asciiTheme="minorEastAsia" w:hAnsiTheme="minorEastAsia" w:eastAsiaTheme="minorEastAsia"/>
                <w:snapToGrid w:val="0"/>
                <w:kern w:val="0"/>
              </w:rPr>
            </w:pPr>
          </w:p>
        </w:tc>
        <w:tc>
          <w:tcPr>
            <w:tcW w:w="657"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980" w:type="dxa"/>
          </w:tcPr>
          <w:p>
            <w:pPr>
              <w:adjustRightInd w:val="0"/>
              <w:snapToGrid w:val="0"/>
              <w:spacing w:line="300" w:lineRule="auto"/>
              <w:jc w:val="center"/>
              <w:rPr>
                <w:rFonts w:asciiTheme="minorEastAsia" w:hAnsiTheme="minorEastAsia" w:eastAsiaTheme="minorEastAsia"/>
                <w:snapToGrid w:val="0"/>
                <w:kern w:val="0"/>
              </w:rPr>
            </w:pPr>
          </w:p>
        </w:tc>
        <w:tc>
          <w:tcPr>
            <w:tcW w:w="657"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980" w:type="dxa"/>
          </w:tcPr>
          <w:p>
            <w:pPr>
              <w:adjustRightInd w:val="0"/>
              <w:snapToGrid w:val="0"/>
              <w:spacing w:line="300" w:lineRule="auto"/>
              <w:jc w:val="center"/>
              <w:rPr>
                <w:rFonts w:asciiTheme="minorEastAsia" w:hAnsiTheme="minorEastAsia" w:eastAsiaTheme="minorEastAsia"/>
                <w:snapToGrid w:val="0"/>
                <w:kern w:val="0"/>
              </w:rPr>
            </w:pPr>
          </w:p>
        </w:tc>
        <w:tc>
          <w:tcPr>
            <w:tcW w:w="657"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54" w:type="dxa"/>
            <w:gridSpan w:val="12"/>
            <w:vAlign w:val="center"/>
          </w:tcPr>
          <w:p>
            <w:pPr>
              <w:adjustRightInd w:val="0"/>
              <w:snapToGrid w:val="0"/>
              <w:spacing w:line="300" w:lineRule="auto"/>
              <w:jc w:val="left"/>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3、投标总价应为以上各分项价格之和；投标总价和表中单个采购条目报价均不得超过对应的财政预算限额，否则将导致无效投标。</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5、“原产地”是指该产品的实际生产加工地，而非品牌总公司所在地。</w:t>
      </w:r>
    </w:p>
    <w:p>
      <w:pPr>
        <w:adjustRightInd w:val="0"/>
        <w:snapToGrid w:val="0"/>
        <w:spacing w:line="300" w:lineRule="auto"/>
        <w:jc w:val="center"/>
        <w:rPr>
          <w:rFonts w:asciiTheme="minorEastAsia" w:hAnsiTheme="minorEastAsia" w:eastAsiaTheme="minorEastAsia"/>
          <w:snapToGrid w:val="0"/>
          <w:kern w:val="0"/>
        </w:rPr>
      </w:pPr>
    </w:p>
    <w:p>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（三）【可选】零配件、消耗品和延续保修合同报价明细清单</w:t>
      </w:r>
    </w:p>
    <w:p>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pPr>
              <w:adjustRightInd w:val="0"/>
              <w:snapToGrid w:val="0"/>
              <w:spacing w:line="300" w:lineRule="auto"/>
              <w:jc w:val="center"/>
              <w:rPr>
                <w:snapToGrid w:val="0"/>
                <w:kern w:val="0"/>
              </w:rPr>
            </w:pPr>
            <w:r>
              <w:rPr>
                <w:rFonts w:hint="eastAsia"/>
                <w:szCs w:val="21"/>
              </w:rPr>
              <w:t>规格/型号</w:t>
            </w:r>
          </w:p>
        </w:tc>
        <w:tc>
          <w:tcPr>
            <w:tcW w:w="1417" w:type="dxa"/>
            <w:vAlign w:val="center"/>
          </w:tcPr>
          <w:p>
            <w:pPr>
              <w:adjustRightInd w:val="0"/>
              <w:snapToGrid w:val="0"/>
              <w:spacing w:line="300" w:lineRule="auto"/>
              <w:jc w:val="center"/>
              <w:rPr>
                <w:snapToGrid w:val="0"/>
                <w:kern w:val="0"/>
              </w:rPr>
            </w:pPr>
            <w:r>
              <w:rPr>
                <w:snapToGrid w:val="0"/>
                <w:kern w:val="0"/>
              </w:rPr>
              <w:t>制造厂商</w:t>
            </w:r>
          </w:p>
        </w:tc>
        <w:tc>
          <w:tcPr>
            <w:tcW w:w="1134" w:type="dxa"/>
            <w:vAlign w:val="center"/>
          </w:tcPr>
          <w:p>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pPr>
              <w:jc w:val="center"/>
              <w:rPr>
                <w:szCs w:val="21"/>
              </w:rPr>
            </w:pPr>
            <w:r>
              <w:rPr>
                <w:rFonts w:hint="eastAsia"/>
                <w:szCs w:val="21"/>
              </w:rPr>
              <w:t>单价(元)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bl>
    <w:p>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jc w:val="center"/>
              <w:rPr>
                <w:szCs w:val="21"/>
              </w:rPr>
            </w:pPr>
            <w:r>
              <w:rPr>
                <w:rFonts w:hint="eastAsia"/>
                <w:szCs w:val="21"/>
              </w:rPr>
              <w:t>序号</w:t>
            </w:r>
          </w:p>
        </w:tc>
        <w:tc>
          <w:tcPr>
            <w:tcW w:w="2543" w:type="dxa"/>
          </w:tcPr>
          <w:p>
            <w:pPr>
              <w:jc w:val="center"/>
              <w:rPr>
                <w:szCs w:val="21"/>
              </w:rPr>
            </w:pPr>
            <w:r>
              <w:rPr>
                <w:rFonts w:hint="eastAsia"/>
                <w:szCs w:val="21"/>
              </w:rPr>
              <w:t>服务名称</w:t>
            </w:r>
          </w:p>
        </w:tc>
        <w:tc>
          <w:tcPr>
            <w:tcW w:w="2797" w:type="dxa"/>
          </w:tcPr>
          <w:p>
            <w:pPr>
              <w:jc w:val="center"/>
              <w:rPr>
                <w:szCs w:val="21"/>
              </w:rPr>
            </w:pPr>
            <w:r>
              <w:rPr>
                <w:rFonts w:hint="eastAsia"/>
                <w:szCs w:val="21"/>
              </w:rPr>
              <w:t>服务内容</w:t>
            </w:r>
          </w:p>
        </w:tc>
        <w:tc>
          <w:tcPr>
            <w:tcW w:w="2693" w:type="dxa"/>
          </w:tcPr>
          <w:p>
            <w:pPr>
              <w:jc w:val="center"/>
              <w:rPr>
                <w:szCs w:val="21"/>
              </w:rPr>
            </w:pPr>
            <w:r>
              <w:rPr>
                <w:rFonts w:hint="eastAsia"/>
                <w:szCs w:val="21"/>
              </w:rPr>
              <w:t>价格（元）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r>
              <w:rPr>
                <w:rFonts w:hint="eastAsia"/>
                <w:szCs w:val="21"/>
              </w:rPr>
              <w:t>1</w:t>
            </w:r>
          </w:p>
        </w:tc>
        <w:tc>
          <w:tcPr>
            <w:tcW w:w="2543" w:type="dxa"/>
          </w:tcPr>
          <w:p>
            <w:pPr>
              <w:jc w:val="center"/>
              <w:rPr>
                <w:szCs w:val="21"/>
              </w:rPr>
            </w:pPr>
            <w:r>
              <w:rPr>
                <w:rFonts w:hint="eastAsia"/>
                <w:szCs w:val="21"/>
              </w:rPr>
              <w:t>延续保修合同</w:t>
            </w:r>
          </w:p>
        </w:tc>
        <w:tc>
          <w:tcPr>
            <w:tcW w:w="2797" w:type="dxa"/>
          </w:tcPr>
          <w:p>
            <w:pPr>
              <w:jc w:val="center"/>
              <w:rPr>
                <w:rFonts w:hAnsi="宋体"/>
                <w:bCs/>
                <w:szCs w:val="21"/>
              </w:rPr>
            </w:pPr>
            <w:r>
              <w:rPr>
                <w:rFonts w:hint="eastAsia" w:hAnsi="宋体"/>
                <w:bCs/>
                <w:szCs w:val="21"/>
              </w:rPr>
              <w:t>年度保修</w:t>
            </w:r>
          </w:p>
        </w:tc>
        <w:tc>
          <w:tcPr>
            <w:tcW w:w="2693" w:type="dxa"/>
          </w:tcPr>
          <w:p>
            <w:pPr>
              <w:jc w:val="center"/>
              <w:rPr>
                <w:rFonts w:hAnsi="宋体"/>
                <w:b/>
                <w:bCs/>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r>
              <w:rPr>
                <w:szCs w:val="21"/>
              </w:rPr>
              <w:t>…</w:t>
            </w:r>
          </w:p>
        </w:tc>
        <w:tc>
          <w:tcPr>
            <w:tcW w:w="2543" w:type="dxa"/>
          </w:tcPr>
          <w:p>
            <w:pPr>
              <w:jc w:val="center"/>
              <w:rPr>
                <w:szCs w:val="21"/>
              </w:rPr>
            </w:pPr>
          </w:p>
        </w:tc>
        <w:tc>
          <w:tcPr>
            <w:tcW w:w="2797" w:type="dxa"/>
          </w:tcPr>
          <w:p>
            <w:pPr>
              <w:jc w:val="center"/>
              <w:rPr>
                <w:rFonts w:hAnsi="宋体"/>
                <w:b/>
                <w:bCs/>
                <w:szCs w:val="21"/>
              </w:rPr>
            </w:pPr>
          </w:p>
        </w:tc>
        <w:tc>
          <w:tcPr>
            <w:tcW w:w="2693" w:type="dxa"/>
          </w:tcPr>
          <w:p>
            <w:pPr>
              <w:jc w:val="center"/>
              <w:rPr>
                <w:rFonts w:hAnsi="宋体"/>
                <w:b/>
                <w:bCs/>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p>
        </w:tc>
        <w:tc>
          <w:tcPr>
            <w:tcW w:w="2543" w:type="dxa"/>
          </w:tcPr>
          <w:p>
            <w:pPr>
              <w:jc w:val="center"/>
              <w:rPr>
                <w:szCs w:val="21"/>
              </w:rPr>
            </w:pPr>
          </w:p>
        </w:tc>
        <w:tc>
          <w:tcPr>
            <w:tcW w:w="2797" w:type="dxa"/>
          </w:tcPr>
          <w:p>
            <w:pPr>
              <w:jc w:val="center"/>
              <w:rPr>
                <w:rFonts w:hAnsi="宋体"/>
                <w:b/>
                <w:bCs/>
                <w:szCs w:val="21"/>
              </w:rPr>
            </w:pPr>
          </w:p>
        </w:tc>
        <w:tc>
          <w:tcPr>
            <w:tcW w:w="2693" w:type="dxa"/>
          </w:tcPr>
          <w:p>
            <w:pPr>
              <w:jc w:val="center"/>
              <w:rPr>
                <w:rFonts w:hAnsi="宋体"/>
                <w:b/>
                <w:bCs/>
                <w:szCs w:val="21"/>
              </w:rPr>
            </w:pPr>
          </w:p>
        </w:tc>
      </w:tr>
    </w:tbl>
    <w:p>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pPr>
        <w:adjustRightInd w:val="0"/>
        <w:snapToGrid w:val="0"/>
        <w:spacing w:line="300" w:lineRule="auto"/>
        <w:rPr>
          <w:rFonts w:asciiTheme="minorEastAsia" w:hAnsiTheme="minorEastAsia" w:eastAsiaTheme="minorEastAsia"/>
          <w:snapToGrid w:val="0"/>
          <w:kern w:val="0"/>
        </w:rPr>
      </w:pPr>
    </w:p>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（四）</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
      <w:pPr>
        <w:tabs>
          <w:tab w:val="left" w:pos="371"/>
        </w:tabs>
        <w:spacing w:before="120" w:after="120"/>
        <w:ind w:left="-1" w:leftChars="-1" w:hanging="1"/>
        <w:jc w:val="center"/>
        <w:rPr>
          <w:rFonts w:asciiTheme="minorEastAsia" w:hAnsiTheme="minorEastAsia" w:eastAsiaTheme="minorEastAsia"/>
          <w:sz w:val="24"/>
        </w:rPr>
      </w:pPr>
      <w:bookmarkStart w:id="71" w:name="_Toc44690435"/>
      <w:bookmarkStart w:id="72" w:name="_Toc44691167"/>
      <w:bookmarkStart w:id="73" w:name="_Toc44690708"/>
      <w:bookmarkStart w:id="74" w:name="_Toc44691399"/>
    </w:p>
    <w:p>
      <w:pPr>
        <w:pStyle w:val="5"/>
        <w:tabs>
          <w:tab w:val="left" w:pos="371"/>
        </w:tabs>
        <w:spacing w:before="120" w:after="120"/>
        <w:ind w:left="-1" w:leftChars="-1" w:hanging="1"/>
        <w:jc w:val="center"/>
        <w:rPr>
          <w:rFonts w:asciiTheme="minorEastAsia" w:hAnsiTheme="minorEastAsia" w:eastAsiaTheme="minorEastAsia"/>
        </w:rPr>
      </w:pPr>
      <w:bookmarkStart w:id="75" w:name="_Toc135293349"/>
      <w:r>
        <w:rPr>
          <w:rFonts w:hint="eastAsia" w:asciiTheme="minorEastAsia" w:hAnsiTheme="minorEastAsia" w:eastAsiaTheme="minorEastAsia"/>
        </w:rPr>
        <w:t>格式7  技术规格</w:t>
      </w:r>
      <w:bookmarkEnd w:id="71"/>
      <w:bookmarkEnd w:id="72"/>
      <w:bookmarkEnd w:id="73"/>
      <w:bookmarkEnd w:id="74"/>
      <w:bookmarkEnd w:id="75"/>
    </w:p>
    <w:p>
      <w:pPr>
        <w:pStyle w:val="2"/>
      </w:pPr>
    </w:p>
    <w:p>
      <w:pPr>
        <w:spacing w:line="360" w:lineRule="auto"/>
        <w:ind w:left="420"/>
        <w:rPr>
          <w:rFonts w:ascii="宋体" w:hAnsi="宋体"/>
        </w:rPr>
      </w:pPr>
      <w:r>
        <w:rPr>
          <w:rFonts w:hint="eastAsia" w:ascii="宋体" w:hAnsi="宋体"/>
        </w:rPr>
        <w:t>1、对投标产品的整体描述（包括采用文字、表格等形式）</w:t>
      </w:r>
    </w:p>
    <w:p>
      <w:pPr>
        <w:spacing w:line="360" w:lineRule="auto"/>
        <w:ind w:left="420"/>
        <w:rPr>
          <w:rFonts w:ascii="宋体" w:hAnsi="宋体"/>
        </w:rPr>
      </w:pPr>
      <w:r>
        <w:rPr>
          <w:rFonts w:hint="eastAsia" w:ascii="宋体" w:hAnsi="宋体"/>
        </w:rPr>
        <w:t>2、投标产品采用的技术标准</w:t>
      </w:r>
    </w:p>
    <w:p>
      <w:pPr>
        <w:spacing w:line="360" w:lineRule="auto"/>
        <w:ind w:left="420"/>
        <w:rPr>
          <w:rFonts w:ascii="宋体" w:hAnsi="宋体"/>
        </w:rPr>
      </w:pPr>
      <w:r>
        <w:rPr>
          <w:rFonts w:hint="eastAsia" w:ascii="宋体" w:hAnsi="宋体"/>
        </w:rPr>
        <w:t>3、投标产品的性能特点（包括新技术、新工艺、新材料的应用等）</w:t>
      </w:r>
    </w:p>
    <w:p>
      <w:pPr>
        <w:spacing w:line="360" w:lineRule="auto"/>
        <w:ind w:left="420"/>
        <w:rPr>
          <w:rFonts w:ascii="宋体" w:hAnsi="宋体"/>
        </w:rPr>
      </w:pPr>
      <w:r>
        <w:rPr>
          <w:rFonts w:hint="eastAsia" w:ascii="宋体" w:hAnsi="宋体"/>
        </w:rPr>
        <w:t>4、投标产品的外形尺寸图、成品的彩色图样等</w:t>
      </w:r>
    </w:p>
    <w:p>
      <w:pPr>
        <w:spacing w:line="360" w:lineRule="auto"/>
        <w:ind w:left="420"/>
        <w:rPr>
          <w:rFonts w:ascii="宋体" w:hAnsi="宋体"/>
        </w:rPr>
      </w:pPr>
      <w:r>
        <w:rPr>
          <w:rFonts w:hint="eastAsia" w:ascii="宋体" w:hAnsi="宋体"/>
        </w:rPr>
        <w:t>5、投标产品的说明书等</w:t>
      </w:r>
    </w:p>
    <w:p>
      <w:pPr>
        <w:spacing w:line="360" w:lineRule="auto"/>
        <w:ind w:left="420"/>
        <w:rPr>
          <w:rFonts w:ascii="宋体" w:hAnsi="宋体"/>
        </w:rPr>
      </w:pPr>
      <w:r>
        <w:rPr>
          <w:rFonts w:hint="eastAsia" w:ascii="宋体" w:hAnsi="宋体"/>
        </w:rPr>
        <w:t>6、其它</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8"/>
        <w:adjustRightInd w:val="0"/>
        <w:snapToGrid w:val="0"/>
        <w:spacing w:line="312" w:lineRule="auto"/>
        <w:jc w:val="left"/>
        <w:rPr>
          <w:rFonts w:ascii="Times New Roman" w:hAnsi="Times New Roman"/>
          <w:b/>
          <w:sz w:val="21"/>
          <w:szCs w:val="21"/>
        </w:rPr>
      </w:pPr>
    </w:p>
    <w:p>
      <w:pPr>
        <w:pStyle w:val="5"/>
        <w:tabs>
          <w:tab w:val="left" w:pos="371"/>
        </w:tabs>
        <w:spacing w:before="120" w:after="120"/>
        <w:ind w:left="-1" w:leftChars="-1" w:hanging="1"/>
        <w:jc w:val="center"/>
        <w:rPr>
          <w:rFonts w:asciiTheme="minorEastAsia" w:hAnsiTheme="minorEastAsia" w:eastAsiaTheme="minorEastAsia"/>
        </w:rPr>
      </w:pPr>
      <w:bookmarkStart w:id="76" w:name="_Toc135293350"/>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6"/>
    </w:p>
    <w:p/>
    <w:p>
      <w:pPr>
        <w:jc w:val="center"/>
      </w:pPr>
      <w:r>
        <w:t>货物交付进度表</w:t>
      </w:r>
    </w:p>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r>
    </w:tbl>
    <w:p/>
    <w:p/>
    <w:p>
      <w:pPr>
        <w:jc w:val="center"/>
      </w:pPr>
      <w:r>
        <w:t>安装调试进度表</w:t>
      </w:r>
    </w:p>
    <w:p>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851" w:type="dxa"/>
          </w:tcPr>
          <w:p>
            <w:pPr>
              <w:autoSpaceDE w:val="0"/>
              <w:autoSpaceDN w:val="0"/>
              <w:adjustRightInd w:val="0"/>
              <w:spacing w:before="120" w:after="120" w:line="240" w:lineRule="atLeast"/>
              <w:ind w:left="15" w:right="28"/>
              <w:jc w:val="center"/>
              <w:rPr>
                <w:kern w:val="0"/>
                <w:sz w:val="18"/>
                <w:szCs w:val="22"/>
              </w:rPr>
            </w:pPr>
          </w:p>
        </w:tc>
        <w:tc>
          <w:tcPr>
            <w:tcW w:w="1209" w:type="dxa"/>
          </w:tcPr>
          <w:p>
            <w:pPr>
              <w:autoSpaceDE w:val="0"/>
              <w:autoSpaceDN w:val="0"/>
              <w:adjustRightInd w:val="0"/>
              <w:spacing w:before="120" w:after="120" w:line="240" w:lineRule="atLeast"/>
              <w:ind w:left="15" w:right="28"/>
              <w:jc w:val="center"/>
              <w:rPr>
                <w:kern w:val="0"/>
                <w:sz w:val="18"/>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851" w:type="dxa"/>
          </w:tcPr>
          <w:p>
            <w:pPr>
              <w:autoSpaceDE w:val="0"/>
              <w:autoSpaceDN w:val="0"/>
              <w:adjustRightInd w:val="0"/>
              <w:spacing w:before="120" w:after="120" w:line="240" w:lineRule="atLeast"/>
              <w:ind w:left="15" w:right="28"/>
              <w:jc w:val="center"/>
              <w:rPr>
                <w:kern w:val="0"/>
                <w:sz w:val="18"/>
                <w:szCs w:val="22"/>
              </w:rPr>
            </w:pPr>
          </w:p>
        </w:tc>
        <w:tc>
          <w:tcPr>
            <w:tcW w:w="1209" w:type="dxa"/>
          </w:tcPr>
          <w:p>
            <w:pPr>
              <w:autoSpaceDE w:val="0"/>
              <w:autoSpaceDN w:val="0"/>
              <w:adjustRightInd w:val="0"/>
              <w:spacing w:before="120" w:after="120" w:line="240" w:lineRule="atLeast"/>
              <w:ind w:left="15" w:right="28"/>
              <w:jc w:val="center"/>
              <w:rPr>
                <w:kern w:val="0"/>
                <w:sz w:val="18"/>
                <w:szCs w:val="22"/>
              </w:rPr>
            </w:pPr>
          </w:p>
        </w:tc>
      </w:tr>
    </w:tbl>
    <w:p>
      <w:pPr>
        <w:jc w:val="cente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firstLine="6195" w:firstLineChars="2950"/>
        <w:rPr>
          <w:snapToGrid w:val="0"/>
          <w:kern w:val="0"/>
        </w:rPr>
      </w:pPr>
      <w:r>
        <w:rPr>
          <w:rFonts w:hint="eastAsia"/>
          <w:snapToGrid w:val="0"/>
          <w:kern w:val="0"/>
        </w:rPr>
        <w:t>年       月      日</w:t>
      </w:r>
    </w:p>
    <w:p>
      <w:pPr>
        <w:rPr>
          <w:rFonts w:ascii="宋体" w:hAnsi="宋体"/>
          <w:sz w:val="28"/>
        </w:rPr>
      </w:pPr>
    </w:p>
    <w:p/>
    <w:p/>
    <w:p/>
    <w:p/>
    <w:p/>
    <w:p/>
    <w:p/>
    <w:p>
      <w:pPr>
        <w:tabs>
          <w:tab w:val="left" w:pos="371"/>
        </w:tabs>
        <w:spacing w:before="120" w:after="120"/>
        <w:ind w:left="-1" w:leftChars="-1" w:hanging="1"/>
        <w:jc w:val="center"/>
      </w:pPr>
      <w:bookmarkStart w:id="77" w:name="_Toc44690436"/>
      <w:bookmarkStart w:id="78" w:name="_Toc44690709"/>
      <w:bookmarkStart w:id="79" w:name="_Toc44691400"/>
      <w:bookmarkStart w:id="80" w:name="_Toc44691168"/>
    </w:p>
    <w:p>
      <w:pPr>
        <w:tabs>
          <w:tab w:val="left" w:pos="371"/>
        </w:tabs>
        <w:spacing w:before="120" w:after="120"/>
        <w:ind w:left="-1" w:leftChars="-1" w:hanging="1"/>
        <w:jc w:val="center"/>
      </w:pPr>
    </w:p>
    <w:p>
      <w:pPr>
        <w:tabs>
          <w:tab w:val="left" w:pos="371"/>
        </w:tabs>
        <w:spacing w:before="120" w:after="120"/>
        <w:ind w:left="-1" w:leftChars="-1" w:hanging="1"/>
        <w:jc w:val="center"/>
        <w:rPr>
          <w:rFonts w:asciiTheme="minorEastAsia" w:hAnsiTheme="minorEastAsia" w:eastAsiaTheme="minorEastAsia"/>
          <w:sz w:val="24"/>
        </w:rPr>
      </w:pPr>
    </w:p>
    <w:p>
      <w:pPr>
        <w:pStyle w:val="5"/>
        <w:tabs>
          <w:tab w:val="left" w:pos="371"/>
        </w:tabs>
        <w:spacing w:before="120" w:after="120"/>
        <w:ind w:left="-1" w:leftChars="-1" w:hanging="1"/>
        <w:jc w:val="center"/>
        <w:rPr>
          <w:rFonts w:asciiTheme="minorEastAsia" w:hAnsiTheme="minorEastAsia" w:eastAsiaTheme="minorEastAsia"/>
        </w:rPr>
      </w:pPr>
      <w:bookmarkStart w:id="81" w:name="_Toc135293351"/>
      <w:r>
        <w:rPr>
          <w:rFonts w:hint="eastAsia" w:asciiTheme="minorEastAsia" w:hAnsiTheme="minorEastAsia" w:eastAsiaTheme="minorEastAsia"/>
        </w:rPr>
        <w:t>格式9  售后服务和质量承诺</w:t>
      </w:r>
      <w:bookmarkEnd w:id="77"/>
      <w:bookmarkEnd w:id="78"/>
      <w:bookmarkEnd w:id="79"/>
      <w:bookmarkEnd w:id="80"/>
      <w:bookmarkEnd w:id="81"/>
    </w:p>
    <w:p>
      <w:pPr>
        <w:adjustRightInd w:val="0"/>
        <w:snapToGrid w:val="0"/>
        <w:spacing w:line="360" w:lineRule="auto"/>
        <w:rPr>
          <w:rFonts w:ascii="宋体" w:hAnsi="宋体"/>
        </w:rPr>
      </w:pPr>
    </w:p>
    <w:p>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pPr>
        <w:adjustRightInd w:val="0"/>
        <w:snapToGrid w:val="0"/>
        <w:spacing w:line="360" w:lineRule="auto"/>
        <w:rPr>
          <w:rFonts w:ascii="宋体" w:hAnsi="宋体"/>
        </w:rPr>
      </w:pPr>
      <w:r>
        <w:rPr>
          <w:rFonts w:hint="eastAsia" w:ascii="宋体" w:hAnsi="宋体"/>
        </w:rPr>
        <w:t>3、</w:t>
      </w:r>
      <w:r>
        <w:rPr>
          <w:rFonts w:hint="eastAsia"/>
        </w:rPr>
        <w:t>售后服务应急措施</w:t>
      </w:r>
    </w:p>
    <w:p>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pPr>
        <w:adjustRightInd w:val="0"/>
        <w:snapToGrid w:val="0"/>
        <w:spacing w:line="360" w:lineRule="auto"/>
        <w:rPr>
          <w:rFonts w:ascii="宋体" w:hAnsi="宋体"/>
        </w:rPr>
      </w:pPr>
      <w:r>
        <w:rPr>
          <w:rFonts w:hint="eastAsia" w:ascii="宋体" w:hAnsi="宋体"/>
        </w:rPr>
        <w:t>5、技术培训计划</w:t>
      </w:r>
    </w:p>
    <w:p>
      <w:pPr>
        <w:adjustRightInd w:val="0"/>
        <w:snapToGrid w:val="0"/>
        <w:spacing w:line="360" w:lineRule="auto"/>
        <w:rPr>
          <w:rFonts w:ascii="宋体" w:hAnsi="宋体"/>
        </w:rPr>
      </w:pPr>
      <w:r>
        <w:rPr>
          <w:rFonts w:hint="eastAsia" w:ascii="宋体" w:hAnsi="宋体"/>
        </w:rPr>
        <w:t>6、备/配件支持计划</w:t>
      </w:r>
    </w:p>
    <w:p>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pPr>
        <w:adjustRightInd w:val="0"/>
        <w:snapToGrid w:val="0"/>
        <w:spacing w:line="300" w:lineRule="auto"/>
        <w:rPr>
          <w:rFonts w:ascii="宋体" w:hAnsi="宋体"/>
          <w:bCs/>
        </w:rPr>
      </w:pPr>
      <w:r>
        <w:rPr>
          <w:rFonts w:hint="eastAsia" w:ascii="宋体" w:hAnsi="宋体"/>
          <w:bCs/>
        </w:rPr>
        <w:t>8、其它</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tabs>
          <w:tab w:val="left" w:pos="480"/>
        </w:tabs>
        <w:adjustRightInd w:val="0"/>
        <w:snapToGrid w:val="0"/>
        <w:spacing w:line="300" w:lineRule="auto"/>
        <w:rPr>
          <w:snapToGrid w:val="0"/>
          <w:kern w:val="0"/>
        </w:rPr>
      </w:pPr>
      <w:r>
        <w:rPr>
          <w:snapToGrid w:val="0"/>
          <w:kern w:val="0"/>
        </w:rPr>
        <w:tab/>
      </w:r>
    </w:p>
    <w:p>
      <w:pPr>
        <w:tabs>
          <w:tab w:val="left" w:pos="480"/>
        </w:tabs>
        <w:adjustRightInd w:val="0"/>
        <w:snapToGrid w:val="0"/>
        <w:spacing w:line="300" w:lineRule="auto"/>
        <w:rPr>
          <w:snapToGrid w:val="0"/>
          <w:kern w:val="0"/>
        </w:rPr>
      </w:pPr>
    </w:p>
    <w:p>
      <w:pPr>
        <w:tabs>
          <w:tab w:val="left" w:pos="48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pStyle w:val="5"/>
        <w:tabs>
          <w:tab w:val="left" w:pos="371"/>
        </w:tabs>
        <w:spacing w:before="120" w:after="120"/>
        <w:ind w:left="-1" w:leftChars="-1" w:hanging="1"/>
        <w:jc w:val="center"/>
        <w:rPr>
          <w:rFonts w:asciiTheme="minorEastAsia" w:hAnsiTheme="minorEastAsia" w:eastAsiaTheme="minorEastAsia"/>
        </w:rPr>
      </w:pPr>
      <w:bookmarkStart w:id="82" w:name="_格式5__"/>
      <w:bookmarkEnd w:id="82"/>
      <w:bookmarkStart w:id="83" w:name="_格式3__"/>
      <w:bookmarkEnd w:id="83"/>
      <w:bookmarkStart w:id="84" w:name="q17"/>
      <w:bookmarkEnd w:id="84"/>
      <w:bookmarkStart w:id="85" w:name="q15"/>
      <w:bookmarkEnd w:id="85"/>
      <w:bookmarkStart w:id="86" w:name="q16"/>
      <w:bookmarkEnd w:id="86"/>
      <w:bookmarkStart w:id="87" w:name="_格式2__投标保证金凭证"/>
      <w:bookmarkEnd w:id="87"/>
      <w:bookmarkStart w:id="88" w:name="_格式4__"/>
      <w:bookmarkEnd w:id="88"/>
      <w:r>
        <w:rPr>
          <w:rFonts w:asciiTheme="minorEastAsia" w:hAnsiTheme="minorEastAsia" w:eastAsiaTheme="minorEastAsia"/>
        </w:rPr>
        <w:tab/>
      </w:r>
      <w:bookmarkStart w:id="89" w:name="_Toc135293352"/>
      <w:bookmarkStart w:id="90" w:name="_Toc44691169"/>
      <w:bookmarkStart w:id="91" w:name="_Toc44690710"/>
      <w:bookmarkStart w:id="92" w:name="_Toc44691401"/>
      <w:bookmarkStart w:id="93" w:name="_Toc44690437"/>
      <w:r>
        <w:rPr>
          <w:rFonts w:hint="eastAsia" w:asciiTheme="minorEastAsia" w:hAnsiTheme="minorEastAsia" w:eastAsiaTheme="minorEastAsia"/>
        </w:rPr>
        <w:t>格式10  投标人情况介绍</w:t>
      </w:r>
      <w:bookmarkEnd w:id="89"/>
      <w:bookmarkEnd w:id="90"/>
      <w:bookmarkEnd w:id="91"/>
      <w:bookmarkEnd w:id="92"/>
      <w:bookmarkEnd w:id="93"/>
    </w:p>
    <w:p>
      <w:pPr>
        <w:snapToGrid w:val="0"/>
        <w:spacing w:line="300" w:lineRule="auto"/>
        <w:rPr>
          <w:rFonts w:ascii="宋体" w:hAnsi="宋体"/>
        </w:rPr>
      </w:pPr>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adjustRightInd w:val="0"/>
        <w:snapToGrid w:val="0"/>
        <w:spacing w:line="360" w:lineRule="auto"/>
        <w:rPr>
          <w:bCs/>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spacing w:line="360" w:lineRule="auto"/>
        <w:jc w:val="center"/>
        <w:rPr>
          <w:b/>
          <w:szCs w:val="21"/>
        </w:rPr>
      </w:pPr>
      <w:bookmarkStart w:id="94" w:name="_格式7__投标人资格声明"/>
      <w:bookmarkEnd w:id="94"/>
      <w:bookmarkStart w:id="95" w:name="q40"/>
    </w:p>
    <w:p>
      <w:pPr>
        <w:pStyle w:val="5"/>
        <w:tabs>
          <w:tab w:val="left" w:pos="371"/>
        </w:tabs>
        <w:spacing w:before="120" w:after="120"/>
        <w:ind w:left="-1" w:leftChars="-1" w:hanging="1"/>
        <w:jc w:val="center"/>
        <w:rPr>
          <w:rFonts w:asciiTheme="minorEastAsia" w:hAnsiTheme="minorEastAsia" w:eastAsiaTheme="minorEastAsia"/>
        </w:rPr>
      </w:pPr>
      <w:bookmarkStart w:id="96" w:name="_Toc135293353"/>
      <w:r>
        <w:rPr>
          <w:rFonts w:hint="eastAsia" w:asciiTheme="minorEastAsia" w:hAnsiTheme="minorEastAsia" w:eastAsiaTheme="minorEastAsia"/>
        </w:rPr>
        <w:t>格式11  偏离表</w:t>
      </w:r>
      <w:bookmarkEnd w:id="96"/>
    </w:p>
    <w:bookmarkEnd w:id="95"/>
    <w:p>
      <w:pPr>
        <w:spacing w:line="360" w:lineRule="auto"/>
        <w:jc w:val="center"/>
      </w:pPr>
    </w:p>
    <w:p>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r>
              <w:rPr>
                <w:rFonts w:hint="eastAsia" w:ascii="宋体" w:hAnsi="宋体"/>
                <w:szCs w:val="21"/>
              </w:rPr>
              <w:t>序号</w:t>
            </w:r>
          </w:p>
        </w:tc>
        <w:tc>
          <w:tcPr>
            <w:tcW w:w="1418" w:type="dxa"/>
            <w:vAlign w:val="center"/>
          </w:tcPr>
          <w:p>
            <w:pPr>
              <w:spacing w:line="360" w:lineRule="auto"/>
              <w:jc w:val="center"/>
              <w:rPr>
                <w:rFonts w:ascii="宋体" w:hAnsi="宋体"/>
                <w:szCs w:val="21"/>
              </w:rPr>
            </w:pPr>
            <w:r>
              <w:rPr>
                <w:rFonts w:hint="eastAsia" w:ascii="宋体" w:hAnsi="宋体"/>
                <w:szCs w:val="21"/>
              </w:rPr>
              <w:t>货物名称</w:t>
            </w:r>
          </w:p>
        </w:tc>
        <w:tc>
          <w:tcPr>
            <w:tcW w:w="2482" w:type="dxa"/>
            <w:vAlign w:val="center"/>
          </w:tcPr>
          <w:p>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pPr>
              <w:spacing w:line="360" w:lineRule="auto"/>
              <w:jc w:val="center"/>
              <w:rPr>
                <w:rFonts w:ascii="宋体" w:hAnsi="宋体"/>
                <w:szCs w:val="21"/>
              </w:rPr>
            </w:pPr>
            <w:r>
              <w:rPr>
                <w:rFonts w:hint="eastAsia" w:ascii="宋体" w:hAnsi="宋体"/>
                <w:szCs w:val="21"/>
              </w:rPr>
              <w:t>偏离情况</w:t>
            </w:r>
          </w:p>
        </w:tc>
        <w:tc>
          <w:tcPr>
            <w:tcW w:w="2304" w:type="dxa"/>
            <w:vAlign w:val="center"/>
          </w:tcPr>
          <w:p>
            <w:pPr>
              <w:spacing w:line="360" w:lineRule="auto"/>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bl>
    <w:p>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djustRightInd w:val="0"/>
        <w:snapToGrid w:val="0"/>
        <w:spacing w:line="360" w:lineRule="auto"/>
        <w:rPr>
          <w:bCs/>
          <w:snapToGrid w:val="0"/>
        </w:rPr>
      </w:pPr>
    </w:p>
    <w:p>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pPr>
              <w:spacing w:line="360" w:lineRule="auto"/>
              <w:jc w:val="center"/>
              <w:rPr>
                <w:rFonts w:ascii="宋体" w:hAnsi="宋体"/>
                <w:szCs w:val="21"/>
              </w:rPr>
            </w:pPr>
            <w:r>
              <w:rPr>
                <w:rFonts w:hint="eastAsia" w:ascii="宋体" w:hAnsi="宋体"/>
                <w:szCs w:val="21"/>
              </w:rPr>
              <w:t>序号</w:t>
            </w:r>
          </w:p>
        </w:tc>
        <w:tc>
          <w:tcPr>
            <w:tcW w:w="3077" w:type="dxa"/>
            <w:vAlign w:val="center"/>
          </w:tcPr>
          <w:p>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pPr>
              <w:spacing w:line="360" w:lineRule="auto"/>
              <w:jc w:val="center"/>
              <w:rPr>
                <w:rFonts w:ascii="宋体" w:hAnsi="宋体"/>
                <w:szCs w:val="21"/>
              </w:rPr>
            </w:pPr>
            <w:r>
              <w:rPr>
                <w:rFonts w:hint="eastAsia" w:ascii="宋体" w:hAnsi="宋体"/>
                <w:szCs w:val="21"/>
              </w:rPr>
              <w:t>偏离情况</w:t>
            </w:r>
          </w:p>
        </w:tc>
        <w:tc>
          <w:tcPr>
            <w:tcW w:w="1515" w:type="dxa"/>
            <w:vAlign w:val="center"/>
          </w:tcPr>
          <w:p>
            <w:pPr>
              <w:spacing w:line="360" w:lineRule="auto"/>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bCs/>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cs="宋体"/>
                <w:b/>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bCs/>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cs="宋体"/>
                <w:b/>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bl>
    <w:p>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spacing w:line="400" w:lineRule="exact"/>
        <w:ind w:firstLine="420" w:firstLineChars="200"/>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ind w:right="420"/>
        <w:jc w:val="center"/>
      </w:pPr>
      <w:r>
        <w:rPr>
          <w:rFonts w:hint="eastAsia"/>
          <w:snapToGrid w:val="0"/>
          <w:kern w:val="0"/>
        </w:rPr>
        <w:t xml:space="preserve">                                                            年    月    日</w:t>
      </w: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pStyle w:val="5"/>
        <w:tabs>
          <w:tab w:val="left" w:pos="371"/>
        </w:tabs>
        <w:spacing w:before="120" w:after="120"/>
        <w:ind w:left="-1" w:leftChars="-1" w:hanging="1"/>
        <w:jc w:val="center"/>
        <w:rPr>
          <w:rFonts w:asciiTheme="minorEastAsia" w:hAnsiTheme="minorEastAsia" w:eastAsiaTheme="minorEastAsia"/>
        </w:rPr>
      </w:pPr>
      <w:bookmarkStart w:id="97" w:name="_Toc135293354"/>
    </w:p>
    <w:p/>
    <w:p/>
    <w:p/>
    <w:p/>
    <w:p/>
    <w:p>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7"/>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adjustRightInd w:val="0"/>
        <w:snapToGrid w:val="0"/>
        <w:spacing w:line="300" w:lineRule="auto"/>
        <w:ind w:firstLine="482" w:firstLineChars="200"/>
        <w:rPr>
          <w:b/>
          <w:snapToGrid w:val="0"/>
          <w:kern w:val="0"/>
          <w:sz w:val="24"/>
        </w:rPr>
      </w:pPr>
    </w:p>
    <w:p>
      <w:pPr>
        <w:rPr>
          <w:snapToGrid w:val="0"/>
          <w:kern w:val="0"/>
          <w:sz w:val="52"/>
          <w:szCs w:val="52"/>
        </w:rPr>
      </w:pPr>
    </w:p>
    <w:p/>
    <w:p/>
    <w:p/>
    <w:p/>
    <w:p/>
    <w:p/>
    <w:p/>
    <w:p/>
    <w:p/>
    <w:p/>
    <w:p/>
    <w:p/>
    <w:p/>
    <w:p/>
    <w:p/>
    <w:p/>
    <w:p>
      <w:pPr>
        <w:pStyle w:val="4"/>
      </w:pPr>
      <w:bookmarkStart w:id="98" w:name="_Toc135293355"/>
      <w:r>
        <w:rPr>
          <w:rFonts w:hint="eastAsia"/>
        </w:rPr>
        <w:t>第八章  合同条款</w:t>
      </w:r>
      <w:bookmarkEnd w:id="98"/>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adjustRightInd w:val="0"/>
        <w:snapToGrid w:val="0"/>
        <w:spacing w:line="360" w:lineRule="auto"/>
        <w:jc w:val="center"/>
        <w:rPr>
          <w:b/>
          <w:snapToGrid w:val="0"/>
          <w:kern w:val="0"/>
          <w:sz w:val="28"/>
        </w:rPr>
      </w:pPr>
    </w:p>
    <w:p>
      <w:pPr>
        <w:spacing w:line="360" w:lineRule="auto"/>
        <w:rPr>
          <w:rFonts w:asciiTheme="minorEastAsia" w:hAnsiTheme="minorEastAsia"/>
          <w:b/>
          <w:bCs/>
          <w:szCs w:val="21"/>
        </w:rPr>
      </w:pPr>
      <w:r>
        <w:rPr>
          <w:rFonts w:hint="eastAsia" w:asciiTheme="minorEastAsia" w:hAnsiTheme="minorEastAsia"/>
          <w:b/>
          <w:bCs/>
          <w:szCs w:val="21"/>
        </w:rPr>
        <w:t>甲方（采购人）：</w:t>
      </w:r>
    </w:p>
    <w:p>
      <w:pPr>
        <w:spacing w:line="360" w:lineRule="auto"/>
        <w:rPr>
          <w:rFonts w:asciiTheme="minorEastAsia" w:hAnsiTheme="minorEastAsia"/>
          <w:szCs w:val="21"/>
        </w:rPr>
      </w:pPr>
      <w:r>
        <w:rPr>
          <w:rFonts w:hint="eastAsia" w:asciiTheme="minorEastAsia" w:hAnsiTheme="minorEastAsia"/>
          <w:b/>
          <w:bCs/>
          <w:szCs w:val="21"/>
        </w:rPr>
        <w:t>乙方（中标人）：</w:t>
      </w:r>
    </w:p>
    <w:p>
      <w:pPr>
        <w:snapToGrid w:val="0"/>
        <w:spacing w:line="360" w:lineRule="auto"/>
        <w:ind w:firstLine="420" w:firstLineChars="200"/>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根据《中华人民共和国政府采购法》、《深圳经济特区政府采购条例》、《中华人民共和国民法典》之规定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第一条</w:t>
      </w:r>
      <w:r>
        <w:rPr>
          <w:rFonts w:asciiTheme="minorEastAsia" w:hAnsiTheme="minorEastAsia"/>
          <w:b/>
          <w:szCs w:val="21"/>
        </w:rPr>
        <w:t xml:space="preserve">  </w:t>
      </w:r>
      <w:r>
        <w:rPr>
          <w:rFonts w:hint="eastAsia" w:asciiTheme="minorEastAsia" w:hAnsiTheme="minorEastAsia"/>
          <w:b/>
          <w:szCs w:val="21"/>
        </w:rPr>
        <w:t>合同标的</w:t>
      </w:r>
    </w:p>
    <w:p>
      <w:pPr>
        <w:spacing w:line="360" w:lineRule="auto"/>
        <w:ind w:firstLine="420" w:firstLineChars="200"/>
        <w:rPr>
          <w:rFonts w:asciiTheme="minorEastAsia" w:hAnsiTheme="minorEastAsia"/>
          <w:szCs w:val="21"/>
        </w:rPr>
      </w:pPr>
      <w:r>
        <w:rPr>
          <w:rFonts w:hint="eastAsia" w:asciiTheme="minorEastAsia" w:hAnsiTheme="minorEastAsia"/>
          <w:szCs w:val="21"/>
        </w:rPr>
        <w:t>货物名称、规格型号、制造商、产地、单位、数量、单价、合同价，详见</w:t>
      </w:r>
      <w:r>
        <w:rPr>
          <w:rFonts w:asciiTheme="minorEastAsia" w:hAnsiTheme="minorEastAsia"/>
          <w:b/>
          <w:szCs w:val="21"/>
          <w:u w:val="single"/>
        </w:rPr>
        <w:t xml:space="preserve">                  </w:t>
      </w:r>
      <w:r>
        <w:rPr>
          <w:rFonts w:hint="eastAsia" w:asciiTheme="minorEastAsia" w:hAnsiTheme="minorEastAsia"/>
          <w:szCs w:val="21"/>
        </w:rPr>
        <w:t>。</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第二条</w:t>
      </w:r>
      <w:r>
        <w:rPr>
          <w:rFonts w:asciiTheme="minorEastAsia" w:hAnsiTheme="minorEastAsia"/>
          <w:b/>
          <w:szCs w:val="21"/>
        </w:rPr>
        <w:t xml:space="preserve">  </w:t>
      </w:r>
      <w:r>
        <w:rPr>
          <w:rFonts w:hint="eastAsia" w:asciiTheme="minorEastAsia" w:hAnsiTheme="minorEastAsia"/>
          <w:b/>
          <w:szCs w:val="21"/>
        </w:rPr>
        <w:t>合同价款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本合同项下总价款为</w:t>
      </w:r>
      <w:r>
        <w:rPr>
          <w:rFonts w:asciiTheme="minorEastAsia" w:hAnsiTheme="minorEastAsia"/>
          <w:szCs w:val="21"/>
          <w:u w:val="single"/>
        </w:rPr>
        <w:t xml:space="preserve">              </w:t>
      </w:r>
      <w:r>
        <w:rPr>
          <w:rFonts w:hint="eastAsia" w:asciiTheme="minorEastAsia" w:hAnsiTheme="minorEastAsia"/>
          <w:szCs w:val="21"/>
        </w:rPr>
        <w:t>（大写）人民币，分项价款详见</w:t>
      </w:r>
      <w:r>
        <w:rPr>
          <w:rFonts w:asciiTheme="minorEastAsia" w:hAnsiTheme="minorEastAsia"/>
          <w:b/>
          <w:szCs w:val="21"/>
          <w:u w:val="single"/>
        </w:rPr>
        <w:t xml:space="preserve">          </w:t>
      </w:r>
      <w:r>
        <w:rPr>
          <w:rFonts w:hint="eastAsia" w:asciiTheme="minorEastAsia" w:hAnsiTheme="minorEastAsia"/>
          <w:szCs w:val="21"/>
        </w:rPr>
        <w:t>。本合同总价款已包括乙方为履行本合同义务所发生的一切费用，系固定不变价格，且不随通货膨胀的影响而波动。</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第三条</w:t>
      </w:r>
      <w:r>
        <w:rPr>
          <w:rFonts w:asciiTheme="minorEastAsia" w:hAnsiTheme="minorEastAsia"/>
          <w:b/>
          <w:szCs w:val="21"/>
        </w:rPr>
        <w:t xml:space="preserve">  </w:t>
      </w:r>
      <w:r>
        <w:rPr>
          <w:rFonts w:hint="eastAsia" w:asciiTheme="minorEastAsia" w:hAnsiTheme="minorEastAsia"/>
          <w:b/>
          <w:szCs w:val="21"/>
        </w:rPr>
        <w:t>交货时间、地点和交货状态</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3.1交货时间：</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3.2交货地点：</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3.3交货状态：</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第四条</w:t>
      </w:r>
      <w:r>
        <w:rPr>
          <w:rFonts w:asciiTheme="minorEastAsia" w:hAnsiTheme="minorEastAsia"/>
          <w:b/>
          <w:szCs w:val="21"/>
        </w:rPr>
        <w:t xml:space="preserve">  </w:t>
      </w:r>
      <w:r>
        <w:rPr>
          <w:rFonts w:hint="eastAsia" w:asciiTheme="minorEastAsia" w:hAnsiTheme="minorEastAsia"/>
          <w:b/>
          <w:szCs w:val="21"/>
        </w:rPr>
        <w:t>质量标准和要求</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4.1乙方所提供的货物质量标准按照国家标准或者行业标准或者企业标准明确。没有国家标准、行业标准或企业标准的，按照通常标准或者符合合同目的的特定标准确定。</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4.2乙方应保证货物是全新、未使用过的原装合格正品（包括零部件），并完全符合甲方要求的质量、规格和性能的要求。如货物安装或配置了软件的，乙方保证相关软件均为正版软件。</w:t>
      </w:r>
    </w:p>
    <w:p>
      <w:pPr>
        <w:spacing w:line="360" w:lineRule="auto"/>
        <w:ind w:firstLine="420" w:firstLineChars="200"/>
        <w:jc w:val="left"/>
        <w:rPr>
          <w:rFonts w:asciiTheme="minorEastAsia" w:hAnsiTheme="minorEastAsia"/>
          <w:szCs w:val="21"/>
        </w:rPr>
      </w:pPr>
      <w:r>
        <w:rPr>
          <w:rFonts w:asciiTheme="minorEastAsia" w:hAnsiTheme="minorEastAsia"/>
          <w:szCs w:val="21"/>
        </w:rPr>
        <w:t>4.3乙方保证交货时一并提供货物的质量合格凭证或文件。</w:t>
      </w:r>
    </w:p>
    <w:p>
      <w:pPr>
        <w:spacing w:line="360" w:lineRule="auto"/>
        <w:ind w:firstLine="420" w:firstLineChars="200"/>
        <w:jc w:val="left"/>
        <w:rPr>
          <w:rFonts w:asciiTheme="minorEastAsia" w:hAnsiTheme="minorEastAsia"/>
          <w:szCs w:val="21"/>
        </w:rPr>
      </w:pPr>
      <w:r>
        <w:rPr>
          <w:rFonts w:asciiTheme="minorEastAsia" w:hAnsiTheme="minorEastAsia"/>
          <w:szCs w:val="21"/>
        </w:rPr>
        <w:t>4.4乙方所提供的全部货物均应按照标准保护措施进行包装，包装应适用于远距离运输、防潮、防震、防锈、防野蛮装卸等要求，以确保货物安全无损抵运指定交货地点。</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第五条</w:t>
      </w:r>
      <w:r>
        <w:rPr>
          <w:rFonts w:asciiTheme="minorEastAsia" w:hAnsiTheme="minorEastAsia"/>
          <w:b/>
          <w:szCs w:val="21"/>
        </w:rPr>
        <w:t xml:space="preserve">  </w:t>
      </w:r>
      <w:r>
        <w:rPr>
          <w:rFonts w:hint="eastAsia" w:asciiTheme="minorEastAsia" w:hAnsiTheme="minorEastAsia"/>
          <w:b/>
          <w:szCs w:val="21"/>
        </w:rPr>
        <w:t>权利保证</w:t>
      </w:r>
    </w:p>
    <w:p>
      <w:pPr>
        <w:spacing w:line="360" w:lineRule="auto"/>
        <w:ind w:firstLine="420" w:firstLineChars="200"/>
        <w:jc w:val="left"/>
        <w:rPr>
          <w:rFonts w:asciiTheme="minorEastAsia" w:hAnsiTheme="minorEastAsia"/>
          <w:szCs w:val="21"/>
        </w:rPr>
      </w:pPr>
      <w:r>
        <w:rPr>
          <w:rFonts w:asciiTheme="minorEastAsia" w:hAnsiTheme="minorEastAsia"/>
          <w:szCs w:val="21"/>
        </w:rPr>
        <w:t>5.1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spacing w:line="360" w:lineRule="auto"/>
        <w:ind w:firstLine="420" w:firstLineChars="200"/>
        <w:jc w:val="left"/>
        <w:rPr>
          <w:rFonts w:asciiTheme="minorEastAsia" w:hAnsiTheme="minorEastAsia"/>
          <w:szCs w:val="21"/>
        </w:rPr>
      </w:pPr>
      <w:r>
        <w:rPr>
          <w:rFonts w:asciiTheme="minorEastAsia" w:hAnsiTheme="minorEastAsia"/>
          <w:szCs w:val="21"/>
        </w:rPr>
        <w:t>5.2乙方应保证其提供的货物不存在任何未曾向甲方透漏的担保物权，如抵押权、质押权、留置权等。</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第六条</w:t>
      </w:r>
      <w:r>
        <w:rPr>
          <w:rFonts w:asciiTheme="minorEastAsia" w:hAnsiTheme="minorEastAsia"/>
          <w:b/>
          <w:szCs w:val="21"/>
        </w:rPr>
        <w:t xml:space="preserve">  </w:t>
      </w:r>
      <w:r>
        <w:rPr>
          <w:rFonts w:hint="eastAsia" w:asciiTheme="minorEastAsia" w:hAnsiTheme="minorEastAsia"/>
          <w:b/>
          <w:szCs w:val="21"/>
        </w:rPr>
        <w:t>质量保障</w:t>
      </w:r>
    </w:p>
    <w:p>
      <w:pPr>
        <w:spacing w:line="360" w:lineRule="auto"/>
        <w:ind w:firstLine="420" w:firstLineChars="200"/>
        <w:jc w:val="left"/>
        <w:rPr>
          <w:rFonts w:asciiTheme="minorEastAsia" w:hAnsiTheme="minorEastAsia"/>
          <w:szCs w:val="21"/>
        </w:rPr>
      </w:pPr>
      <w:r>
        <w:rPr>
          <w:rFonts w:asciiTheme="minorEastAsia" w:hAnsiTheme="minorEastAsia"/>
          <w:szCs w:val="21"/>
        </w:rPr>
        <w:t>6.1乙方应保证其提供的货物是全新的，未使用过的，并且完全符合合同规定的质量、规格和性能要求。乙方应保证其提供的货物在正确安装、正常使用和保养条件下，在其使用寿命期限内应具有很满意的性能。在货物最终交付验收后的质量保证期限内，乙方应对由于设计、工艺或材料的缺陷而产生的故障承担责任。</w:t>
      </w:r>
    </w:p>
    <w:p>
      <w:pPr>
        <w:spacing w:line="360" w:lineRule="auto"/>
        <w:ind w:firstLine="420" w:firstLineChars="200"/>
        <w:jc w:val="left"/>
        <w:rPr>
          <w:rFonts w:asciiTheme="minorEastAsia" w:hAnsiTheme="minorEastAsia"/>
          <w:szCs w:val="21"/>
        </w:rPr>
      </w:pPr>
      <w:r>
        <w:rPr>
          <w:rFonts w:asciiTheme="minorEastAsia" w:hAnsiTheme="minorEastAsia"/>
          <w:szCs w:val="21"/>
        </w:rPr>
        <w:t>6.2在质量保证期限内，如果货物的质量或规格与合同不符，或者证实货物存在缺陷的，包括潜在的缺陷或者使用不符合要求的材料等，甲方可根据本合同追究乙方相应违约责任。</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第七条</w:t>
      </w:r>
      <w:r>
        <w:rPr>
          <w:rFonts w:asciiTheme="minorEastAsia" w:hAnsiTheme="minorEastAsia"/>
          <w:b/>
          <w:szCs w:val="21"/>
        </w:rPr>
        <w:t xml:space="preserve">  </w:t>
      </w:r>
      <w:r>
        <w:rPr>
          <w:rFonts w:hint="eastAsia" w:asciiTheme="minorEastAsia" w:hAnsiTheme="minorEastAsia"/>
          <w:b/>
          <w:szCs w:val="21"/>
        </w:rPr>
        <w:t>交货和验收</w:t>
      </w:r>
    </w:p>
    <w:p>
      <w:pPr>
        <w:spacing w:line="360" w:lineRule="auto"/>
        <w:ind w:firstLine="420" w:firstLineChars="200"/>
        <w:jc w:val="left"/>
        <w:rPr>
          <w:rFonts w:asciiTheme="minorEastAsia" w:hAnsiTheme="minorEastAsia"/>
          <w:szCs w:val="21"/>
        </w:rPr>
      </w:pPr>
      <w:r>
        <w:rPr>
          <w:rFonts w:asciiTheme="minorEastAsia" w:hAnsiTheme="minorEastAsia"/>
          <w:szCs w:val="21"/>
        </w:rPr>
        <w:t>7.1乙方应按照本合同或招投标文件规定的时间和方式向甲方交付货物，交货地点由甲方指定。因交货产生的费用由乙方自行承担。</w:t>
      </w:r>
    </w:p>
    <w:p>
      <w:pPr>
        <w:spacing w:line="360" w:lineRule="auto"/>
        <w:ind w:firstLine="420" w:firstLineChars="200"/>
        <w:jc w:val="left"/>
        <w:rPr>
          <w:rFonts w:asciiTheme="minorEastAsia" w:hAnsiTheme="minorEastAsia"/>
          <w:szCs w:val="21"/>
        </w:rPr>
      </w:pPr>
      <w:r>
        <w:rPr>
          <w:rFonts w:asciiTheme="minorEastAsia" w:hAnsiTheme="minorEastAsia"/>
          <w:szCs w:val="21"/>
        </w:rPr>
        <w:t>7.2乙方交付的货物应当完全符合招投标文件所规定的货物、数量、质量和规格要求。乙方提供的货物不符合招投标文件和合同规定的，甲方有权拒收货物，由此引起的风险，由乙方承担。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7.3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7.4甲方应当在到货后的</w:t>
      </w:r>
      <w:r>
        <w:rPr>
          <w:rFonts w:asciiTheme="minorEastAsia" w:hAnsiTheme="minorEastAsia"/>
          <w:szCs w:val="21"/>
          <w:u w:val="single"/>
        </w:rPr>
        <w:t xml:space="preserve">       </w:t>
      </w:r>
      <w:r>
        <w:rPr>
          <w:rFonts w:hint="eastAsia" w:asciiTheme="minorEastAsia" w:hAnsiTheme="minorEastAsia"/>
          <w:szCs w:val="21"/>
        </w:rPr>
        <w:t>个工作日内对货物进行验收；需要乙方对货物或系统进行安装调试的，甲方应在货物安装调试完毕后的</w:t>
      </w:r>
      <w:r>
        <w:rPr>
          <w:rFonts w:asciiTheme="minorEastAsia" w:hAnsiTheme="minorEastAsia"/>
          <w:szCs w:val="21"/>
          <w:u w:val="single"/>
        </w:rPr>
        <w:t xml:space="preserve">       </w:t>
      </w:r>
      <w:r>
        <w:rPr>
          <w:rFonts w:hint="eastAsia" w:asciiTheme="minorEastAsia" w:hAnsiTheme="minorEastAsia"/>
          <w:szCs w:val="21"/>
        </w:rPr>
        <w:t>个工作日内进行质量验收。</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第八条</w:t>
      </w:r>
      <w:r>
        <w:rPr>
          <w:rFonts w:asciiTheme="minorEastAsia" w:hAnsiTheme="minorEastAsia"/>
          <w:b/>
          <w:szCs w:val="21"/>
        </w:rPr>
        <w:t xml:space="preserve">  </w:t>
      </w:r>
      <w:r>
        <w:rPr>
          <w:rFonts w:hint="eastAsia" w:asciiTheme="minorEastAsia" w:hAnsiTheme="minorEastAsia"/>
          <w:b/>
          <w:szCs w:val="21"/>
        </w:rPr>
        <w:t>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8.1乙方应按照国家有关法律法规规章和“三包”规定和招标文件的要求及乙方在投标文件的相关承诺提供保修及其他服务。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8.2保修期内，乙方负责对其提供的货物进行维修和系统维护，不再收取任何费用。</w:t>
      </w:r>
      <w:r>
        <w:rPr>
          <w:rFonts w:hint="eastAsia" w:asciiTheme="minorEastAsia" w:hAnsiTheme="minorEastAsia"/>
          <w:szCs w:val="21"/>
        </w:rPr>
        <w:t>所有货物保修服务方式均为乙方上门保修，即由乙方派员到货物使用现场维修，由此产生的一切费用均由乙方承担。保修期后的货物维护另行协商。</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第九条</w:t>
      </w:r>
      <w:r>
        <w:rPr>
          <w:rFonts w:asciiTheme="minorEastAsia" w:hAnsiTheme="minorEastAsia"/>
          <w:b/>
          <w:szCs w:val="21"/>
        </w:rPr>
        <w:t xml:space="preserve">  </w:t>
      </w:r>
      <w:r>
        <w:rPr>
          <w:rFonts w:hint="eastAsia" w:asciiTheme="minorEastAsia" w:hAnsiTheme="minorEastAsia"/>
          <w:b/>
          <w:szCs w:val="21"/>
        </w:rPr>
        <w:t>履约保证金</w:t>
      </w:r>
    </w:p>
    <w:p>
      <w:pPr>
        <w:spacing w:line="360" w:lineRule="auto"/>
        <w:ind w:firstLine="420" w:firstLineChars="200"/>
        <w:jc w:val="left"/>
        <w:rPr>
          <w:rFonts w:asciiTheme="minorEastAsia" w:hAnsiTheme="minorEastAsia"/>
          <w:szCs w:val="21"/>
        </w:rPr>
      </w:pPr>
      <w:r>
        <w:rPr>
          <w:rFonts w:asciiTheme="minorEastAsia" w:hAnsiTheme="minorEastAsia"/>
          <w:szCs w:val="21"/>
        </w:rPr>
        <w:t>9.1乙方应在签订本合同之日，向甲方或甲方指定的机构提交履约保证金_________元。</w:t>
      </w:r>
    </w:p>
    <w:p>
      <w:pPr>
        <w:spacing w:line="360" w:lineRule="auto"/>
        <w:ind w:firstLine="420" w:firstLineChars="200"/>
        <w:jc w:val="left"/>
        <w:rPr>
          <w:rFonts w:asciiTheme="minorEastAsia" w:hAnsiTheme="minorEastAsia"/>
          <w:szCs w:val="21"/>
        </w:rPr>
      </w:pPr>
      <w:r>
        <w:rPr>
          <w:rFonts w:asciiTheme="minorEastAsia" w:hAnsiTheme="minorEastAsia"/>
          <w:szCs w:val="21"/>
        </w:rPr>
        <w:t>9.2如乙方未能履行合同规定的义务，甲方有权从履约保证金中取得补偿。</w:t>
      </w:r>
    </w:p>
    <w:p>
      <w:pPr>
        <w:spacing w:line="360" w:lineRule="auto"/>
        <w:ind w:firstLine="420" w:firstLineChars="200"/>
        <w:jc w:val="left"/>
        <w:rPr>
          <w:rFonts w:asciiTheme="minorEastAsia" w:hAnsiTheme="minorEastAsia"/>
          <w:szCs w:val="21"/>
        </w:rPr>
      </w:pPr>
      <w:r>
        <w:rPr>
          <w:rFonts w:asciiTheme="minorEastAsia" w:hAnsiTheme="minorEastAsia"/>
          <w:szCs w:val="21"/>
        </w:rPr>
        <w:t>9.3甲方在乙方履行完毕本合同项下全部义务后______天内无息退还乙方。</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第十条</w:t>
      </w:r>
      <w:r>
        <w:rPr>
          <w:rFonts w:asciiTheme="minorEastAsia" w:hAnsiTheme="minorEastAsia"/>
          <w:b/>
          <w:szCs w:val="21"/>
        </w:rPr>
        <w:t xml:space="preserve">  </w:t>
      </w:r>
      <w:r>
        <w:rPr>
          <w:rFonts w:hint="eastAsia" w:asciiTheme="minorEastAsia" w:hAnsiTheme="minorEastAsia"/>
          <w:b/>
          <w:szCs w:val="21"/>
        </w:rPr>
        <w:t>货款支付</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10.1本合同以人民币付款。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10.2付款条件：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10.3付款方式和时间：</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第十一条</w:t>
      </w:r>
      <w:r>
        <w:rPr>
          <w:rFonts w:asciiTheme="minorEastAsia" w:hAnsiTheme="minorEastAsia"/>
          <w:b/>
          <w:szCs w:val="21"/>
        </w:rPr>
        <w:t xml:space="preserve">  </w:t>
      </w:r>
      <w:r>
        <w:rPr>
          <w:rFonts w:hint="eastAsia" w:asciiTheme="minorEastAsia" w:hAnsiTheme="minorEastAsia"/>
          <w:b/>
          <w:szCs w:val="21"/>
        </w:rPr>
        <w:t>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11.1甲方无正当理由拒收货物、拒付货物款的，由甲方向乙方偿付合同总价的【】%违约金。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11.2甲方未按合同规定的期限向乙方支付货款的，每逾期1天甲方向乙方偿付欠款总额的【】‰滞纳金，但累计滞纳金总额不超过欠款总额的【】%。</w:t>
      </w:r>
    </w:p>
    <w:p>
      <w:pPr>
        <w:spacing w:line="360" w:lineRule="auto"/>
        <w:ind w:firstLine="420" w:firstLineChars="200"/>
        <w:jc w:val="left"/>
        <w:rPr>
          <w:rFonts w:asciiTheme="minorEastAsia" w:hAnsiTheme="minorEastAsia"/>
          <w:szCs w:val="21"/>
        </w:rPr>
      </w:pPr>
      <w:r>
        <w:rPr>
          <w:rFonts w:asciiTheme="minorEastAsia" w:hAnsiTheme="minorEastAsia"/>
          <w:szCs w:val="21"/>
        </w:rPr>
        <w:t>11.3乙方逾期交付货物的</w:t>
      </w:r>
      <w:r>
        <w:rPr>
          <w:rFonts w:hint="eastAsia" w:asciiTheme="minorEastAsia" w:hAnsiTheme="minorEastAsia"/>
          <w:szCs w:val="21"/>
        </w:rPr>
        <w:t>，</w:t>
      </w:r>
      <w:r>
        <w:rPr>
          <w:rFonts w:asciiTheme="minorEastAsia" w:hAnsiTheme="minorEastAsia"/>
          <w:szCs w:val="21"/>
        </w:rPr>
        <w:t>每逾期1天，乙方向甲方偿付逾期交货部分货款总额的</w:t>
      </w:r>
      <w:r>
        <w:rPr>
          <w:rFonts w:hint="eastAsia" w:asciiTheme="minorEastAsia" w:hAnsiTheme="minorEastAsia"/>
          <w:szCs w:val="21"/>
        </w:rPr>
        <w:t>【】</w:t>
      </w:r>
      <w:r>
        <w:rPr>
          <w:rFonts w:asciiTheme="minorEastAsia" w:hAnsiTheme="minorEastAsia"/>
          <w:szCs w:val="21"/>
        </w:rPr>
        <w:t>‰的滞纳金</w:t>
      </w:r>
      <w:r>
        <w:rPr>
          <w:rFonts w:hint="eastAsia" w:asciiTheme="minorEastAsia" w:hAnsiTheme="minorEastAsia"/>
          <w:szCs w:val="21"/>
        </w:rPr>
        <w:t>。如乙方逾期交货达</w:t>
      </w:r>
      <w:r>
        <w:rPr>
          <w:rFonts w:asciiTheme="minorEastAsia" w:hAnsiTheme="minorEastAsia"/>
          <w:szCs w:val="21"/>
          <w:u w:val="single"/>
        </w:rPr>
        <w:t xml:space="preserve">    </w:t>
      </w:r>
      <w:r>
        <w:rPr>
          <w:rFonts w:hint="eastAsia" w:asciiTheme="minorEastAsia" w:hAnsiTheme="minorEastAsia"/>
          <w:szCs w:val="21"/>
        </w:rPr>
        <w:t>天，甲方有权解除合同，履约保证金不予退回，同时乙方应向甲方支付合同总价【】％的违约金。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11.4乙方所交付的货物品种、型号、规格不符合合同规定的，甲方有权拒收。甲方拒收的，乙方应向甲方支付货款总额【】%的违约金。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11.5在乙方承诺的或国家规定的质量保证期内（取两者中最长的期限），如经乙方两次维修</w:t>
      </w:r>
      <w:r>
        <w:rPr>
          <w:rFonts w:hint="eastAsia" w:asciiTheme="minorEastAsia" w:hAnsiTheme="minorEastAsia"/>
          <w:szCs w:val="21"/>
        </w:rPr>
        <w:t>或更换</w:t>
      </w:r>
      <w:r>
        <w:rPr>
          <w:rFonts w:asciiTheme="minorEastAsia" w:hAnsiTheme="minorEastAsia"/>
          <w:szCs w:val="21"/>
        </w:rPr>
        <w:t>，货物仍不能达到合同约定</w:t>
      </w:r>
      <w:r>
        <w:rPr>
          <w:rFonts w:hint="eastAsia" w:asciiTheme="minorEastAsia" w:hAnsiTheme="minorEastAsia"/>
          <w:szCs w:val="21"/>
        </w:rPr>
        <w:t>的</w:t>
      </w:r>
      <w:r>
        <w:rPr>
          <w:rFonts w:asciiTheme="minorEastAsia" w:hAnsiTheme="minorEastAsia"/>
          <w:szCs w:val="21"/>
        </w:rPr>
        <w:t>质量标准，甲方有权退货，乙方</w:t>
      </w:r>
      <w:r>
        <w:rPr>
          <w:rFonts w:hint="eastAsia" w:asciiTheme="minorEastAsia" w:hAnsiTheme="minorEastAsia"/>
          <w:szCs w:val="21"/>
        </w:rPr>
        <w:t>应</w:t>
      </w:r>
      <w:r>
        <w:rPr>
          <w:rFonts w:asciiTheme="minorEastAsia" w:hAnsiTheme="minorEastAsia"/>
          <w:szCs w:val="21"/>
        </w:rPr>
        <w:t>退回全部货款</w:t>
      </w:r>
      <w:r>
        <w:rPr>
          <w:rFonts w:hint="eastAsia" w:asciiTheme="minorEastAsia" w:hAnsiTheme="minorEastAsia"/>
          <w:szCs w:val="21"/>
        </w:rPr>
        <w:t>并</w:t>
      </w:r>
      <w:r>
        <w:rPr>
          <w:rFonts w:asciiTheme="minorEastAsia" w:hAnsiTheme="minorEastAsia"/>
          <w:szCs w:val="21"/>
        </w:rPr>
        <w:t>赔偿甲方因此遭受的损失。</w:t>
      </w:r>
    </w:p>
    <w:p>
      <w:pPr>
        <w:spacing w:line="360" w:lineRule="auto"/>
        <w:ind w:firstLine="420" w:firstLineChars="200"/>
        <w:jc w:val="left"/>
        <w:rPr>
          <w:rFonts w:asciiTheme="minorEastAsia" w:hAnsiTheme="minorEastAsia"/>
          <w:szCs w:val="21"/>
        </w:rPr>
      </w:pPr>
      <w:r>
        <w:rPr>
          <w:rFonts w:asciiTheme="minorEastAsia" w:hAnsiTheme="minorEastAsia"/>
          <w:szCs w:val="21"/>
        </w:rPr>
        <w:t>11.6乙方未履行本合同项下的其他义务或违反其在投标文件中的相关承诺的，应按合同总价款的【】%向甲方承担违约责任。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11.7乙方在承担上述一项或多项违约责任后，仍应继续履行合同规定的义务（甲方解除合同的除外）。甲方未能及时追究乙方的任何一项违约责任并不表明甲方放弃追究乙方该项或其他违约责任。</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第十二条</w:t>
      </w:r>
      <w:r>
        <w:rPr>
          <w:rFonts w:asciiTheme="minorEastAsia" w:hAnsiTheme="minorEastAsia"/>
          <w:b/>
          <w:szCs w:val="21"/>
        </w:rPr>
        <w:t xml:space="preserve">  </w:t>
      </w:r>
      <w:r>
        <w:rPr>
          <w:rFonts w:hint="eastAsia" w:asciiTheme="minorEastAsia" w:hAnsiTheme="minorEastAsia"/>
          <w:b/>
          <w:szCs w:val="21"/>
        </w:rPr>
        <w:t>合同的变更、解除或终止</w:t>
      </w:r>
    </w:p>
    <w:p>
      <w:pPr>
        <w:spacing w:line="360" w:lineRule="auto"/>
        <w:ind w:firstLine="420" w:firstLineChars="200"/>
        <w:jc w:val="left"/>
        <w:rPr>
          <w:rFonts w:asciiTheme="minorEastAsia" w:hAnsiTheme="minorEastAsia"/>
          <w:szCs w:val="21"/>
        </w:rPr>
      </w:pPr>
      <w:r>
        <w:rPr>
          <w:rFonts w:asciiTheme="minorEastAsia" w:hAnsiTheme="minorEastAsia"/>
          <w:szCs w:val="21"/>
        </w:rPr>
        <w:t>12.1在合同履行中，甲方需追加与合同标的项目的货物、工程或者服务的，应按照《深圳经济特区政府采购条例》第四十条、第四十八条规定办理相关手续。</w:t>
      </w:r>
    </w:p>
    <w:p>
      <w:pPr>
        <w:spacing w:line="360" w:lineRule="auto"/>
        <w:ind w:firstLine="420" w:firstLineChars="200"/>
        <w:jc w:val="left"/>
        <w:rPr>
          <w:rFonts w:asciiTheme="minorEastAsia" w:hAnsiTheme="minorEastAsia"/>
          <w:szCs w:val="21"/>
        </w:rPr>
      </w:pPr>
      <w:r>
        <w:rPr>
          <w:rFonts w:asciiTheme="minorEastAsia" w:hAnsiTheme="minorEastAsia"/>
          <w:szCs w:val="21"/>
        </w:rPr>
        <w:t>12.</w:t>
      </w:r>
      <w:r>
        <w:rPr>
          <w:rFonts w:hint="eastAsia" w:asciiTheme="minorEastAsia" w:hAnsiTheme="minorEastAsia"/>
          <w:szCs w:val="21"/>
        </w:rPr>
        <w:t>2</w:t>
      </w:r>
      <w:r>
        <w:rPr>
          <w:rFonts w:asciiTheme="minorEastAsia" w:hAnsiTheme="minorEastAsia"/>
          <w:szCs w:val="21"/>
        </w:rPr>
        <w:t>除《中华人民共和国政府采购法》第49条、第50条第二款规定的情形外，本合同一经签订，甲乙双方不得擅自变更、中止或终止合同。</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第十三条</w:t>
      </w:r>
      <w:r>
        <w:rPr>
          <w:rFonts w:asciiTheme="minorEastAsia" w:hAnsiTheme="minorEastAsia"/>
          <w:b/>
          <w:szCs w:val="21"/>
        </w:rPr>
        <w:t xml:space="preserve">  </w:t>
      </w:r>
      <w:r>
        <w:rPr>
          <w:rFonts w:hint="eastAsia" w:asciiTheme="minorEastAsia" w:hAnsiTheme="minorEastAsia"/>
          <w:b/>
          <w:szCs w:val="21"/>
        </w:rPr>
        <w:t>争议的解决</w:t>
      </w:r>
    </w:p>
    <w:p>
      <w:pPr>
        <w:spacing w:line="360" w:lineRule="auto"/>
        <w:ind w:firstLine="420" w:firstLineChars="200"/>
        <w:jc w:val="left"/>
        <w:rPr>
          <w:rFonts w:asciiTheme="minorEastAsia" w:hAnsiTheme="minorEastAsia"/>
          <w:szCs w:val="21"/>
        </w:rPr>
      </w:pPr>
      <w:r>
        <w:rPr>
          <w:rFonts w:asciiTheme="minorEastAsia" w:hAnsiTheme="minorEastAsia"/>
          <w:szCs w:val="21"/>
        </w:rPr>
        <w:t>13.1因货物的质量问题发生争议的，应当邀请国家认可的质量检测机构对货物质量进行鉴定。货物符合标准的，鉴定费由甲方承担；货物不符合质量标准的，鉴定费由乙方承担。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13.2因履行本合同引起的或与本合同有关的争议，甲、乙双方应首先通过友好协商解决，如果协商不能解决争议，则向甲方所在地有管辖权的人民法院提起诉讼。</w:t>
      </w:r>
    </w:p>
    <w:p>
      <w:pPr>
        <w:spacing w:line="360" w:lineRule="auto"/>
        <w:ind w:firstLine="422" w:firstLineChars="200"/>
        <w:jc w:val="left"/>
        <w:rPr>
          <w:rFonts w:asciiTheme="minorEastAsia" w:hAnsiTheme="minorEastAsia"/>
          <w:b/>
          <w:szCs w:val="21"/>
        </w:rPr>
      </w:pPr>
      <w:r>
        <w:rPr>
          <w:rFonts w:hint="eastAsia" w:asciiTheme="minorEastAsia" w:hAnsiTheme="minorEastAsia"/>
          <w:b/>
          <w:szCs w:val="21"/>
        </w:rPr>
        <w:t>第十四条</w:t>
      </w:r>
      <w:r>
        <w:rPr>
          <w:rFonts w:asciiTheme="minorEastAsia" w:hAnsiTheme="minorEastAsia"/>
          <w:b/>
          <w:szCs w:val="21"/>
        </w:rPr>
        <w:t xml:space="preserve">  </w:t>
      </w:r>
      <w:r>
        <w:rPr>
          <w:rFonts w:hint="eastAsia" w:asciiTheme="minorEastAsia" w:hAnsiTheme="minorEastAsia"/>
          <w:b/>
          <w:szCs w:val="21"/>
        </w:rPr>
        <w:t>合同生效及其他</w:t>
      </w:r>
    </w:p>
    <w:p>
      <w:pPr>
        <w:spacing w:line="360" w:lineRule="auto"/>
        <w:ind w:firstLine="420" w:firstLineChars="200"/>
        <w:jc w:val="left"/>
        <w:rPr>
          <w:rFonts w:asciiTheme="minorEastAsia" w:hAnsiTheme="minorEastAsia"/>
          <w:szCs w:val="21"/>
        </w:rPr>
      </w:pPr>
      <w:r>
        <w:rPr>
          <w:rFonts w:asciiTheme="minorEastAsia" w:hAnsiTheme="minorEastAsia"/>
          <w:szCs w:val="21"/>
        </w:rPr>
        <w:t>14.1下列文件均为本合同的组成部分：</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招标文件、答疑及补充通知；</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2）乙方的投标文件；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3）本合同执行中甲乙双方共同签署的补充与修正文件。</w:t>
      </w:r>
    </w:p>
    <w:p>
      <w:pPr>
        <w:spacing w:line="360" w:lineRule="auto"/>
        <w:ind w:firstLine="420" w:firstLineChars="200"/>
        <w:jc w:val="left"/>
        <w:rPr>
          <w:rFonts w:asciiTheme="minorEastAsia" w:hAnsiTheme="minorEastAsia"/>
          <w:szCs w:val="21"/>
        </w:rPr>
      </w:pPr>
      <w:r>
        <w:rPr>
          <w:rFonts w:asciiTheme="minorEastAsia" w:hAnsiTheme="minorEastAsia"/>
          <w:szCs w:val="21"/>
        </w:rPr>
        <w:t>14.2本合同一式</w:t>
      </w:r>
      <w:r>
        <w:rPr>
          <w:rFonts w:asciiTheme="minorEastAsia" w:hAnsiTheme="minorEastAsia"/>
          <w:szCs w:val="21"/>
          <w:u w:val="single"/>
        </w:rPr>
        <w:t xml:space="preserve">     </w:t>
      </w:r>
      <w:r>
        <w:rPr>
          <w:rFonts w:hint="eastAsia" w:asciiTheme="minorEastAsia" w:hAnsiTheme="minorEastAsia"/>
          <w:szCs w:val="21"/>
        </w:rPr>
        <w:t>份，甲、乙方双方各执</w:t>
      </w:r>
      <w:r>
        <w:rPr>
          <w:rFonts w:asciiTheme="minorEastAsia" w:hAnsiTheme="minorEastAsia"/>
          <w:szCs w:val="21"/>
          <w:u w:val="single"/>
        </w:rPr>
        <w:t xml:space="preserve">     </w:t>
      </w:r>
      <w:r>
        <w:rPr>
          <w:rFonts w:hint="eastAsia" w:asciiTheme="minorEastAsia" w:hAnsiTheme="minorEastAsia"/>
          <w:szCs w:val="21"/>
        </w:rPr>
        <w:t>份，具有同等法律效力。本合同自双方签字并盖章之日起生效。</w:t>
      </w:r>
    </w:p>
    <w:p>
      <w:pPr>
        <w:snapToGrid w:val="0"/>
        <w:spacing w:line="360" w:lineRule="auto"/>
        <w:ind w:firstLine="420" w:firstLineChars="200"/>
        <w:rPr>
          <w:rFonts w:ascii="宋体" w:hAnsi="宋体"/>
          <w:szCs w:val="21"/>
        </w:rPr>
      </w:pPr>
      <w:r>
        <w:rPr>
          <w:rFonts w:asciiTheme="minorEastAsia" w:hAnsiTheme="minorEastAsia"/>
          <w:szCs w:val="21"/>
        </w:rPr>
        <w:t>14.</w:t>
      </w:r>
      <w:r>
        <w:rPr>
          <w:rFonts w:hint="eastAsia" w:asciiTheme="minorEastAsia" w:hAnsiTheme="minorEastAsia"/>
          <w:szCs w:val="21"/>
        </w:rPr>
        <w:t>3</w:t>
      </w:r>
      <w:r>
        <w:rPr>
          <w:rFonts w:hint="eastAsia" w:ascii="宋体" w:hAnsi="宋体"/>
          <w:szCs w:val="21"/>
        </w:rPr>
        <w:t>本合同未尽事宜，双方友好协商，达成解决方案，经双方签字后，可作为本合同的有效附件。</w:t>
      </w:r>
    </w:p>
    <w:p>
      <w:pPr>
        <w:spacing w:line="360" w:lineRule="auto"/>
        <w:ind w:firstLine="420" w:firstLineChars="200"/>
        <w:jc w:val="left"/>
        <w:rPr>
          <w:rFonts w:asciiTheme="minorEastAsia" w:hAnsiTheme="minorEastAsia"/>
          <w:szCs w:val="21"/>
        </w:rPr>
      </w:pPr>
    </w:p>
    <w:p>
      <w:pPr>
        <w:pStyle w:val="26"/>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pacing w:line="360" w:lineRule="auto"/>
        <w:ind w:firstLine="420" w:firstLineChars="200"/>
        <w:jc w:val="left"/>
        <w:rPr>
          <w:rFonts w:asciiTheme="minorEastAsia" w:hAnsiTheme="minorEastAsia"/>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
      <w:pPr>
        <w:pStyle w:val="4"/>
      </w:pPr>
      <w:bookmarkStart w:id="99" w:name="_Toc135293356"/>
      <w:r>
        <w:rPr>
          <w:rFonts w:hint="eastAsia"/>
        </w:rPr>
        <w:t>第九章  附件</w:t>
      </w:r>
      <w:bookmarkEnd w:id="99"/>
    </w:p>
    <w:p>
      <w:pPr>
        <w:pStyle w:val="6"/>
        <w:spacing w:before="0" w:after="0"/>
      </w:pPr>
      <w:bookmarkStart w:id="100" w:name="_Toc135293357"/>
      <w:bookmarkStart w:id="101" w:name="_Toc73613644"/>
      <w:bookmarkStart w:id="102" w:name="_Toc73610162"/>
      <w:r>
        <w:rPr>
          <w:rFonts w:hint="eastAsia"/>
        </w:rPr>
        <w:t>一、财政部 工业和信息化部关于印发《政府采购促进中小企业发展管理办法》的通知</w:t>
      </w:r>
      <w:bookmarkEnd w:id="100"/>
      <w:bookmarkEnd w:id="101"/>
      <w:bookmarkEnd w:id="10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6"/>
        <w:spacing w:before="0" w:after="0"/>
      </w:pPr>
      <w:bookmarkStart w:id="103" w:name="_Toc135293358"/>
      <w:bookmarkStart w:id="104" w:name="_Toc73613645"/>
      <w:bookmarkStart w:id="105" w:name="_Toc73610163"/>
      <w:r>
        <w:rPr>
          <w:rFonts w:hint="eastAsia"/>
        </w:rPr>
        <w:t>二、关于印发中小企业划型标准规定的通知</w:t>
      </w:r>
      <w:bookmarkEnd w:id="103"/>
      <w:bookmarkEnd w:id="104"/>
      <w:bookmarkEnd w:id="105"/>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6"/>
        <w:spacing w:before="0" w:after="0"/>
      </w:pPr>
      <w:bookmarkStart w:id="106" w:name="_Toc73613646"/>
      <w:bookmarkStart w:id="107" w:name="_Toc73610164"/>
      <w:bookmarkStart w:id="108" w:name="_Toc135293359"/>
      <w:r>
        <w:rPr>
          <w:rFonts w:hint="eastAsia"/>
        </w:rPr>
        <w:t>三、</w:t>
      </w:r>
      <w:r>
        <w:t>国家统计局关于印发《统计上大中小微型企业划分办法 （2017）》的通知</w:t>
      </w:r>
      <w:bookmarkEnd w:id="106"/>
      <w:bookmarkEnd w:id="107"/>
      <w:bookmarkEnd w:id="108"/>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6"/>
        <w:spacing w:before="0" w:after="0"/>
      </w:pPr>
      <w:bookmarkStart w:id="109" w:name="_Toc135293360"/>
      <w:bookmarkStart w:id="110" w:name="_Toc73610165"/>
      <w:bookmarkStart w:id="111" w:name="_Toc73613647"/>
      <w:r>
        <w:rPr>
          <w:rFonts w:hint="eastAsia"/>
        </w:rPr>
        <w:t>四、</w:t>
      </w:r>
      <w:r>
        <w:t>财政部 民政部 中国残疾人联合会关于促进残疾人就业 政府采购政策的通知</w:t>
      </w:r>
      <w:bookmarkEnd w:id="109"/>
      <w:bookmarkEnd w:id="110"/>
      <w:bookmarkEnd w:id="111"/>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6"/>
        <w:spacing w:before="0" w:after="0"/>
      </w:pPr>
      <w:bookmarkStart w:id="112" w:name="_Toc135293361"/>
      <w:r>
        <w:rPr>
          <w:rFonts w:hint="eastAsia"/>
        </w:rPr>
        <w:t>五、财政部 司法部关于政府采购支持监狱企业发展有关问题的通知</w:t>
      </w:r>
      <w:bookmarkEnd w:id="112"/>
      <w:r>
        <w:rPr>
          <w:rFonts w:hint="eastAsia"/>
        </w:rP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p>
      <w:pPr>
        <w:pStyle w:val="6"/>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微软雅黑"/>
    <w:panose1 w:val="00000000000000000000"/>
    <w:charset w:val="86"/>
    <w:family w:val="modern"/>
    <w:pitch w:val="default"/>
    <w:sig w:usb0="00000000" w:usb1="00000000" w:usb2="00000010"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24</w:t>
    </w:r>
    <w:r>
      <w:rPr>
        <w:rStyle w:val="54"/>
      </w:rPr>
      <w:fldChar w:fldCharType="end"/>
    </w:r>
  </w:p>
  <w:p>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rPr>
        <w:rFonts w:asciiTheme="minorEastAsia" w:hAnsiTheme="minorEastAsia" w:eastAsiaTheme="minorEastAsia"/>
      </w:rPr>
    </w:pPr>
    <w:r>
      <w:tab/>
    </w:r>
    <w:r>
      <w:rPr>
        <w:rFonts w:hint="eastAsia" w:asciiTheme="minorEastAsia" w:hAnsiTheme="minorEastAsia" w:eastAsiaTheme="minorEastAsia"/>
      </w:rPr>
      <w:t>项目名称：网盘采购项目                                                            项目编号：SZZZ2023-QA0359</w:t>
    </w:r>
  </w:p>
  <w:p>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8"/>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60396B75"/>
    <w:multiLevelType w:val="singleLevel"/>
    <w:tmpl w:val="60396B75"/>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2E5ZGI4MGEwYTRjZTUzMmU1ODU4YTM0ZDAyMTkifQ=="/>
  </w:docVars>
  <w:rsids>
    <w:rsidRoot w:val="00172A27"/>
    <w:rsid w:val="0000124D"/>
    <w:rsid w:val="0000134D"/>
    <w:rsid w:val="00001635"/>
    <w:rsid w:val="000035D6"/>
    <w:rsid w:val="000036D6"/>
    <w:rsid w:val="00003921"/>
    <w:rsid w:val="000039AF"/>
    <w:rsid w:val="00003A46"/>
    <w:rsid w:val="000042A3"/>
    <w:rsid w:val="0000430B"/>
    <w:rsid w:val="00004906"/>
    <w:rsid w:val="000049DE"/>
    <w:rsid w:val="00004AF7"/>
    <w:rsid w:val="00004FC4"/>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4515"/>
    <w:rsid w:val="00014625"/>
    <w:rsid w:val="000155DA"/>
    <w:rsid w:val="00015940"/>
    <w:rsid w:val="00015AF5"/>
    <w:rsid w:val="00016458"/>
    <w:rsid w:val="000165EF"/>
    <w:rsid w:val="00016FC3"/>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50E0"/>
    <w:rsid w:val="00045923"/>
    <w:rsid w:val="00045EB5"/>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554"/>
    <w:rsid w:val="00074BEF"/>
    <w:rsid w:val="00075A0C"/>
    <w:rsid w:val="00075AD5"/>
    <w:rsid w:val="00080168"/>
    <w:rsid w:val="00080188"/>
    <w:rsid w:val="00080A90"/>
    <w:rsid w:val="00080C2D"/>
    <w:rsid w:val="00081B06"/>
    <w:rsid w:val="000820E6"/>
    <w:rsid w:val="000825F6"/>
    <w:rsid w:val="00082956"/>
    <w:rsid w:val="00082ABE"/>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F62"/>
    <w:rsid w:val="000870F2"/>
    <w:rsid w:val="000871D6"/>
    <w:rsid w:val="000871FE"/>
    <w:rsid w:val="000878FF"/>
    <w:rsid w:val="00087F07"/>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9"/>
    <w:rsid w:val="000A3358"/>
    <w:rsid w:val="000A43D6"/>
    <w:rsid w:val="000A530C"/>
    <w:rsid w:val="000A54E6"/>
    <w:rsid w:val="000A584E"/>
    <w:rsid w:val="000A58B9"/>
    <w:rsid w:val="000A5A8E"/>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B95"/>
    <w:rsid w:val="000C299D"/>
    <w:rsid w:val="000C2A5E"/>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1550"/>
    <w:rsid w:val="000E18B0"/>
    <w:rsid w:val="000E1BD5"/>
    <w:rsid w:val="000E1C6E"/>
    <w:rsid w:val="000E214A"/>
    <w:rsid w:val="000E21D9"/>
    <w:rsid w:val="000E2823"/>
    <w:rsid w:val="000E3219"/>
    <w:rsid w:val="000E321B"/>
    <w:rsid w:val="000E3D76"/>
    <w:rsid w:val="000E52FA"/>
    <w:rsid w:val="000E5602"/>
    <w:rsid w:val="000E6437"/>
    <w:rsid w:val="000E671E"/>
    <w:rsid w:val="000F06E7"/>
    <w:rsid w:val="000F0B03"/>
    <w:rsid w:val="000F0D6F"/>
    <w:rsid w:val="000F1A24"/>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8E6"/>
    <w:rsid w:val="00101DFC"/>
    <w:rsid w:val="00102684"/>
    <w:rsid w:val="00102A12"/>
    <w:rsid w:val="00102CC6"/>
    <w:rsid w:val="00102F0D"/>
    <w:rsid w:val="00102F55"/>
    <w:rsid w:val="001048BE"/>
    <w:rsid w:val="0010529C"/>
    <w:rsid w:val="001072EB"/>
    <w:rsid w:val="001075C1"/>
    <w:rsid w:val="00107924"/>
    <w:rsid w:val="001079CD"/>
    <w:rsid w:val="0011014B"/>
    <w:rsid w:val="00111274"/>
    <w:rsid w:val="001113BF"/>
    <w:rsid w:val="001117B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6966"/>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619B"/>
    <w:rsid w:val="001467AB"/>
    <w:rsid w:val="001468DA"/>
    <w:rsid w:val="00146E88"/>
    <w:rsid w:val="00147B19"/>
    <w:rsid w:val="00150618"/>
    <w:rsid w:val="00150E64"/>
    <w:rsid w:val="00151766"/>
    <w:rsid w:val="00152417"/>
    <w:rsid w:val="0015247A"/>
    <w:rsid w:val="00152F39"/>
    <w:rsid w:val="00153226"/>
    <w:rsid w:val="00153918"/>
    <w:rsid w:val="0015395B"/>
    <w:rsid w:val="001547E1"/>
    <w:rsid w:val="00154F74"/>
    <w:rsid w:val="001557A3"/>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73E"/>
    <w:rsid w:val="00170C17"/>
    <w:rsid w:val="00170C6E"/>
    <w:rsid w:val="0017173E"/>
    <w:rsid w:val="00171CA3"/>
    <w:rsid w:val="001722D8"/>
    <w:rsid w:val="00172715"/>
    <w:rsid w:val="00172A27"/>
    <w:rsid w:val="00172AE3"/>
    <w:rsid w:val="00172C34"/>
    <w:rsid w:val="00173149"/>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B0D"/>
    <w:rsid w:val="00181389"/>
    <w:rsid w:val="00181FEA"/>
    <w:rsid w:val="00182491"/>
    <w:rsid w:val="00182706"/>
    <w:rsid w:val="0018284B"/>
    <w:rsid w:val="00183600"/>
    <w:rsid w:val="00183836"/>
    <w:rsid w:val="00183DB4"/>
    <w:rsid w:val="001845E9"/>
    <w:rsid w:val="00184630"/>
    <w:rsid w:val="001846D7"/>
    <w:rsid w:val="00184815"/>
    <w:rsid w:val="0018550B"/>
    <w:rsid w:val="001856C0"/>
    <w:rsid w:val="00185CB5"/>
    <w:rsid w:val="001864FF"/>
    <w:rsid w:val="00186D2F"/>
    <w:rsid w:val="0018745B"/>
    <w:rsid w:val="00187B3E"/>
    <w:rsid w:val="0019091C"/>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695"/>
    <w:rsid w:val="001C7E49"/>
    <w:rsid w:val="001D012D"/>
    <w:rsid w:val="001D0702"/>
    <w:rsid w:val="001D0A25"/>
    <w:rsid w:val="001D1659"/>
    <w:rsid w:val="001D296C"/>
    <w:rsid w:val="001D2F3D"/>
    <w:rsid w:val="001D325B"/>
    <w:rsid w:val="001D33C3"/>
    <w:rsid w:val="001D3C8D"/>
    <w:rsid w:val="001D3DED"/>
    <w:rsid w:val="001D3DF8"/>
    <w:rsid w:val="001D4078"/>
    <w:rsid w:val="001D4E6F"/>
    <w:rsid w:val="001D5573"/>
    <w:rsid w:val="001D5E80"/>
    <w:rsid w:val="001D6157"/>
    <w:rsid w:val="001D6356"/>
    <w:rsid w:val="001D64D4"/>
    <w:rsid w:val="001D6A56"/>
    <w:rsid w:val="001D6EC3"/>
    <w:rsid w:val="001D710C"/>
    <w:rsid w:val="001E11B1"/>
    <w:rsid w:val="001E208F"/>
    <w:rsid w:val="001E233C"/>
    <w:rsid w:val="001E4950"/>
    <w:rsid w:val="001E5014"/>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0BC4"/>
    <w:rsid w:val="00221029"/>
    <w:rsid w:val="0022131F"/>
    <w:rsid w:val="002216BD"/>
    <w:rsid w:val="00221E89"/>
    <w:rsid w:val="00221FE8"/>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506EE"/>
    <w:rsid w:val="00250E89"/>
    <w:rsid w:val="00252912"/>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922"/>
    <w:rsid w:val="00281DA0"/>
    <w:rsid w:val="002823EE"/>
    <w:rsid w:val="0028242D"/>
    <w:rsid w:val="00282D45"/>
    <w:rsid w:val="00283253"/>
    <w:rsid w:val="002836C6"/>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08F1"/>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CF6"/>
    <w:rsid w:val="002B2E09"/>
    <w:rsid w:val="002B366D"/>
    <w:rsid w:val="002B3959"/>
    <w:rsid w:val="002B3C7C"/>
    <w:rsid w:val="002B4B5E"/>
    <w:rsid w:val="002B4F70"/>
    <w:rsid w:val="002B4FE5"/>
    <w:rsid w:val="002B6528"/>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D51"/>
    <w:rsid w:val="002E554F"/>
    <w:rsid w:val="002E57C9"/>
    <w:rsid w:val="002E6371"/>
    <w:rsid w:val="002E6740"/>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9E2"/>
    <w:rsid w:val="002F7D39"/>
    <w:rsid w:val="002F7E4F"/>
    <w:rsid w:val="002F7E8D"/>
    <w:rsid w:val="003022E5"/>
    <w:rsid w:val="00302461"/>
    <w:rsid w:val="00302899"/>
    <w:rsid w:val="00302A04"/>
    <w:rsid w:val="003033D9"/>
    <w:rsid w:val="00303F98"/>
    <w:rsid w:val="00304338"/>
    <w:rsid w:val="003044F5"/>
    <w:rsid w:val="003051C9"/>
    <w:rsid w:val="00305782"/>
    <w:rsid w:val="00305C1F"/>
    <w:rsid w:val="00305D1D"/>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14C3"/>
    <w:rsid w:val="003214D6"/>
    <w:rsid w:val="003219DD"/>
    <w:rsid w:val="00321CC1"/>
    <w:rsid w:val="0032244E"/>
    <w:rsid w:val="003226A5"/>
    <w:rsid w:val="00323373"/>
    <w:rsid w:val="003242E5"/>
    <w:rsid w:val="00324DD8"/>
    <w:rsid w:val="00324F38"/>
    <w:rsid w:val="003256E0"/>
    <w:rsid w:val="00325E6C"/>
    <w:rsid w:val="00327114"/>
    <w:rsid w:val="003278F8"/>
    <w:rsid w:val="00327B3E"/>
    <w:rsid w:val="00327D2C"/>
    <w:rsid w:val="00327EA3"/>
    <w:rsid w:val="00330181"/>
    <w:rsid w:val="003308E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EFB"/>
    <w:rsid w:val="00336334"/>
    <w:rsid w:val="003364EB"/>
    <w:rsid w:val="003374CB"/>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3AD7"/>
    <w:rsid w:val="00354882"/>
    <w:rsid w:val="00354E1D"/>
    <w:rsid w:val="00354FA4"/>
    <w:rsid w:val="00355855"/>
    <w:rsid w:val="003558FD"/>
    <w:rsid w:val="003571E8"/>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DD"/>
    <w:rsid w:val="003756AA"/>
    <w:rsid w:val="0037593F"/>
    <w:rsid w:val="00376309"/>
    <w:rsid w:val="00376B23"/>
    <w:rsid w:val="003773D2"/>
    <w:rsid w:val="00377942"/>
    <w:rsid w:val="00377B2A"/>
    <w:rsid w:val="00377D0B"/>
    <w:rsid w:val="003805AC"/>
    <w:rsid w:val="00380AE6"/>
    <w:rsid w:val="00381308"/>
    <w:rsid w:val="00381408"/>
    <w:rsid w:val="003814E4"/>
    <w:rsid w:val="00381578"/>
    <w:rsid w:val="003824ED"/>
    <w:rsid w:val="00382561"/>
    <w:rsid w:val="00382B9E"/>
    <w:rsid w:val="00382C17"/>
    <w:rsid w:val="0038318E"/>
    <w:rsid w:val="00383BA5"/>
    <w:rsid w:val="003843EC"/>
    <w:rsid w:val="00384495"/>
    <w:rsid w:val="00384585"/>
    <w:rsid w:val="003847A5"/>
    <w:rsid w:val="00385229"/>
    <w:rsid w:val="003853E7"/>
    <w:rsid w:val="00386FB3"/>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3F80"/>
    <w:rsid w:val="003A407A"/>
    <w:rsid w:val="003A44F3"/>
    <w:rsid w:val="003A574F"/>
    <w:rsid w:val="003A58D0"/>
    <w:rsid w:val="003A6FDB"/>
    <w:rsid w:val="003B01FA"/>
    <w:rsid w:val="003B0A1B"/>
    <w:rsid w:val="003B1B85"/>
    <w:rsid w:val="003B23AD"/>
    <w:rsid w:val="003B246D"/>
    <w:rsid w:val="003B2926"/>
    <w:rsid w:val="003B2EFD"/>
    <w:rsid w:val="003B3713"/>
    <w:rsid w:val="003B3AA5"/>
    <w:rsid w:val="003B445F"/>
    <w:rsid w:val="003B495A"/>
    <w:rsid w:val="003B4982"/>
    <w:rsid w:val="003B4B46"/>
    <w:rsid w:val="003B5C4E"/>
    <w:rsid w:val="003B65AB"/>
    <w:rsid w:val="003B6CFD"/>
    <w:rsid w:val="003B6F24"/>
    <w:rsid w:val="003B7115"/>
    <w:rsid w:val="003B77CE"/>
    <w:rsid w:val="003B7B4E"/>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E2F"/>
    <w:rsid w:val="003D7964"/>
    <w:rsid w:val="003D7BA8"/>
    <w:rsid w:val="003D7DF8"/>
    <w:rsid w:val="003E0E08"/>
    <w:rsid w:val="003E1C2F"/>
    <w:rsid w:val="003E1EDB"/>
    <w:rsid w:val="003E2286"/>
    <w:rsid w:val="003E27AC"/>
    <w:rsid w:val="003E2AFF"/>
    <w:rsid w:val="003E2D32"/>
    <w:rsid w:val="003E3074"/>
    <w:rsid w:val="003E3167"/>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E77"/>
    <w:rsid w:val="003F00CA"/>
    <w:rsid w:val="003F0CC4"/>
    <w:rsid w:val="003F179E"/>
    <w:rsid w:val="003F1823"/>
    <w:rsid w:val="003F1DDF"/>
    <w:rsid w:val="003F1F28"/>
    <w:rsid w:val="003F253B"/>
    <w:rsid w:val="003F2DC7"/>
    <w:rsid w:val="003F3ED0"/>
    <w:rsid w:val="003F447B"/>
    <w:rsid w:val="003F48D0"/>
    <w:rsid w:val="003F4F4B"/>
    <w:rsid w:val="003F50A1"/>
    <w:rsid w:val="003F5132"/>
    <w:rsid w:val="003F538A"/>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B9C"/>
    <w:rsid w:val="00415FC6"/>
    <w:rsid w:val="0041688D"/>
    <w:rsid w:val="004168DB"/>
    <w:rsid w:val="00416907"/>
    <w:rsid w:val="00416A9F"/>
    <w:rsid w:val="004170BB"/>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2AF7"/>
    <w:rsid w:val="004342A5"/>
    <w:rsid w:val="0043621F"/>
    <w:rsid w:val="00436AF4"/>
    <w:rsid w:val="00436D58"/>
    <w:rsid w:val="00437066"/>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8FC"/>
    <w:rsid w:val="00445E9A"/>
    <w:rsid w:val="00446086"/>
    <w:rsid w:val="00446573"/>
    <w:rsid w:val="0044696A"/>
    <w:rsid w:val="004469FF"/>
    <w:rsid w:val="00446B90"/>
    <w:rsid w:val="00447F5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B41"/>
    <w:rsid w:val="00461E36"/>
    <w:rsid w:val="0046392A"/>
    <w:rsid w:val="00463A0A"/>
    <w:rsid w:val="0046451D"/>
    <w:rsid w:val="00464A3F"/>
    <w:rsid w:val="00464A7E"/>
    <w:rsid w:val="004652F8"/>
    <w:rsid w:val="00465B3E"/>
    <w:rsid w:val="00465C0D"/>
    <w:rsid w:val="00465DED"/>
    <w:rsid w:val="004662D1"/>
    <w:rsid w:val="00466945"/>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5BE"/>
    <w:rsid w:val="004E0BF6"/>
    <w:rsid w:val="004E0D9C"/>
    <w:rsid w:val="004E10C4"/>
    <w:rsid w:val="004E1BC0"/>
    <w:rsid w:val="004E2860"/>
    <w:rsid w:val="004E290B"/>
    <w:rsid w:val="004E345A"/>
    <w:rsid w:val="004E3F06"/>
    <w:rsid w:val="004E4394"/>
    <w:rsid w:val="004E4C26"/>
    <w:rsid w:val="004E52D5"/>
    <w:rsid w:val="004E59C7"/>
    <w:rsid w:val="004E5C61"/>
    <w:rsid w:val="004E630A"/>
    <w:rsid w:val="004E67CC"/>
    <w:rsid w:val="004E6BED"/>
    <w:rsid w:val="004E7CCE"/>
    <w:rsid w:val="004F0090"/>
    <w:rsid w:val="004F0094"/>
    <w:rsid w:val="004F0607"/>
    <w:rsid w:val="004F091C"/>
    <w:rsid w:val="004F10DF"/>
    <w:rsid w:val="004F1279"/>
    <w:rsid w:val="004F1DD7"/>
    <w:rsid w:val="004F2547"/>
    <w:rsid w:val="004F266B"/>
    <w:rsid w:val="004F2CF9"/>
    <w:rsid w:val="004F3163"/>
    <w:rsid w:val="004F3E76"/>
    <w:rsid w:val="004F4097"/>
    <w:rsid w:val="004F4B8F"/>
    <w:rsid w:val="004F5901"/>
    <w:rsid w:val="004F59D0"/>
    <w:rsid w:val="004F5B1F"/>
    <w:rsid w:val="004F644E"/>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31EF"/>
    <w:rsid w:val="0055408C"/>
    <w:rsid w:val="00555289"/>
    <w:rsid w:val="00555AEF"/>
    <w:rsid w:val="00555ECB"/>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B8C"/>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75A8"/>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60015E"/>
    <w:rsid w:val="00600FF2"/>
    <w:rsid w:val="0060107B"/>
    <w:rsid w:val="006015B7"/>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5BC"/>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0BB"/>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029"/>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222"/>
    <w:rsid w:val="006D776D"/>
    <w:rsid w:val="006D7DAF"/>
    <w:rsid w:val="006D7E04"/>
    <w:rsid w:val="006E0126"/>
    <w:rsid w:val="006E02B6"/>
    <w:rsid w:val="006E0848"/>
    <w:rsid w:val="006E0E05"/>
    <w:rsid w:val="006E11AC"/>
    <w:rsid w:val="006E235F"/>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326B"/>
    <w:rsid w:val="006F4258"/>
    <w:rsid w:val="006F4A3B"/>
    <w:rsid w:val="006F4B32"/>
    <w:rsid w:val="006F6278"/>
    <w:rsid w:val="006F6F4D"/>
    <w:rsid w:val="006F7BB8"/>
    <w:rsid w:val="0070066B"/>
    <w:rsid w:val="00701022"/>
    <w:rsid w:val="0070184D"/>
    <w:rsid w:val="00701ADD"/>
    <w:rsid w:val="00701DDF"/>
    <w:rsid w:val="00702247"/>
    <w:rsid w:val="007033F1"/>
    <w:rsid w:val="00704CBD"/>
    <w:rsid w:val="00705148"/>
    <w:rsid w:val="0070597A"/>
    <w:rsid w:val="007059E9"/>
    <w:rsid w:val="00705DC2"/>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56DE"/>
    <w:rsid w:val="00735C72"/>
    <w:rsid w:val="007367CA"/>
    <w:rsid w:val="00736C6D"/>
    <w:rsid w:val="007377B5"/>
    <w:rsid w:val="00737C0A"/>
    <w:rsid w:val="00740187"/>
    <w:rsid w:val="00740528"/>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4C1"/>
    <w:rsid w:val="00755530"/>
    <w:rsid w:val="00755A5C"/>
    <w:rsid w:val="00755E79"/>
    <w:rsid w:val="007566DE"/>
    <w:rsid w:val="00756F86"/>
    <w:rsid w:val="0075777A"/>
    <w:rsid w:val="0076013E"/>
    <w:rsid w:val="0076131E"/>
    <w:rsid w:val="007634E4"/>
    <w:rsid w:val="007645ED"/>
    <w:rsid w:val="00765002"/>
    <w:rsid w:val="0076501C"/>
    <w:rsid w:val="00766293"/>
    <w:rsid w:val="007675F7"/>
    <w:rsid w:val="0077091F"/>
    <w:rsid w:val="00771266"/>
    <w:rsid w:val="00772036"/>
    <w:rsid w:val="0077203D"/>
    <w:rsid w:val="00772114"/>
    <w:rsid w:val="00772150"/>
    <w:rsid w:val="007721E3"/>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543C"/>
    <w:rsid w:val="00795707"/>
    <w:rsid w:val="007958A2"/>
    <w:rsid w:val="00795A32"/>
    <w:rsid w:val="00795C4E"/>
    <w:rsid w:val="007970DC"/>
    <w:rsid w:val="00797438"/>
    <w:rsid w:val="00797A25"/>
    <w:rsid w:val="00797EDC"/>
    <w:rsid w:val="007A03B1"/>
    <w:rsid w:val="007A0520"/>
    <w:rsid w:val="007A0605"/>
    <w:rsid w:val="007A0E19"/>
    <w:rsid w:val="007A0E2F"/>
    <w:rsid w:val="007A10E6"/>
    <w:rsid w:val="007A1136"/>
    <w:rsid w:val="007A241F"/>
    <w:rsid w:val="007A26FB"/>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A1F"/>
    <w:rsid w:val="007B7ACF"/>
    <w:rsid w:val="007C0464"/>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3DD"/>
    <w:rsid w:val="007E5533"/>
    <w:rsid w:val="007E5555"/>
    <w:rsid w:val="007E5691"/>
    <w:rsid w:val="007E56DD"/>
    <w:rsid w:val="007E5983"/>
    <w:rsid w:val="007E614B"/>
    <w:rsid w:val="007E6353"/>
    <w:rsid w:val="007E637E"/>
    <w:rsid w:val="007E71D4"/>
    <w:rsid w:val="007E7BB8"/>
    <w:rsid w:val="007E7BEA"/>
    <w:rsid w:val="007F0400"/>
    <w:rsid w:val="007F040C"/>
    <w:rsid w:val="007F0568"/>
    <w:rsid w:val="007F0A9F"/>
    <w:rsid w:val="007F1B06"/>
    <w:rsid w:val="007F1D12"/>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A77"/>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10A80"/>
    <w:rsid w:val="00811009"/>
    <w:rsid w:val="00812CAB"/>
    <w:rsid w:val="00812D0A"/>
    <w:rsid w:val="00813405"/>
    <w:rsid w:val="0081357E"/>
    <w:rsid w:val="00813C9D"/>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54A4"/>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388"/>
    <w:rsid w:val="00852470"/>
    <w:rsid w:val="008524EA"/>
    <w:rsid w:val="00852846"/>
    <w:rsid w:val="008532A7"/>
    <w:rsid w:val="008538E8"/>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61A"/>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D1B"/>
    <w:rsid w:val="00876093"/>
    <w:rsid w:val="008774B2"/>
    <w:rsid w:val="0088119F"/>
    <w:rsid w:val="00881267"/>
    <w:rsid w:val="008815C0"/>
    <w:rsid w:val="0088250C"/>
    <w:rsid w:val="008832BB"/>
    <w:rsid w:val="00883477"/>
    <w:rsid w:val="0088418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D0A"/>
    <w:rsid w:val="0089751D"/>
    <w:rsid w:val="00897A46"/>
    <w:rsid w:val="00897F8F"/>
    <w:rsid w:val="008A0126"/>
    <w:rsid w:val="008A01B8"/>
    <w:rsid w:val="008A07C5"/>
    <w:rsid w:val="008A0954"/>
    <w:rsid w:val="008A0D61"/>
    <w:rsid w:val="008A1940"/>
    <w:rsid w:val="008A241B"/>
    <w:rsid w:val="008A2A96"/>
    <w:rsid w:val="008A2C9D"/>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E17"/>
    <w:rsid w:val="008C32C7"/>
    <w:rsid w:val="008C455A"/>
    <w:rsid w:val="008C4A4A"/>
    <w:rsid w:val="008C4CA8"/>
    <w:rsid w:val="008C4EDA"/>
    <w:rsid w:val="008C5305"/>
    <w:rsid w:val="008C5566"/>
    <w:rsid w:val="008C562A"/>
    <w:rsid w:val="008C5863"/>
    <w:rsid w:val="008C5A85"/>
    <w:rsid w:val="008C5A8C"/>
    <w:rsid w:val="008C6B01"/>
    <w:rsid w:val="008C6D7A"/>
    <w:rsid w:val="008C7124"/>
    <w:rsid w:val="008C713E"/>
    <w:rsid w:val="008C76FE"/>
    <w:rsid w:val="008C7B9B"/>
    <w:rsid w:val="008D0D6B"/>
    <w:rsid w:val="008D0E73"/>
    <w:rsid w:val="008D0EAD"/>
    <w:rsid w:val="008D1105"/>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8D5"/>
    <w:rsid w:val="008F4F69"/>
    <w:rsid w:val="008F4FFD"/>
    <w:rsid w:val="008F53DF"/>
    <w:rsid w:val="008F6E39"/>
    <w:rsid w:val="00900473"/>
    <w:rsid w:val="009005B3"/>
    <w:rsid w:val="00900ED9"/>
    <w:rsid w:val="009013F6"/>
    <w:rsid w:val="00901880"/>
    <w:rsid w:val="009018CE"/>
    <w:rsid w:val="00901BEE"/>
    <w:rsid w:val="00901D16"/>
    <w:rsid w:val="00901EB2"/>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9B9"/>
    <w:rsid w:val="00925E8E"/>
    <w:rsid w:val="009269BD"/>
    <w:rsid w:val="00926AA3"/>
    <w:rsid w:val="00927B07"/>
    <w:rsid w:val="009303D6"/>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657"/>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2177"/>
    <w:rsid w:val="00973222"/>
    <w:rsid w:val="00973DF4"/>
    <w:rsid w:val="00974624"/>
    <w:rsid w:val="00975087"/>
    <w:rsid w:val="0097574B"/>
    <w:rsid w:val="00975C59"/>
    <w:rsid w:val="00975DEE"/>
    <w:rsid w:val="00976215"/>
    <w:rsid w:val="00976309"/>
    <w:rsid w:val="00976487"/>
    <w:rsid w:val="0097700C"/>
    <w:rsid w:val="009773D6"/>
    <w:rsid w:val="00977A8A"/>
    <w:rsid w:val="00977C0C"/>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90"/>
    <w:rsid w:val="009872EB"/>
    <w:rsid w:val="009876EE"/>
    <w:rsid w:val="00987AA2"/>
    <w:rsid w:val="00987B8C"/>
    <w:rsid w:val="00987CEE"/>
    <w:rsid w:val="00990650"/>
    <w:rsid w:val="00990C19"/>
    <w:rsid w:val="00991530"/>
    <w:rsid w:val="009916DA"/>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1F3C"/>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1D91"/>
    <w:rsid w:val="009C218C"/>
    <w:rsid w:val="009C21E3"/>
    <w:rsid w:val="009C222F"/>
    <w:rsid w:val="009C25F1"/>
    <w:rsid w:val="009C2C60"/>
    <w:rsid w:val="009C3B12"/>
    <w:rsid w:val="009C3EC8"/>
    <w:rsid w:val="009C4186"/>
    <w:rsid w:val="009C47F5"/>
    <w:rsid w:val="009C59C1"/>
    <w:rsid w:val="009C6134"/>
    <w:rsid w:val="009C7301"/>
    <w:rsid w:val="009C7484"/>
    <w:rsid w:val="009C749C"/>
    <w:rsid w:val="009C788F"/>
    <w:rsid w:val="009C7ACB"/>
    <w:rsid w:val="009C7EF2"/>
    <w:rsid w:val="009D0643"/>
    <w:rsid w:val="009D135A"/>
    <w:rsid w:val="009D16E4"/>
    <w:rsid w:val="009D1A50"/>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D5A"/>
    <w:rsid w:val="009F1DEF"/>
    <w:rsid w:val="009F2418"/>
    <w:rsid w:val="009F2588"/>
    <w:rsid w:val="009F36C5"/>
    <w:rsid w:val="009F3CE4"/>
    <w:rsid w:val="009F3D5F"/>
    <w:rsid w:val="009F51A2"/>
    <w:rsid w:val="009F5C1C"/>
    <w:rsid w:val="009F5F4C"/>
    <w:rsid w:val="009F6D94"/>
    <w:rsid w:val="009F7480"/>
    <w:rsid w:val="009F7689"/>
    <w:rsid w:val="00A00170"/>
    <w:rsid w:val="00A00BB2"/>
    <w:rsid w:val="00A013B0"/>
    <w:rsid w:val="00A017CD"/>
    <w:rsid w:val="00A01E51"/>
    <w:rsid w:val="00A04494"/>
    <w:rsid w:val="00A04EC8"/>
    <w:rsid w:val="00A0546E"/>
    <w:rsid w:val="00A0551C"/>
    <w:rsid w:val="00A05BB8"/>
    <w:rsid w:val="00A06295"/>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B6F"/>
    <w:rsid w:val="00A4787F"/>
    <w:rsid w:val="00A47C6D"/>
    <w:rsid w:val="00A5091A"/>
    <w:rsid w:val="00A50E22"/>
    <w:rsid w:val="00A5145B"/>
    <w:rsid w:val="00A51586"/>
    <w:rsid w:val="00A5192E"/>
    <w:rsid w:val="00A52936"/>
    <w:rsid w:val="00A52EE9"/>
    <w:rsid w:val="00A53746"/>
    <w:rsid w:val="00A54141"/>
    <w:rsid w:val="00A541FD"/>
    <w:rsid w:val="00A54589"/>
    <w:rsid w:val="00A54811"/>
    <w:rsid w:val="00A54BD8"/>
    <w:rsid w:val="00A54CB9"/>
    <w:rsid w:val="00A551E5"/>
    <w:rsid w:val="00A55987"/>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122B"/>
    <w:rsid w:val="00A81726"/>
    <w:rsid w:val="00A81A20"/>
    <w:rsid w:val="00A81B8D"/>
    <w:rsid w:val="00A81EC8"/>
    <w:rsid w:val="00A82EDC"/>
    <w:rsid w:val="00A82F09"/>
    <w:rsid w:val="00A82F7E"/>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9B0"/>
    <w:rsid w:val="00A87BAE"/>
    <w:rsid w:val="00A9015D"/>
    <w:rsid w:val="00A90976"/>
    <w:rsid w:val="00A90B03"/>
    <w:rsid w:val="00A913A1"/>
    <w:rsid w:val="00A91ACB"/>
    <w:rsid w:val="00A92584"/>
    <w:rsid w:val="00A925DB"/>
    <w:rsid w:val="00A936FA"/>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3EDF"/>
    <w:rsid w:val="00AA4239"/>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218F"/>
    <w:rsid w:val="00AF262C"/>
    <w:rsid w:val="00AF381C"/>
    <w:rsid w:val="00AF415A"/>
    <w:rsid w:val="00AF4288"/>
    <w:rsid w:val="00AF44F2"/>
    <w:rsid w:val="00AF4950"/>
    <w:rsid w:val="00AF53AB"/>
    <w:rsid w:val="00AF53BA"/>
    <w:rsid w:val="00AF69B4"/>
    <w:rsid w:val="00AF717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CD"/>
    <w:rsid w:val="00B0686C"/>
    <w:rsid w:val="00B06E97"/>
    <w:rsid w:val="00B077F2"/>
    <w:rsid w:val="00B102AD"/>
    <w:rsid w:val="00B10681"/>
    <w:rsid w:val="00B10B50"/>
    <w:rsid w:val="00B116D4"/>
    <w:rsid w:val="00B1238A"/>
    <w:rsid w:val="00B134E7"/>
    <w:rsid w:val="00B13A79"/>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347"/>
    <w:rsid w:val="00B2482B"/>
    <w:rsid w:val="00B24DC8"/>
    <w:rsid w:val="00B25335"/>
    <w:rsid w:val="00B2556A"/>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7DC"/>
    <w:rsid w:val="00B359E3"/>
    <w:rsid w:val="00B365CA"/>
    <w:rsid w:val="00B36CA1"/>
    <w:rsid w:val="00B379C8"/>
    <w:rsid w:val="00B40514"/>
    <w:rsid w:val="00B41014"/>
    <w:rsid w:val="00B41534"/>
    <w:rsid w:val="00B4154B"/>
    <w:rsid w:val="00B41784"/>
    <w:rsid w:val="00B42E68"/>
    <w:rsid w:val="00B43910"/>
    <w:rsid w:val="00B4420E"/>
    <w:rsid w:val="00B44DFC"/>
    <w:rsid w:val="00B45669"/>
    <w:rsid w:val="00B46554"/>
    <w:rsid w:val="00B466F0"/>
    <w:rsid w:val="00B467BB"/>
    <w:rsid w:val="00B47E3B"/>
    <w:rsid w:val="00B50892"/>
    <w:rsid w:val="00B511ED"/>
    <w:rsid w:val="00B51602"/>
    <w:rsid w:val="00B51F21"/>
    <w:rsid w:val="00B52540"/>
    <w:rsid w:val="00B5264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3CF"/>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BA7"/>
    <w:rsid w:val="00BB0CA1"/>
    <w:rsid w:val="00BB133D"/>
    <w:rsid w:val="00BB1924"/>
    <w:rsid w:val="00BB222A"/>
    <w:rsid w:val="00BB2616"/>
    <w:rsid w:val="00BB26EB"/>
    <w:rsid w:val="00BB2C15"/>
    <w:rsid w:val="00BB2FDC"/>
    <w:rsid w:val="00BB37AA"/>
    <w:rsid w:val="00BB3C8A"/>
    <w:rsid w:val="00BB4049"/>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250"/>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ACB"/>
    <w:rsid w:val="00BE3013"/>
    <w:rsid w:val="00BE367D"/>
    <w:rsid w:val="00BE3CB6"/>
    <w:rsid w:val="00BE4035"/>
    <w:rsid w:val="00BE4239"/>
    <w:rsid w:val="00BE4A58"/>
    <w:rsid w:val="00BE4B70"/>
    <w:rsid w:val="00BE4C67"/>
    <w:rsid w:val="00BE5120"/>
    <w:rsid w:val="00BE5756"/>
    <w:rsid w:val="00BE576D"/>
    <w:rsid w:val="00BE59E5"/>
    <w:rsid w:val="00BE64BF"/>
    <w:rsid w:val="00BE654A"/>
    <w:rsid w:val="00BE6653"/>
    <w:rsid w:val="00BE6B77"/>
    <w:rsid w:val="00BE7783"/>
    <w:rsid w:val="00BE7B46"/>
    <w:rsid w:val="00BF02D4"/>
    <w:rsid w:val="00BF0724"/>
    <w:rsid w:val="00BF15B9"/>
    <w:rsid w:val="00BF1896"/>
    <w:rsid w:val="00BF324E"/>
    <w:rsid w:val="00BF329F"/>
    <w:rsid w:val="00BF3D79"/>
    <w:rsid w:val="00BF3DDC"/>
    <w:rsid w:val="00BF4038"/>
    <w:rsid w:val="00BF4674"/>
    <w:rsid w:val="00BF47B7"/>
    <w:rsid w:val="00BF5020"/>
    <w:rsid w:val="00BF521F"/>
    <w:rsid w:val="00BF55BA"/>
    <w:rsid w:val="00BF58F2"/>
    <w:rsid w:val="00BF590D"/>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234"/>
    <w:rsid w:val="00C14C9B"/>
    <w:rsid w:val="00C14C9F"/>
    <w:rsid w:val="00C155CC"/>
    <w:rsid w:val="00C157E6"/>
    <w:rsid w:val="00C15941"/>
    <w:rsid w:val="00C15A4A"/>
    <w:rsid w:val="00C160D1"/>
    <w:rsid w:val="00C168BD"/>
    <w:rsid w:val="00C16E20"/>
    <w:rsid w:val="00C16F02"/>
    <w:rsid w:val="00C170CD"/>
    <w:rsid w:val="00C2047B"/>
    <w:rsid w:val="00C20A4F"/>
    <w:rsid w:val="00C215BB"/>
    <w:rsid w:val="00C216C9"/>
    <w:rsid w:val="00C21801"/>
    <w:rsid w:val="00C22DA5"/>
    <w:rsid w:val="00C2304D"/>
    <w:rsid w:val="00C236EB"/>
    <w:rsid w:val="00C23BE9"/>
    <w:rsid w:val="00C24016"/>
    <w:rsid w:val="00C24904"/>
    <w:rsid w:val="00C24BC8"/>
    <w:rsid w:val="00C2541E"/>
    <w:rsid w:val="00C25F86"/>
    <w:rsid w:val="00C2649C"/>
    <w:rsid w:val="00C26623"/>
    <w:rsid w:val="00C26685"/>
    <w:rsid w:val="00C268C0"/>
    <w:rsid w:val="00C26D74"/>
    <w:rsid w:val="00C2701E"/>
    <w:rsid w:val="00C2748B"/>
    <w:rsid w:val="00C27850"/>
    <w:rsid w:val="00C30824"/>
    <w:rsid w:val="00C30AA8"/>
    <w:rsid w:val="00C30F87"/>
    <w:rsid w:val="00C31BF8"/>
    <w:rsid w:val="00C3273C"/>
    <w:rsid w:val="00C3307F"/>
    <w:rsid w:val="00C33F77"/>
    <w:rsid w:val="00C343F6"/>
    <w:rsid w:val="00C348FF"/>
    <w:rsid w:val="00C34CC3"/>
    <w:rsid w:val="00C34F30"/>
    <w:rsid w:val="00C359C3"/>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B24"/>
    <w:rsid w:val="00C50040"/>
    <w:rsid w:val="00C5035F"/>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D67"/>
    <w:rsid w:val="00C633BA"/>
    <w:rsid w:val="00C6356B"/>
    <w:rsid w:val="00C652E2"/>
    <w:rsid w:val="00C653FB"/>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0CC7"/>
    <w:rsid w:val="00C81278"/>
    <w:rsid w:val="00C81326"/>
    <w:rsid w:val="00C81A2C"/>
    <w:rsid w:val="00C81E27"/>
    <w:rsid w:val="00C82647"/>
    <w:rsid w:val="00C8285E"/>
    <w:rsid w:val="00C82F2D"/>
    <w:rsid w:val="00C83260"/>
    <w:rsid w:val="00C836F0"/>
    <w:rsid w:val="00C8398B"/>
    <w:rsid w:val="00C84318"/>
    <w:rsid w:val="00C856BE"/>
    <w:rsid w:val="00C85F2C"/>
    <w:rsid w:val="00C86485"/>
    <w:rsid w:val="00C8734C"/>
    <w:rsid w:val="00C87388"/>
    <w:rsid w:val="00C87A9E"/>
    <w:rsid w:val="00C90B7D"/>
    <w:rsid w:val="00C91633"/>
    <w:rsid w:val="00C9382C"/>
    <w:rsid w:val="00C94C71"/>
    <w:rsid w:val="00C94F15"/>
    <w:rsid w:val="00C954BD"/>
    <w:rsid w:val="00C95615"/>
    <w:rsid w:val="00C97517"/>
    <w:rsid w:val="00C97CC0"/>
    <w:rsid w:val="00C97D75"/>
    <w:rsid w:val="00CA0261"/>
    <w:rsid w:val="00CA04BA"/>
    <w:rsid w:val="00CA136D"/>
    <w:rsid w:val="00CA147B"/>
    <w:rsid w:val="00CA1DF5"/>
    <w:rsid w:val="00CA2400"/>
    <w:rsid w:val="00CA24A1"/>
    <w:rsid w:val="00CA27F3"/>
    <w:rsid w:val="00CA2D7A"/>
    <w:rsid w:val="00CA41B5"/>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094"/>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3D0"/>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3294"/>
    <w:rsid w:val="00D13A91"/>
    <w:rsid w:val="00D13CB3"/>
    <w:rsid w:val="00D14D12"/>
    <w:rsid w:val="00D171C8"/>
    <w:rsid w:val="00D20137"/>
    <w:rsid w:val="00D208E6"/>
    <w:rsid w:val="00D2190E"/>
    <w:rsid w:val="00D21A55"/>
    <w:rsid w:val="00D22651"/>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1D3E"/>
    <w:rsid w:val="00D420F0"/>
    <w:rsid w:val="00D43430"/>
    <w:rsid w:val="00D439C3"/>
    <w:rsid w:val="00D449C6"/>
    <w:rsid w:val="00D44A3B"/>
    <w:rsid w:val="00D451A0"/>
    <w:rsid w:val="00D451C2"/>
    <w:rsid w:val="00D45385"/>
    <w:rsid w:val="00D45C34"/>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6305"/>
    <w:rsid w:val="00D5641F"/>
    <w:rsid w:val="00D56495"/>
    <w:rsid w:val="00D566F1"/>
    <w:rsid w:val="00D57388"/>
    <w:rsid w:val="00D61A0D"/>
    <w:rsid w:val="00D63F0E"/>
    <w:rsid w:val="00D63F45"/>
    <w:rsid w:val="00D64048"/>
    <w:rsid w:val="00D645A6"/>
    <w:rsid w:val="00D64B02"/>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26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3CE0"/>
    <w:rsid w:val="00DB4525"/>
    <w:rsid w:val="00DB47A5"/>
    <w:rsid w:val="00DB4CE3"/>
    <w:rsid w:val="00DB4D17"/>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759F"/>
    <w:rsid w:val="00DD068A"/>
    <w:rsid w:val="00DD0B51"/>
    <w:rsid w:val="00DD0BE6"/>
    <w:rsid w:val="00DD1664"/>
    <w:rsid w:val="00DD1707"/>
    <w:rsid w:val="00DD1C59"/>
    <w:rsid w:val="00DD23B0"/>
    <w:rsid w:val="00DD2FD9"/>
    <w:rsid w:val="00DD3272"/>
    <w:rsid w:val="00DD3467"/>
    <w:rsid w:val="00DD45B5"/>
    <w:rsid w:val="00DD474F"/>
    <w:rsid w:val="00DD4A1A"/>
    <w:rsid w:val="00DD52FC"/>
    <w:rsid w:val="00DD5516"/>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F0D0A"/>
    <w:rsid w:val="00DF1211"/>
    <w:rsid w:val="00DF1385"/>
    <w:rsid w:val="00DF1FB9"/>
    <w:rsid w:val="00DF2469"/>
    <w:rsid w:val="00DF2EB3"/>
    <w:rsid w:val="00DF316E"/>
    <w:rsid w:val="00DF3626"/>
    <w:rsid w:val="00DF3FC2"/>
    <w:rsid w:val="00DF58E5"/>
    <w:rsid w:val="00DF7634"/>
    <w:rsid w:val="00DF79E1"/>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FAA"/>
    <w:rsid w:val="00E07AA2"/>
    <w:rsid w:val="00E1015B"/>
    <w:rsid w:val="00E106AE"/>
    <w:rsid w:val="00E10723"/>
    <w:rsid w:val="00E10E5A"/>
    <w:rsid w:val="00E11A5C"/>
    <w:rsid w:val="00E1223A"/>
    <w:rsid w:val="00E122A9"/>
    <w:rsid w:val="00E12ABE"/>
    <w:rsid w:val="00E1415F"/>
    <w:rsid w:val="00E15683"/>
    <w:rsid w:val="00E1603D"/>
    <w:rsid w:val="00E171AC"/>
    <w:rsid w:val="00E177C6"/>
    <w:rsid w:val="00E1784D"/>
    <w:rsid w:val="00E20A95"/>
    <w:rsid w:val="00E20E02"/>
    <w:rsid w:val="00E21806"/>
    <w:rsid w:val="00E21BD1"/>
    <w:rsid w:val="00E2282E"/>
    <w:rsid w:val="00E2294D"/>
    <w:rsid w:val="00E2297A"/>
    <w:rsid w:val="00E229C1"/>
    <w:rsid w:val="00E22C09"/>
    <w:rsid w:val="00E2339C"/>
    <w:rsid w:val="00E238C8"/>
    <w:rsid w:val="00E239E9"/>
    <w:rsid w:val="00E23FAE"/>
    <w:rsid w:val="00E2496A"/>
    <w:rsid w:val="00E25C75"/>
    <w:rsid w:val="00E26416"/>
    <w:rsid w:val="00E2796A"/>
    <w:rsid w:val="00E30003"/>
    <w:rsid w:val="00E30CDC"/>
    <w:rsid w:val="00E31053"/>
    <w:rsid w:val="00E313CE"/>
    <w:rsid w:val="00E31F09"/>
    <w:rsid w:val="00E320DB"/>
    <w:rsid w:val="00E32733"/>
    <w:rsid w:val="00E32913"/>
    <w:rsid w:val="00E32DB0"/>
    <w:rsid w:val="00E331D5"/>
    <w:rsid w:val="00E33AB2"/>
    <w:rsid w:val="00E33E69"/>
    <w:rsid w:val="00E3442C"/>
    <w:rsid w:val="00E3493A"/>
    <w:rsid w:val="00E3497F"/>
    <w:rsid w:val="00E34E6A"/>
    <w:rsid w:val="00E34F1E"/>
    <w:rsid w:val="00E35F0A"/>
    <w:rsid w:val="00E36245"/>
    <w:rsid w:val="00E363CF"/>
    <w:rsid w:val="00E36D49"/>
    <w:rsid w:val="00E36E14"/>
    <w:rsid w:val="00E408E9"/>
    <w:rsid w:val="00E418F1"/>
    <w:rsid w:val="00E41C29"/>
    <w:rsid w:val="00E4238A"/>
    <w:rsid w:val="00E423EE"/>
    <w:rsid w:val="00E4324D"/>
    <w:rsid w:val="00E43812"/>
    <w:rsid w:val="00E4443F"/>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30FA"/>
    <w:rsid w:val="00E95897"/>
    <w:rsid w:val="00E95C12"/>
    <w:rsid w:val="00E95DDA"/>
    <w:rsid w:val="00E972A2"/>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5C2A"/>
    <w:rsid w:val="00EB686E"/>
    <w:rsid w:val="00EB6974"/>
    <w:rsid w:val="00EB6D6E"/>
    <w:rsid w:val="00EB7570"/>
    <w:rsid w:val="00EB76BD"/>
    <w:rsid w:val="00EC05A9"/>
    <w:rsid w:val="00EC07EF"/>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D8F"/>
    <w:rsid w:val="00EE1A53"/>
    <w:rsid w:val="00EE1BEE"/>
    <w:rsid w:val="00EE20B2"/>
    <w:rsid w:val="00EE22A7"/>
    <w:rsid w:val="00EE3627"/>
    <w:rsid w:val="00EE4D2B"/>
    <w:rsid w:val="00EE559E"/>
    <w:rsid w:val="00EE5D97"/>
    <w:rsid w:val="00EE5DE3"/>
    <w:rsid w:val="00EE6288"/>
    <w:rsid w:val="00EE66AD"/>
    <w:rsid w:val="00EE66D4"/>
    <w:rsid w:val="00EE6B64"/>
    <w:rsid w:val="00EE6C36"/>
    <w:rsid w:val="00EE6F5D"/>
    <w:rsid w:val="00EE725D"/>
    <w:rsid w:val="00EE741E"/>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622F"/>
    <w:rsid w:val="00EF6E4E"/>
    <w:rsid w:val="00EF713B"/>
    <w:rsid w:val="00EF780A"/>
    <w:rsid w:val="00EF79E0"/>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3779"/>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1269"/>
    <w:rsid w:val="00F61EFA"/>
    <w:rsid w:val="00F62DFC"/>
    <w:rsid w:val="00F62F58"/>
    <w:rsid w:val="00F6362F"/>
    <w:rsid w:val="00F6381A"/>
    <w:rsid w:val="00F63D95"/>
    <w:rsid w:val="00F64983"/>
    <w:rsid w:val="00F65403"/>
    <w:rsid w:val="00F658BB"/>
    <w:rsid w:val="00F6598F"/>
    <w:rsid w:val="00F65FF3"/>
    <w:rsid w:val="00F66292"/>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C2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A41"/>
    <w:rsid w:val="00FC5866"/>
    <w:rsid w:val="00FC5E6F"/>
    <w:rsid w:val="00FC6BB3"/>
    <w:rsid w:val="00FC7615"/>
    <w:rsid w:val="00FC7785"/>
    <w:rsid w:val="00FC7F4D"/>
    <w:rsid w:val="00FD058E"/>
    <w:rsid w:val="00FD05BC"/>
    <w:rsid w:val="00FD0E60"/>
    <w:rsid w:val="00FD2102"/>
    <w:rsid w:val="00FD2718"/>
    <w:rsid w:val="00FD3634"/>
    <w:rsid w:val="00FD3889"/>
    <w:rsid w:val="00FD45D6"/>
    <w:rsid w:val="00FD465C"/>
    <w:rsid w:val="00FD4D73"/>
    <w:rsid w:val="00FD562A"/>
    <w:rsid w:val="00FD6411"/>
    <w:rsid w:val="00FD64EF"/>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1E1686"/>
    <w:rsid w:val="026E4F91"/>
    <w:rsid w:val="041D095D"/>
    <w:rsid w:val="056F1060"/>
    <w:rsid w:val="05C87DB9"/>
    <w:rsid w:val="07590243"/>
    <w:rsid w:val="07F93A15"/>
    <w:rsid w:val="0961739E"/>
    <w:rsid w:val="098E6083"/>
    <w:rsid w:val="0B205B2B"/>
    <w:rsid w:val="0B782559"/>
    <w:rsid w:val="0D566BC9"/>
    <w:rsid w:val="0E180322"/>
    <w:rsid w:val="0E8C4995"/>
    <w:rsid w:val="0EF27BFB"/>
    <w:rsid w:val="0FBC50EF"/>
    <w:rsid w:val="115F3FD7"/>
    <w:rsid w:val="11A259DD"/>
    <w:rsid w:val="120027E5"/>
    <w:rsid w:val="120474A0"/>
    <w:rsid w:val="128F7BE6"/>
    <w:rsid w:val="13102ABE"/>
    <w:rsid w:val="14956609"/>
    <w:rsid w:val="151237B6"/>
    <w:rsid w:val="162063B0"/>
    <w:rsid w:val="167D280D"/>
    <w:rsid w:val="17047766"/>
    <w:rsid w:val="17935895"/>
    <w:rsid w:val="17F52C18"/>
    <w:rsid w:val="184530EF"/>
    <w:rsid w:val="1895330B"/>
    <w:rsid w:val="19227A4B"/>
    <w:rsid w:val="1A4A5C98"/>
    <w:rsid w:val="1B3E182A"/>
    <w:rsid w:val="1B4B5195"/>
    <w:rsid w:val="1C174C6F"/>
    <w:rsid w:val="1C7C020D"/>
    <w:rsid w:val="1C8F78BA"/>
    <w:rsid w:val="1C9B0D84"/>
    <w:rsid w:val="1CDD3F3B"/>
    <w:rsid w:val="1D4D6869"/>
    <w:rsid w:val="21760101"/>
    <w:rsid w:val="21862A8E"/>
    <w:rsid w:val="22B25284"/>
    <w:rsid w:val="22C07D9F"/>
    <w:rsid w:val="23056CBA"/>
    <w:rsid w:val="234C1E42"/>
    <w:rsid w:val="23C47C55"/>
    <w:rsid w:val="23C6059E"/>
    <w:rsid w:val="23C95079"/>
    <w:rsid w:val="24031A53"/>
    <w:rsid w:val="24307C26"/>
    <w:rsid w:val="248E5D4C"/>
    <w:rsid w:val="24C47897"/>
    <w:rsid w:val="24E337F8"/>
    <w:rsid w:val="250005FC"/>
    <w:rsid w:val="258D3B57"/>
    <w:rsid w:val="262336EE"/>
    <w:rsid w:val="269E4C0C"/>
    <w:rsid w:val="27024D1A"/>
    <w:rsid w:val="2AD85037"/>
    <w:rsid w:val="2BC65CDD"/>
    <w:rsid w:val="2BD0253B"/>
    <w:rsid w:val="2C444480"/>
    <w:rsid w:val="2C564DC3"/>
    <w:rsid w:val="2D697744"/>
    <w:rsid w:val="2D6C141D"/>
    <w:rsid w:val="2EB64B4B"/>
    <w:rsid w:val="2EDB590A"/>
    <w:rsid w:val="2F0A29E3"/>
    <w:rsid w:val="30817D6A"/>
    <w:rsid w:val="3157114E"/>
    <w:rsid w:val="31F2037F"/>
    <w:rsid w:val="329B11F6"/>
    <w:rsid w:val="335921D0"/>
    <w:rsid w:val="336E087E"/>
    <w:rsid w:val="33C3087D"/>
    <w:rsid w:val="35961B12"/>
    <w:rsid w:val="364523AD"/>
    <w:rsid w:val="36700D38"/>
    <w:rsid w:val="36C4673D"/>
    <w:rsid w:val="37B10B63"/>
    <w:rsid w:val="37D17C49"/>
    <w:rsid w:val="390721D7"/>
    <w:rsid w:val="393B510C"/>
    <w:rsid w:val="393F4767"/>
    <w:rsid w:val="39A97E97"/>
    <w:rsid w:val="3A260C29"/>
    <w:rsid w:val="3B57268D"/>
    <w:rsid w:val="3B6176CE"/>
    <w:rsid w:val="3BF9504C"/>
    <w:rsid w:val="3CF11603"/>
    <w:rsid w:val="3D2250D9"/>
    <w:rsid w:val="3D6F4D41"/>
    <w:rsid w:val="3D7507FB"/>
    <w:rsid w:val="3EB5127A"/>
    <w:rsid w:val="3F503E5E"/>
    <w:rsid w:val="3FAF020C"/>
    <w:rsid w:val="3FC16214"/>
    <w:rsid w:val="41576FF8"/>
    <w:rsid w:val="41D9164E"/>
    <w:rsid w:val="41DD521D"/>
    <w:rsid w:val="423B7022"/>
    <w:rsid w:val="4389060E"/>
    <w:rsid w:val="43C8028A"/>
    <w:rsid w:val="43D51667"/>
    <w:rsid w:val="443B2C25"/>
    <w:rsid w:val="44634F9E"/>
    <w:rsid w:val="448421F1"/>
    <w:rsid w:val="45D37D9B"/>
    <w:rsid w:val="46442696"/>
    <w:rsid w:val="48194FD5"/>
    <w:rsid w:val="484514CB"/>
    <w:rsid w:val="48516103"/>
    <w:rsid w:val="486E24F9"/>
    <w:rsid w:val="48C86EE1"/>
    <w:rsid w:val="49FA6EF8"/>
    <w:rsid w:val="4A784961"/>
    <w:rsid w:val="4ACF3A3C"/>
    <w:rsid w:val="4B1700DF"/>
    <w:rsid w:val="4B3C4946"/>
    <w:rsid w:val="4D33718D"/>
    <w:rsid w:val="4D7B242B"/>
    <w:rsid w:val="4E5739CF"/>
    <w:rsid w:val="4E736FFC"/>
    <w:rsid w:val="4F0F6A19"/>
    <w:rsid w:val="51742B83"/>
    <w:rsid w:val="51D10A66"/>
    <w:rsid w:val="528A390F"/>
    <w:rsid w:val="528C6991"/>
    <w:rsid w:val="54054633"/>
    <w:rsid w:val="540605E4"/>
    <w:rsid w:val="547F0032"/>
    <w:rsid w:val="54A02A20"/>
    <w:rsid w:val="55C87B3E"/>
    <w:rsid w:val="55EF107C"/>
    <w:rsid w:val="55F8199D"/>
    <w:rsid w:val="57743126"/>
    <w:rsid w:val="58D67D8C"/>
    <w:rsid w:val="58E10577"/>
    <w:rsid w:val="59165EF7"/>
    <w:rsid w:val="59702A12"/>
    <w:rsid w:val="5AED2A9C"/>
    <w:rsid w:val="5BC746C9"/>
    <w:rsid w:val="5CC61F72"/>
    <w:rsid w:val="5CD907D5"/>
    <w:rsid w:val="5CF206F7"/>
    <w:rsid w:val="5DB73BC7"/>
    <w:rsid w:val="5EA0340D"/>
    <w:rsid w:val="5ED66C3C"/>
    <w:rsid w:val="5FDD643B"/>
    <w:rsid w:val="60033294"/>
    <w:rsid w:val="60BA3E42"/>
    <w:rsid w:val="6194383B"/>
    <w:rsid w:val="61A14A39"/>
    <w:rsid w:val="61CB5375"/>
    <w:rsid w:val="623348CA"/>
    <w:rsid w:val="65CA685B"/>
    <w:rsid w:val="65CF34A7"/>
    <w:rsid w:val="65F660EF"/>
    <w:rsid w:val="6673798C"/>
    <w:rsid w:val="673905B6"/>
    <w:rsid w:val="67C746A4"/>
    <w:rsid w:val="681C3942"/>
    <w:rsid w:val="68460AAC"/>
    <w:rsid w:val="68670562"/>
    <w:rsid w:val="68AC1CFE"/>
    <w:rsid w:val="68D21991"/>
    <w:rsid w:val="6BCD1DE6"/>
    <w:rsid w:val="6C505023"/>
    <w:rsid w:val="6D14299F"/>
    <w:rsid w:val="6D282B22"/>
    <w:rsid w:val="6D672A1E"/>
    <w:rsid w:val="6D893674"/>
    <w:rsid w:val="6DC237D1"/>
    <w:rsid w:val="6F40725E"/>
    <w:rsid w:val="711172CF"/>
    <w:rsid w:val="71FD54DD"/>
    <w:rsid w:val="7410294D"/>
    <w:rsid w:val="75A90798"/>
    <w:rsid w:val="76D71644"/>
    <w:rsid w:val="776C2FB6"/>
    <w:rsid w:val="79982284"/>
    <w:rsid w:val="7998662D"/>
    <w:rsid w:val="79A764C4"/>
    <w:rsid w:val="79D15C97"/>
    <w:rsid w:val="7A8C5878"/>
    <w:rsid w:val="7B471854"/>
    <w:rsid w:val="7C552333"/>
    <w:rsid w:val="7CA86C55"/>
    <w:rsid w:val="7CF019C1"/>
    <w:rsid w:val="7D461CAD"/>
    <w:rsid w:val="7E28286A"/>
    <w:rsid w:val="7E4515FE"/>
    <w:rsid w:val="7EA7570F"/>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61"/>
    <w:qFormat/>
    <w:uiPriority w:val="0"/>
    <w:pPr>
      <w:spacing w:before="460" w:after="450" w:line="360" w:lineRule="auto"/>
      <w:jc w:val="center"/>
      <w:outlineLvl w:val="0"/>
    </w:pPr>
    <w:rPr>
      <w:rFonts w:eastAsiaTheme="minorEastAsia"/>
      <w:bCs w:val="0"/>
      <w:kern w:val="44"/>
      <w:sz w:val="44"/>
      <w:szCs w:val="28"/>
    </w:rPr>
  </w:style>
  <w:style w:type="paragraph" w:styleId="6">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7">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2"/>
    <w:link w:val="65"/>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2"/>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2"/>
    <w:link w:val="67"/>
    <w:qFormat/>
    <w:uiPriority w:val="9"/>
    <w:pPr>
      <w:keepNext/>
      <w:keepLines/>
      <w:numPr>
        <w:ilvl w:val="6"/>
        <w:numId w:val="1"/>
      </w:numPr>
      <w:spacing w:before="240" w:after="64" w:line="319" w:lineRule="auto"/>
      <w:outlineLvl w:val="6"/>
    </w:pPr>
    <w:rPr>
      <w:b/>
      <w:sz w:val="24"/>
    </w:rPr>
  </w:style>
  <w:style w:type="paragraph" w:styleId="11">
    <w:name w:val="heading 8"/>
    <w:basedOn w:val="1"/>
    <w:next w:val="2"/>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2"/>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link w:val="64"/>
    <w:qFormat/>
    <w:uiPriority w:val="0"/>
    <w:pPr>
      <w:ind w:firstLine="420" w:firstLineChars="200"/>
    </w:pPr>
  </w:style>
  <w:style w:type="paragraph" w:styleId="3">
    <w:name w:val="Body Text"/>
    <w:basedOn w:val="1"/>
    <w:next w:val="1"/>
    <w:link w:val="72"/>
    <w:qFormat/>
    <w:uiPriority w:val="0"/>
    <w:pPr>
      <w:spacing w:after="12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8"/>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4"/>
    <w:qFormat/>
    <w:uiPriority w:val="0"/>
    <w:pPr>
      <w:shd w:val="clear" w:color="auto" w:fill="000080"/>
    </w:pPr>
  </w:style>
  <w:style w:type="paragraph" w:styleId="19">
    <w:name w:val="annotation text"/>
    <w:basedOn w:val="1"/>
    <w:link w:val="70"/>
    <w:qFormat/>
    <w:uiPriority w:val="0"/>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Indent"/>
    <w:basedOn w:val="1"/>
    <w:link w:val="75"/>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6"/>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7"/>
    <w:qFormat/>
    <w:uiPriority w:val="0"/>
    <w:pPr>
      <w:spacing w:after="120" w:line="480" w:lineRule="auto"/>
      <w:ind w:left="420" w:leftChars="200"/>
    </w:pPr>
  </w:style>
  <w:style w:type="paragraph" w:styleId="30">
    <w:name w:val="Balloon Text"/>
    <w:basedOn w:val="1"/>
    <w:link w:val="78"/>
    <w:qFormat/>
    <w:uiPriority w:val="0"/>
    <w:rPr>
      <w:sz w:val="18"/>
      <w:szCs w:val="18"/>
    </w:rPr>
  </w:style>
  <w:style w:type="paragraph" w:styleId="31">
    <w:name w:val="footer"/>
    <w:basedOn w:val="1"/>
    <w:link w:val="79"/>
    <w:qFormat/>
    <w:uiPriority w:val="99"/>
    <w:pPr>
      <w:tabs>
        <w:tab w:val="center" w:pos="4153"/>
        <w:tab w:val="right" w:pos="8306"/>
      </w:tabs>
      <w:snapToGrid w:val="0"/>
      <w:jc w:val="left"/>
    </w:pPr>
    <w:rPr>
      <w:sz w:val="18"/>
      <w:szCs w:val="18"/>
    </w:rPr>
  </w:style>
  <w:style w:type="paragraph" w:styleId="32">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8"/>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4"/>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7"/>
    <w:qFormat/>
    <w:uiPriority w:val="0"/>
    <w:rPr>
      <w:sz w:val="28"/>
      <w:szCs w:val="20"/>
    </w:r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2"/>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1"/>
    <w:qFormat/>
    <w:uiPriority w:val="0"/>
    <w:rPr>
      <w:b/>
      <w:bCs/>
    </w:rPr>
  </w:style>
  <w:style w:type="paragraph" w:styleId="48">
    <w:name w:val="Body Text First Indent"/>
    <w:basedOn w:val="3"/>
    <w:link w:val="73"/>
    <w:qFormat/>
    <w:uiPriority w:val="0"/>
    <w:pPr>
      <w:ind w:firstLine="420" w:firstLineChars="100"/>
    </w:pPr>
  </w:style>
  <w:style w:type="paragraph" w:styleId="49">
    <w:name w:val="Body Text First Indent 2"/>
    <w:basedOn w:val="21"/>
    <w:link w:val="293"/>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paragraph" w:customStyle="1" w:styleId="59">
    <w:name w:val="文档正文"/>
    <w:basedOn w:val="1"/>
    <w:link w:val="346"/>
    <w:qFormat/>
    <w:uiPriority w:val="0"/>
    <w:rPr>
      <w:rFonts w:ascii="Arial" w:hAnsi="Arial" w:cs="Arial"/>
      <w:bCs/>
      <w:sz w:val="24"/>
    </w:rPr>
  </w:style>
  <w:style w:type="character" w:customStyle="1" w:styleId="60">
    <w:name w:val="标题 3 字符"/>
    <w:basedOn w:val="52"/>
    <w:link w:val="5"/>
    <w:qFormat/>
    <w:uiPriority w:val="0"/>
    <w:rPr>
      <w:b/>
      <w:bCs/>
      <w:kern w:val="2"/>
      <w:sz w:val="24"/>
      <w:szCs w:val="32"/>
    </w:rPr>
  </w:style>
  <w:style w:type="character" w:customStyle="1" w:styleId="61">
    <w:name w:val="标题 1 字符"/>
    <w:basedOn w:val="52"/>
    <w:link w:val="4"/>
    <w:qFormat/>
    <w:uiPriority w:val="0"/>
    <w:rPr>
      <w:rFonts w:eastAsiaTheme="minorEastAsia"/>
      <w:b/>
      <w:kern w:val="44"/>
      <w:sz w:val="44"/>
      <w:szCs w:val="28"/>
    </w:rPr>
  </w:style>
  <w:style w:type="character" w:customStyle="1" w:styleId="62">
    <w:name w:val="标题 2 字符"/>
    <w:basedOn w:val="52"/>
    <w:link w:val="6"/>
    <w:qFormat/>
    <w:uiPriority w:val="0"/>
    <w:rPr>
      <w:rFonts w:ascii="Arial" w:hAnsi="Arial" w:eastAsiaTheme="minorEastAsia"/>
      <w:b/>
      <w:bCs/>
      <w:kern w:val="2"/>
      <w:sz w:val="28"/>
      <w:szCs w:val="32"/>
    </w:rPr>
  </w:style>
  <w:style w:type="character" w:customStyle="1" w:styleId="63">
    <w:name w:val="标题 4 字符"/>
    <w:basedOn w:val="52"/>
    <w:link w:val="7"/>
    <w:qFormat/>
    <w:uiPriority w:val="99"/>
    <w:rPr>
      <w:rFonts w:ascii="Arial" w:hAnsi="Arial" w:eastAsia="黑体"/>
      <w:b/>
      <w:bCs/>
      <w:kern w:val="2"/>
      <w:sz w:val="28"/>
      <w:szCs w:val="28"/>
    </w:rPr>
  </w:style>
  <w:style w:type="character" w:customStyle="1" w:styleId="64">
    <w:name w:val="正文缩进 字符"/>
    <w:link w:val="2"/>
    <w:qFormat/>
    <w:uiPriority w:val="0"/>
    <w:rPr>
      <w:rFonts w:eastAsia="宋体"/>
      <w:kern w:val="2"/>
      <w:sz w:val="21"/>
      <w:szCs w:val="24"/>
      <w:lang w:val="en-US" w:eastAsia="zh-CN" w:bidi="ar-SA"/>
    </w:rPr>
  </w:style>
  <w:style w:type="character" w:customStyle="1" w:styleId="65">
    <w:name w:val="标题 5 字符"/>
    <w:basedOn w:val="52"/>
    <w:link w:val="8"/>
    <w:qFormat/>
    <w:uiPriority w:val="0"/>
    <w:rPr>
      <w:b/>
      <w:kern w:val="2"/>
      <w:sz w:val="28"/>
      <w:szCs w:val="24"/>
    </w:rPr>
  </w:style>
  <w:style w:type="character" w:customStyle="1" w:styleId="66">
    <w:name w:val="标题 6 字符"/>
    <w:basedOn w:val="52"/>
    <w:link w:val="9"/>
    <w:qFormat/>
    <w:uiPriority w:val="9"/>
    <w:rPr>
      <w:rFonts w:ascii="Arial" w:hAnsi="Arial" w:eastAsia="黑体"/>
      <w:b/>
      <w:kern w:val="2"/>
      <w:sz w:val="24"/>
      <w:szCs w:val="24"/>
    </w:rPr>
  </w:style>
  <w:style w:type="character" w:customStyle="1" w:styleId="67">
    <w:name w:val="标题 7 字符"/>
    <w:basedOn w:val="52"/>
    <w:link w:val="10"/>
    <w:qFormat/>
    <w:uiPriority w:val="9"/>
    <w:rPr>
      <w:b/>
      <w:kern w:val="2"/>
      <w:sz w:val="24"/>
      <w:szCs w:val="24"/>
    </w:rPr>
  </w:style>
  <w:style w:type="character" w:customStyle="1" w:styleId="68">
    <w:name w:val="标题 8 字符"/>
    <w:basedOn w:val="52"/>
    <w:link w:val="11"/>
    <w:qFormat/>
    <w:uiPriority w:val="9"/>
    <w:rPr>
      <w:rFonts w:ascii="Arial" w:hAnsi="Arial" w:eastAsia="黑体"/>
      <w:kern w:val="2"/>
      <w:sz w:val="24"/>
      <w:szCs w:val="24"/>
    </w:rPr>
  </w:style>
  <w:style w:type="character" w:customStyle="1" w:styleId="69">
    <w:name w:val="标题 9 字符"/>
    <w:basedOn w:val="52"/>
    <w:link w:val="12"/>
    <w:qFormat/>
    <w:uiPriority w:val="0"/>
    <w:rPr>
      <w:rFonts w:ascii="Arial" w:hAnsi="Arial" w:eastAsia="黑体"/>
      <w:kern w:val="2"/>
      <w:sz w:val="21"/>
      <w:szCs w:val="24"/>
    </w:rPr>
  </w:style>
  <w:style w:type="character" w:customStyle="1" w:styleId="70">
    <w:name w:val="批注文字 字符1"/>
    <w:link w:val="19"/>
    <w:qFormat/>
    <w:uiPriority w:val="0"/>
    <w:rPr>
      <w:kern w:val="2"/>
      <w:sz w:val="21"/>
      <w:szCs w:val="24"/>
    </w:rPr>
  </w:style>
  <w:style w:type="character" w:customStyle="1" w:styleId="71">
    <w:name w:val="批注主题 字符"/>
    <w:basedOn w:val="70"/>
    <w:link w:val="47"/>
    <w:qFormat/>
    <w:uiPriority w:val="0"/>
    <w:rPr>
      <w:b/>
      <w:bCs/>
      <w:kern w:val="2"/>
      <w:sz w:val="21"/>
      <w:szCs w:val="24"/>
    </w:rPr>
  </w:style>
  <w:style w:type="character" w:customStyle="1" w:styleId="72">
    <w:name w:val="正文文本 字符1"/>
    <w:basedOn w:val="52"/>
    <w:link w:val="3"/>
    <w:qFormat/>
    <w:uiPriority w:val="0"/>
    <w:rPr>
      <w:kern w:val="2"/>
      <w:sz w:val="21"/>
      <w:szCs w:val="24"/>
    </w:rPr>
  </w:style>
  <w:style w:type="character" w:customStyle="1" w:styleId="73">
    <w:name w:val="正文文本首行缩进 字符"/>
    <w:link w:val="48"/>
    <w:qFormat/>
    <w:uiPriority w:val="0"/>
    <w:rPr>
      <w:rFonts w:eastAsia="宋体"/>
      <w:kern w:val="2"/>
      <w:sz w:val="21"/>
      <w:szCs w:val="24"/>
      <w:lang w:val="en-US" w:eastAsia="zh-CN" w:bidi="ar-SA"/>
    </w:rPr>
  </w:style>
  <w:style w:type="character" w:customStyle="1" w:styleId="74">
    <w:name w:val="文档结构图 字符"/>
    <w:basedOn w:val="52"/>
    <w:link w:val="18"/>
    <w:qFormat/>
    <w:uiPriority w:val="0"/>
    <w:rPr>
      <w:kern w:val="2"/>
      <w:sz w:val="21"/>
      <w:szCs w:val="24"/>
      <w:shd w:val="clear" w:color="auto" w:fill="000080"/>
    </w:rPr>
  </w:style>
  <w:style w:type="character" w:customStyle="1" w:styleId="75">
    <w:name w:val="正文文本缩进 字符1"/>
    <w:basedOn w:val="52"/>
    <w:link w:val="21"/>
    <w:qFormat/>
    <w:uiPriority w:val="0"/>
    <w:rPr>
      <w:kern w:val="2"/>
      <w:sz w:val="21"/>
      <w:szCs w:val="24"/>
    </w:rPr>
  </w:style>
  <w:style w:type="character" w:customStyle="1" w:styleId="76">
    <w:name w:val="纯文本 字符"/>
    <w:link w:val="26"/>
    <w:qFormat/>
    <w:uiPriority w:val="0"/>
    <w:rPr>
      <w:rFonts w:ascii="宋体" w:hAnsi="Courier New" w:eastAsia="宋体"/>
      <w:kern w:val="2"/>
      <w:sz w:val="21"/>
      <w:lang w:val="en-US" w:eastAsia="zh-CN" w:bidi="ar-SA"/>
    </w:rPr>
  </w:style>
  <w:style w:type="character" w:customStyle="1" w:styleId="77">
    <w:name w:val="正文文本缩进 2 字符"/>
    <w:link w:val="29"/>
    <w:qFormat/>
    <w:uiPriority w:val="0"/>
    <w:rPr>
      <w:kern w:val="2"/>
      <w:sz w:val="21"/>
      <w:szCs w:val="24"/>
    </w:rPr>
  </w:style>
  <w:style w:type="character" w:customStyle="1" w:styleId="78">
    <w:name w:val="批注框文本 字符"/>
    <w:basedOn w:val="52"/>
    <w:link w:val="30"/>
    <w:qFormat/>
    <w:uiPriority w:val="99"/>
    <w:rPr>
      <w:kern w:val="2"/>
      <w:sz w:val="18"/>
      <w:szCs w:val="18"/>
    </w:rPr>
  </w:style>
  <w:style w:type="character" w:customStyle="1" w:styleId="79">
    <w:name w:val="页脚 字符"/>
    <w:basedOn w:val="52"/>
    <w:link w:val="31"/>
    <w:qFormat/>
    <w:uiPriority w:val="99"/>
    <w:rPr>
      <w:kern w:val="2"/>
      <w:sz w:val="18"/>
      <w:szCs w:val="18"/>
    </w:rPr>
  </w:style>
  <w:style w:type="character" w:customStyle="1" w:styleId="80">
    <w:name w:val="页眉 字符"/>
    <w:link w:val="32"/>
    <w:qFormat/>
    <w:uiPriority w:val="99"/>
    <w:rPr>
      <w:kern w:val="2"/>
      <w:sz w:val="18"/>
      <w:szCs w:val="18"/>
    </w:rPr>
  </w:style>
  <w:style w:type="character" w:customStyle="1" w:styleId="81">
    <w:name w:val="HTML 预设格式 字符"/>
    <w:link w:val="44"/>
    <w:qFormat/>
    <w:uiPriority w:val="0"/>
    <w:rPr>
      <w:rFonts w:ascii="宋体" w:hAnsi="宋体" w:cs="宋体"/>
      <w:sz w:val="24"/>
      <w:szCs w:val="24"/>
    </w:rPr>
  </w:style>
  <w:style w:type="character" w:customStyle="1" w:styleId="82">
    <w:name w:val="标题 字符"/>
    <w:link w:val="46"/>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46"/>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0"/>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2"/>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2"/>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2"/>
    <w:qFormat/>
    <w:uiPriority w:val="0"/>
    <w:rPr>
      <w:rFonts w:hint="eastAsia" w:ascii="仿宋_GB2312" w:eastAsia="仿宋_GB2312" w:cs="仿宋_GB2312"/>
      <w:color w:val="000000"/>
      <w:sz w:val="20"/>
      <w:szCs w:val="20"/>
      <w:u w:val="none"/>
    </w:rPr>
  </w:style>
  <w:style w:type="character" w:customStyle="1" w:styleId="168">
    <w:name w:val="font31"/>
    <w:basedOn w:val="52"/>
    <w:qFormat/>
    <w:uiPriority w:val="0"/>
    <w:rPr>
      <w:rFonts w:hint="default" w:ascii="Symbol" w:hAnsi="Symbol" w:cs="Symbol"/>
      <w:color w:val="000000"/>
      <w:sz w:val="20"/>
      <w:szCs w:val="20"/>
      <w:u w:val="none"/>
    </w:rPr>
  </w:style>
  <w:style w:type="character" w:customStyle="1" w:styleId="169">
    <w:name w:val="font71"/>
    <w:basedOn w:val="52"/>
    <w:qFormat/>
    <w:uiPriority w:val="0"/>
    <w:rPr>
      <w:rFonts w:ascii="Arial" w:hAnsi="Arial" w:cs="Arial"/>
      <w:color w:val="000000"/>
      <w:sz w:val="20"/>
      <w:szCs w:val="20"/>
      <w:u w:val="none"/>
    </w:rPr>
  </w:style>
  <w:style w:type="character" w:customStyle="1" w:styleId="170">
    <w:name w:val="font21"/>
    <w:basedOn w:val="52"/>
    <w:qFormat/>
    <w:uiPriority w:val="0"/>
    <w:rPr>
      <w:rFonts w:hint="default" w:ascii="Symbol" w:hAnsi="Symbol" w:cs="Symbol"/>
      <w:color w:val="000000"/>
      <w:sz w:val="20"/>
      <w:szCs w:val="20"/>
      <w:u w:val="none"/>
    </w:rPr>
  </w:style>
  <w:style w:type="character" w:customStyle="1" w:styleId="171">
    <w:name w:val="font91"/>
    <w:basedOn w:val="52"/>
    <w:qFormat/>
    <w:uiPriority w:val="0"/>
    <w:rPr>
      <w:rFonts w:ascii="Arial" w:hAnsi="Arial" w:cs="Arial"/>
      <w:color w:val="000000"/>
      <w:sz w:val="20"/>
      <w:szCs w:val="20"/>
      <w:u w:val="none"/>
    </w:rPr>
  </w:style>
  <w:style w:type="character" w:customStyle="1" w:styleId="172">
    <w:name w:val="font51"/>
    <w:basedOn w:val="52"/>
    <w:qFormat/>
    <w:uiPriority w:val="0"/>
    <w:rPr>
      <w:rFonts w:ascii="仿宋" w:hAnsi="仿宋" w:eastAsia="仿宋" w:cs="仿宋"/>
      <w:color w:val="000000"/>
      <w:sz w:val="21"/>
      <w:szCs w:val="21"/>
      <w:u w:val="none"/>
    </w:rPr>
  </w:style>
  <w:style w:type="character" w:customStyle="1" w:styleId="173">
    <w:name w:val="font101"/>
    <w:basedOn w:val="52"/>
    <w:qFormat/>
    <w:uiPriority w:val="0"/>
    <w:rPr>
      <w:rFonts w:hint="eastAsia" w:ascii="仿宋_GB2312" w:eastAsia="仿宋_GB2312" w:cs="仿宋_GB2312"/>
      <w:color w:val="000000"/>
      <w:sz w:val="20"/>
      <w:szCs w:val="20"/>
      <w:u w:val="none"/>
    </w:rPr>
  </w:style>
  <w:style w:type="character" w:customStyle="1" w:styleId="174">
    <w:name w:val="font61"/>
    <w:basedOn w:val="52"/>
    <w:qFormat/>
    <w:uiPriority w:val="0"/>
    <w:rPr>
      <w:rFonts w:hint="eastAsia" w:ascii="宋体" w:hAnsi="宋体" w:eastAsia="宋体" w:cs="宋体"/>
      <w:color w:val="000000"/>
      <w:sz w:val="20"/>
      <w:szCs w:val="20"/>
      <w:u w:val="none"/>
    </w:rPr>
  </w:style>
  <w:style w:type="character" w:customStyle="1" w:styleId="175">
    <w:name w:val="font81"/>
    <w:basedOn w:val="52"/>
    <w:qFormat/>
    <w:uiPriority w:val="0"/>
    <w:rPr>
      <w:rFonts w:hint="eastAsia" w:ascii="仿宋" w:hAnsi="仿宋" w:eastAsia="仿宋" w:cs="仿宋"/>
      <w:color w:val="000000"/>
      <w:sz w:val="21"/>
      <w:szCs w:val="21"/>
      <w:u w:val="none"/>
    </w:rPr>
  </w:style>
  <w:style w:type="character" w:customStyle="1" w:styleId="176">
    <w:name w:val="font111"/>
    <w:basedOn w:val="52"/>
    <w:qFormat/>
    <w:uiPriority w:val="0"/>
    <w:rPr>
      <w:rFonts w:hint="eastAsia" w:ascii="仿宋_GB2312" w:eastAsia="仿宋_GB2312" w:cs="仿宋_GB2312"/>
      <w:color w:val="000000"/>
      <w:sz w:val="21"/>
      <w:szCs w:val="21"/>
      <w:u w:val="none"/>
    </w:rPr>
  </w:style>
  <w:style w:type="character" w:customStyle="1" w:styleId="177">
    <w:name w:val="font121"/>
    <w:basedOn w:val="52"/>
    <w:qFormat/>
    <w:uiPriority w:val="0"/>
    <w:rPr>
      <w:rFonts w:ascii="Arial" w:hAnsi="Arial" w:cs="Arial"/>
      <w:color w:val="000000"/>
      <w:sz w:val="20"/>
      <w:szCs w:val="20"/>
      <w:u w:val="none"/>
    </w:rPr>
  </w:style>
  <w:style w:type="character" w:customStyle="1" w:styleId="178">
    <w:name w:val="font112"/>
    <w:basedOn w:val="52"/>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2"/>
    <w:qFormat/>
    <w:uiPriority w:val="0"/>
    <w:rPr>
      <w:b/>
      <w:bCs/>
      <w:kern w:val="2"/>
      <w:sz w:val="28"/>
      <w:szCs w:val="28"/>
    </w:rPr>
  </w:style>
  <w:style w:type="character" w:customStyle="1" w:styleId="260">
    <w:name w:val="标题 6 Char"/>
    <w:basedOn w:val="52"/>
    <w:qFormat/>
    <w:uiPriority w:val="9"/>
    <w:rPr>
      <w:rFonts w:asciiTheme="majorHAnsi" w:hAnsiTheme="majorHAnsi" w:eastAsiaTheme="majorEastAsia" w:cstheme="majorBidi"/>
      <w:b/>
      <w:bCs/>
      <w:kern w:val="2"/>
      <w:sz w:val="24"/>
      <w:szCs w:val="24"/>
    </w:rPr>
  </w:style>
  <w:style w:type="character" w:customStyle="1" w:styleId="261">
    <w:name w:val="标题 7 Char"/>
    <w:basedOn w:val="52"/>
    <w:qFormat/>
    <w:uiPriority w:val="9"/>
    <w:rPr>
      <w:b/>
      <w:bCs/>
      <w:kern w:val="2"/>
      <w:sz w:val="24"/>
      <w:szCs w:val="24"/>
    </w:rPr>
  </w:style>
  <w:style w:type="character" w:customStyle="1" w:styleId="262">
    <w:name w:val="标题 8 Char"/>
    <w:basedOn w:val="52"/>
    <w:qFormat/>
    <w:uiPriority w:val="9"/>
    <w:rPr>
      <w:rFonts w:asciiTheme="majorHAnsi" w:hAnsiTheme="majorHAnsi" w:eastAsiaTheme="majorEastAsia" w:cstheme="majorBidi"/>
      <w:kern w:val="2"/>
      <w:sz w:val="24"/>
      <w:szCs w:val="24"/>
    </w:rPr>
  </w:style>
  <w:style w:type="character" w:customStyle="1" w:styleId="263">
    <w:name w:val="标题 9 Char"/>
    <w:basedOn w:val="52"/>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2"/>
    <w:qFormat/>
    <w:uiPriority w:val="99"/>
    <w:rPr>
      <w:rFonts w:ascii="Times New Roman" w:hAnsi="Times New Roman" w:eastAsia="宋体" w:cs="Times New Roman"/>
      <w:sz w:val="18"/>
      <w:szCs w:val="18"/>
    </w:rPr>
  </w:style>
  <w:style w:type="character" w:customStyle="1" w:styleId="266">
    <w:name w:val="页脚 Char1"/>
    <w:basedOn w:val="52"/>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2"/>
    <w:qFormat/>
    <w:uiPriority w:val="99"/>
    <w:rPr>
      <w:rFonts w:ascii="Times New Roman" w:hAnsi="Times New Roman" w:eastAsia="宋体" w:cs="Times New Roman"/>
      <w:szCs w:val="24"/>
    </w:rPr>
  </w:style>
  <w:style w:type="character" w:customStyle="1" w:styleId="269">
    <w:name w:val="文档结构图 Char1"/>
    <w:basedOn w:val="52"/>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2"/>
    <w:qFormat/>
    <w:uiPriority w:val="0"/>
    <w:rPr>
      <w:rFonts w:ascii="Times New Roman" w:hAnsi="Times New Roman" w:eastAsia="宋体" w:cs="Times New Roman"/>
      <w:sz w:val="18"/>
      <w:szCs w:val="18"/>
    </w:rPr>
  </w:style>
  <w:style w:type="character" w:customStyle="1" w:styleId="272">
    <w:name w:val="标题 1 Char1"/>
    <w:basedOn w:val="52"/>
    <w:qFormat/>
    <w:uiPriority w:val="0"/>
    <w:rPr>
      <w:b/>
      <w:bCs/>
      <w:kern w:val="44"/>
      <w:sz w:val="44"/>
      <w:szCs w:val="44"/>
    </w:rPr>
  </w:style>
  <w:style w:type="character" w:customStyle="1" w:styleId="273">
    <w:name w:val="标题 2 Char1"/>
    <w:basedOn w:val="52"/>
    <w:qFormat/>
    <w:uiPriority w:val="0"/>
    <w:rPr>
      <w:rFonts w:asciiTheme="majorHAnsi" w:hAnsiTheme="majorHAnsi" w:eastAsiaTheme="majorEastAsia" w:cstheme="majorBidi"/>
      <w:b/>
      <w:bCs/>
      <w:kern w:val="2"/>
      <w:sz w:val="32"/>
      <w:szCs w:val="32"/>
    </w:rPr>
  </w:style>
  <w:style w:type="character" w:customStyle="1" w:styleId="274">
    <w:name w:val="标题 3 Char1"/>
    <w:basedOn w:val="52"/>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字符"/>
    <w:link w:val="33"/>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5"/>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文本首行缩进 2 字符"/>
    <w:link w:val="49"/>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字符"/>
    <w:link w:val="16"/>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7"/>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2"/>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字符"/>
    <w:link w:val="43"/>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字符"/>
    <w:link w:val="40"/>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字符"/>
    <w:link w:val="28"/>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6"/>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59"/>
    <w:qFormat/>
    <w:uiPriority w:val="0"/>
    <w:rPr>
      <w:rFonts w:ascii="Arial" w:hAnsi="Arial" w:cs="Arial"/>
      <w:bCs/>
      <w:kern w:val="2"/>
      <w:sz w:val="24"/>
      <w:szCs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5"/>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8"/>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4"/>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7"/>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20"/>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0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75EE8F-A4FF-494E-BAB1-46F467CA1D54}">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87</Pages>
  <Words>9478</Words>
  <Characters>54027</Characters>
  <Lines>450</Lines>
  <Paragraphs>126</Paragraphs>
  <TotalTime>5</TotalTime>
  <ScaleCrop>false</ScaleCrop>
  <LinksUpToDate>false</LinksUpToDate>
  <CharactersWithSpaces>63379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2023-11-24T06:36:00Z</cp:lastPrinted>
  <dcterms:modified xsi:type="dcterms:W3CDTF">2023-11-28T08:49:36Z</dcterms:modified>
  <dc:title>招标编号：UHO2010-G0029</dc:title>
  <cp:revision>702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5B479AA515CD49FE8C946567EFDE5BB7_13</vt:lpwstr>
  </property>
</Properties>
</file>