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snapToGrid w:val="0"/>
          <w:kern w:val="0"/>
          <w:sz w:val="90"/>
          <w:lang w:eastAsia="zh-CN"/>
        </w:rPr>
      </w:pPr>
      <w:r>
        <w:rPr>
          <w:rFonts w:hint="eastAsia" w:asciiTheme="minorEastAsia" w:hAnsiTheme="minorEastAsia" w:eastAsiaTheme="minorEastAsia"/>
          <w:b/>
          <w:snapToGrid w:val="0"/>
          <w:kern w:val="0"/>
          <w:sz w:val="90"/>
          <w:lang w:eastAsia="zh-CN"/>
        </w:rPr>
        <w:t>心理健康宣教服务项目（第二次）</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项目编号：SZZZ2022-QC0495</w:t>
      </w:r>
    </w:p>
    <w:p/>
    <w:p/>
    <w:p>
      <w:pPr>
        <w:pStyle w:val="28"/>
        <w:adjustRightInd w:val="0"/>
        <w:snapToGrid w:val="0"/>
        <w:spacing w:line="300" w:lineRule="auto"/>
        <w:ind w:hanging="835"/>
        <w:jc w:val="center"/>
        <w:rPr>
          <w:rFonts w:asciiTheme="minorEastAsia" w:hAnsiTheme="minorEastAsia" w:eastAsiaTheme="minorEastAsia"/>
          <w:b/>
          <w:bCs/>
          <w:szCs w:val="21"/>
        </w:rPr>
      </w:pPr>
      <w:r>
        <w:rPr>
          <w:rFonts w:hint="eastAsia"/>
          <w:b/>
          <w:snapToGrid w:val="0"/>
          <w:sz w:val="30"/>
        </w:rPr>
        <w:t>二〇二</w:t>
      </w:r>
      <w:r>
        <w:rPr>
          <w:rFonts w:hint="eastAsia"/>
          <w:b/>
          <w:snapToGrid w:val="0"/>
          <w:sz w:val="30"/>
          <w:lang w:val="en-US" w:eastAsia="zh-CN"/>
        </w:rPr>
        <w:t>三</w:t>
      </w:r>
      <w:r>
        <w:rPr>
          <w:rFonts w:hint="eastAsia"/>
          <w:b/>
          <w:snapToGrid w:val="0"/>
          <w:sz w:val="30"/>
        </w:rPr>
        <w:t>年</w:t>
      </w:r>
      <w:r>
        <w:rPr>
          <w:rFonts w:hint="eastAsia"/>
          <w:b/>
          <w:snapToGrid w:val="0"/>
          <w:sz w:val="30"/>
          <w:lang w:val="en-US" w:eastAsia="zh-CN"/>
        </w:rPr>
        <w:t>一</w:t>
      </w:r>
      <w:r>
        <w:rPr>
          <w:rFonts w:hint="eastAsia"/>
          <w:b/>
          <w:snapToGrid w:val="0"/>
          <w:sz w:val="30"/>
        </w:rPr>
        <w:t>月</w:t>
      </w:r>
      <w:r>
        <w:rPr>
          <w:b/>
          <w:kern w:val="0"/>
          <w:sz w:val="28"/>
          <w:szCs w:val="28"/>
        </w:rPr>
        <w:br w:type="page"/>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pPr>
      <w:r>
        <w:rPr>
          <w:rFonts w:hint="eastAsia" w:ascii="仿宋_GB2312" w:eastAsia="仿宋_GB2312" w:hAnsiTheme="minorEastAsia"/>
          <w:b/>
          <w:color w:val="FF0000"/>
          <w:sz w:val="24"/>
        </w:rPr>
        <w:t>投标供应商涉嫌存在串通投标等违法行为的，将书面报告财政主管部门依法处理。</w:t>
      </w:r>
      <w:r>
        <w:br w:type="page"/>
      </w:r>
    </w:p>
    <w:p/>
    <w:sdt>
      <w:sdtPr>
        <w:rPr>
          <w:rFonts w:ascii="Times New Roman" w:hAnsi="Times New Roman" w:eastAsia="宋体" w:cs="Times New Roman"/>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Cs w:val="0"/>
          <w:iCs w:val="0"/>
          <w:smallCaps/>
          <w:color w:val="auto"/>
          <w:kern w:val="2"/>
          <w:sz w:val="21"/>
          <w:szCs w:val="24"/>
          <w:lang w:val="en-US"/>
        </w:rPr>
      </w:sdtEndPr>
      <w:sdtContent>
        <w:p>
          <w:pPr>
            <w:pStyle w:val="504"/>
            <w:jc w:val="center"/>
            <w:rPr>
              <w:color w:val="000000" w:themeColor="text1"/>
              <w:lang w:val="zh-CN"/>
              <w14:textFill>
                <w14:solidFill>
                  <w14:schemeClr w14:val="tx1"/>
                </w14:solidFill>
              </w14:textFill>
            </w:rPr>
          </w:pPr>
          <w:r>
            <w:rPr>
              <w:color w:val="000000" w:themeColor="text1"/>
              <w:lang w:val="zh-CN"/>
              <w14:textFill>
                <w14:solidFill>
                  <w14:schemeClr w14:val="tx1"/>
                </w14:solidFill>
              </w14:textFill>
            </w:rPr>
            <w:t>目</w:t>
          </w:r>
          <w:r>
            <w:rPr>
              <w:rFonts w:hint="eastAsia"/>
              <w:color w:val="000000" w:themeColor="text1"/>
              <w:lang w:val="zh-CN"/>
              <w14:textFill>
                <w14:solidFill>
                  <w14:schemeClr w14:val="tx1"/>
                </w14:solidFill>
              </w14:textFill>
            </w:rPr>
            <w:t xml:space="preserve">  </w:t>
          </w:r>
          <w:r>
            <w:rPr>
              <w:color w:val="000000" w:themeColor="text1"/>
              <w:lang w:val="zh-CN"/>
              <w14:textFill>
                <w14:solidFill>
                  <w14:schemeClr w14:val="tx1"/>
                </w14:solidFill>
              </w14:textFill>
            </w:rPr>
            <w:t>录</w:t>
          </w:r>
        </w:p>
        <w:p>
          <w:pPr>
            <w:rPr>
              <w:lang w:val="zh-CN"/>
            </w:rPr>
          </w:pPr>
        </w:p>
        <w:p>
          <w:pPr>
            <w:pStyle w:val="34"/>
            <w:tabs>
              <w:tab w:val="right" w:leader="dot" w:pos="9628"/>
            </w:tabs>
            <w:spacing w:line="36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"_Toc110410359"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_Toc110410359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"_Toc110410360"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_Toc110410360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"_Toc110410361"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_Toc110410361 \h </w:instrText>
          </w:r>
          <w:r>
            <w:rPr>
              <w:rFonts w:hint="eastAsia" w:ascii="仿宋_GB2312" w:eastAsia="仿宋_GB2312"/>
              <w:sz w:val="24"/>
            </w:rPr>
            <w:fldChar w:fldCharType="separate"/>
          </w:r>
          <w:r>
            <w:rPr>
              <w:rFonts w:hint="eastAsia" w:ascii="仿宋_GB2312" w:eastAsia="仿宋_GB2312"/>
              <w:sz w:val="24"/>
            </w:rPr>
            <w:t>12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"_Toc110410362"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_Toc110410362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"_Toc110410363"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_Toc110410363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"_Toc110410364"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_Toc110410364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"_Toc110410365"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_Toc110410365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"_Toc110410366"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_Toc110410366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"_Toc110410367"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_Toc110410367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"_Toc110410368"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_Toc110410368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"_Toc110410369"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_Toc110410369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"_Toc110410370"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_Toc110410370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"_Toc110410371"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_Toc110410371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"_Toc110410372"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_Toc110410372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"_Toc110410373"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_Toc110410373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"_Toc110410374"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_Toc110410374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"_Toc110410375"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_Toc110410375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"_Toc110410376"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_Toc110410376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"_Toc110410377"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_Toc110410377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"_Toc110410378"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_Toc110410378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"_Toc110410379"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_Toc110410379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"_Toc110410380"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_Toc110410380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"_Toc110410381"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_Toc110410381 \h </w:instrText>
          </w:r>
          <w:r>
            <w:rPr>
              <w:rFonts w:hint="eastAsia" w:ascii="仿宋_GB2312" w:eastAsia="仿宋_GB2312"/>
              <w:sz w:val="24"/>
            </w:rPr>
            <w:fldChar w:fldCharType="separate"/>
          </w:r>
          <w:r>
            <w:rPr>
              <w:rFonts w:hint="eastAsia" w:ascii="仿宋_GB2312" w:eastAsia="仿宋_GB2312"/>
              <w:sz w:val="24"/>
            </w:rPr>
            <w:t>39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"_Toc110410382"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_Toc110410382 \h </w:instrText>
          </w:r>
          <w:r>
            <w:rPr>
              <w:rFonts w:hint="eastAsia" w:ascii="仿宋_GB2312" w:eastAsia="仿宋_GB2312"/>
              <w:sz w:val="24"/>
            </w:rPr>
            <w:fldChar w:fldCharType="separate"/>
          </w:r>
          <w:r>
            <w:rPr>
              <w:rFonts w:hint="eastAsia" w:ascii="仿宋_GB2312" w:eastAsia="仿宋_GB2312"/>
              <w:sz w:val="24"/>
            </w:rPr>
            <w:t>56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"_Toc110410383"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_Toc110410383 \h </w:instrText>
          </w:r>
          <w:r>
            <w:rPr>
              <w:rFonts w:hint="eastAsia" w:ascii="仿宋_GB2312" w:eastAsia="仿宋_GB2312"/>
              <w:sz w:val="24"/>
            </w:rPr>
            <w:fldChar w:fldCharType="separate"/>
          </w:r>
          <w:r>
            <w:rPr>
              <w:rFonts w:hint="eastAsia" w:ascii="仿宋_GB2312" w:eastAsia="仿宋_GB2312"/>
              <w:sz w:val="24"/>
            </w:rPr>
            <w:t>59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"_Toc110410384"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_Toc110410384 \h </w:instrText>
          </w:r>
          <w:r>
            <w:rPr>
              <w:rFonts w:hint="eastAsia" w:ascii="仿宋_GB2312" w:eastAsia="仿宋_GB2312"/>
              <w:sz w:val="24"/>
            </w:rPr>
            <w:fldChar w:fldCharType="separate"/>
          </w:r>
          <w:r>
            <w:rPr>
              <w:rFonts w:hint="eastAsia" w:ascii="仿宋_GB2312" w:eastAsia="仿宋_GB2312"/>
              <w:sz w:val="24"/>
            </w:rPr>
            <w:t>59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"_Toc110410385"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_Toc110410385 \h </w:instrText>
          </w:r>
          <w:r>
            <w:rPr>
              <w:rFonts w:hint="eastAsia" w:ascii="仿宋_GB2312" w:eastAsia="仿宋_GB2312"/>
              <w:sz w:val="24"/>
            </w:rPr>
            <w:fldChar w:fldCharType="separate"/>
          </w:r>
          <w:r>
            <w:rPr>
              <w:rFonts w:hint="eastAsia" w:ascii="仿宋_GB2312" w:eastAsia="仿宋_GB2312"/>
              <w:sz w:val="24"/>
            </w:rPr>
            <w:t>63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"_Toc110410386"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_Toc110410386 \h </w:instrText>
          </w:r>
          <w:r>
            <w:rPr>
              <w:rFonts w:hint="eastAsia" w:ascii="仿宋_GB2312" w:eastAsia="仿宋_GB2312"/>
              <w:sz w:val="24"/>
            </w:rPr>
            <w:fldChar w:fldCharType="separate"/>
          </w:r>
          <w:r>
            <w:rPr>
              <w:rFonts w:hint="eastAsia"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fldChar w:fldCharType="begin"/>
          </w:r>
          <w:r>
            <w:instrText xml:space="preserve"> HYPERLINK \l "_Toc110410387"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_Toc110410387 \h </w:instrText>
          </w:r>
          <w:r>
            <w:rPr>
              <w:rFonts w:hint="eastAsia" w:ascii="仿宋_GB2312" w:eastAsia="仿宋_GB2312"/>
              <w:sz w:val="24"/>
            </w:rPr>
            <w:fldChar w:fldCharType="separate"/>
          </w:r>
          <w:r>
            <w:rPr>
              <w:rFonts w:hint="eastAsia" w:ascii="仿宋_GB2312" w:eastAsia="仿宋_GB2312"/>
              <w:sz w:val="24"/>
            </w:rPr>
            <w:t>69</w:t>
          </w:r>
          <w:r>
            <w:rPr>
              <w:rFonts w:hint="eastAsia" w:ascii="仿宋_GB2312" w:eastAsia="仿宋_GB2312"/>
              <w:sz w:val="24"/>
            </w:rPr>
            <w:fldChar w:fldCharType="end"/>
          </w:r>
          <w:r>
            <w:rPr>
              <w:rFonts w:hint="eastAsia" w:ascii="仿宋_GB2312" w:eastAsia="仿宋_GB2312"/>
              <w:sz w:val="24"/>
            </w:rPr>
            <w:fldChar w:fldCharType="end"/>
          </w:r>
          <w:r>
            <w:rPr>
              <w:rFonts w:hint="eastAsia" w:ascii="仿宋_GB2312" w:eastAsia="仿宋_GB2312"/>
              <w:sz w:val="24"/>
            </w:rPr>
            <w:fldChar w:fldCharType="end"/>
          </w:r>
        </w:p>
      </w:sdtContent>
    </w:sdt>
    <w:p>
      <w:pPr>
        <w:widowControl/>
        <w:jc w:val="left"/>
      </w:pPr>
      <w:r>
        <w:br w:type="page"/>
      </w:r>
    </w:p>
    <w:p/>
    <w:p>
      <w:pPr>
        <w:pStyle w:val="3"/>
      </w:pPr>
      <w:bookmarkStart w:id="0" w:name="_Toc110410359"/>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心理健康宣教服务项目（第二次）</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w:t>
      </w:r>
      <w:r>
        <w:rPr>
          <w:rFonts w:hint="eastAsia" w:ascii="宋体" w:hAnsi="宋体" w:cs="Arial Unicode MS"/>
          <w:snapToGrid w:val="0"/>
          <w:kern w:val="0"/>
          <w:szCs w:val="21"/>
          <w:u w:val="single"/>
          <w:lang w:val="en-US" w:eastAsia="zh-CN"/>
        </w:rPr>
        <w:t>3</w:t>
      </w:r>
      <w:r>
        <w:rPr>
          <w:rFonts w:hint="eastAsia" w:ascii="宋体" w:hAnsi="宋体" w:cs="Arial Unicode MS"/>
          <w:snapToGrid w:val="0"/>
          <w:kern w:val="0"/>
          <w:szCs w:val="21"/>
          <w:u w:val="single"/>
        </w:rPr>
        <w:t>年</w:t>
      </w:r>
      <w:r>
        <w:rPr>
          <w:rFonts w:hint="eastAsia" w:ascii="宋体" w:hAnsi="宋体" w:cs="Arial Unicode MS"/>
          <w:snapToGrid w:val="0"/>
          <w:kern w:val="0"/>
          <w:szCs w:val="21"/>
          <w:u w:val="single"/>
          <w:lang w:val="en-US" w:eastAsia="zh-CN"/>
        </w:rPr>
        <w:t>01</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17</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09</w:t>
      </w:r>
      <w:r>
        <w:rPr>
          <w:rFonts w:hint="eastAsia" w:ascii="宋体" w:hAnsi="宋体" w:cs="Arial Unicode MS"/>
          <w:snapToGrid w:val="0"/>
          <w:kern w:val="0"/>
          <w:szCs w:val="21"/>
          <w:u w:val="single"/>
        </w:rPr>
        <w:t>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rPr>
        <w:t>SZZZ2022-QC0495</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eastAsia="zh-CN"/>
        </w:rPr>
        <w:t>心理健康宣教服务项目（第二次）</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90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90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287"/>
        <w:gridCol w:w="921"/>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87" w:type="dxa"/>
            <w:shd w:val="clear" w:color="auto" w:fill="ABCDEF"/>
            <w:vAlign w:val="center"/>
          </w:tcPr>
          <w:p>
            <w:pPr>
              <w:pStyle w:val="45"/>
              <w:spacing w:line="360" w:lineRule="auto"/>
              <w:jc w:val="center"/>
              <w:rPr>
                <w:sz w:val="21"/>
              </w:rPr>
            </w:pPr>
            <w:r>
              <w:rPr>
                <w:sz w:val="21"/>
              </w:rPr>
              <w:t>标的名称</w:t>
            </w:r>
          </w:p>
        </w:tc>
        <w:tc>
          <w:tcPr>
            <w:tcW w:w="921"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922"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693"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597" w:hRule="atLeast"/>
        </w:trPr>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287" w:type="dxa"/>
            <w:shd w:val="clear" w:color="auto" w:fill="auto"/>
            <w:vAlign w:val="center"/>
          </w:tcPr>
          <w:p>
            <w:pPr>
              <w:pStyle w:val="45"/>
              <w:spacing w:line="360" w:lineRule="auto"/>
              <w:jc w:val="center"/>
              <w:rPr>
                <w:rFonts w:hint="eastAsia" w:asciiTheme="minorEastAsia" w:hAnsiTheme="minorEastAsia" w:eastAsiaTheme="minorEastAsia"/>
                <w:sz w:val="21"/>
                <w:lang w:eastAsia="zh-CN"/>
              </w:rPr>
            </w:pPr>
            <w:r>
              <w:rPr>
                <w:rFonts w:hint="eastAsia" w:ascii="宋体" w:hAnsi="宋体" w:eastAsiaTheme="minorEastAsia"/>
                <w:snapToGrid w:val="0"/>
                <w:sz w:val="21"/>
                <w:szCs w:val="21"/>
                <w:lang w:eastAsia="zh-CN"/>
              </w:rPr>
              <w:t>心理健康宣教服务项目（第二次）</w:t>
            </w:r>
          </w:p>
        </w:tc>
        <w:tc>
          <w:tcPr>
            <w:tcW w:w="92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92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69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单位负责人为同一人或者存在直接控股、管理关系的不同供应商，不得参加同一合同项下的政府采购活动，投标人须提供国家企业信用信息公示系统（https://www.gsxt.gov.cn/index.html）或机关赋码和事业单位登记管理网（http://www.gjsy.gov.cn/sydwfrxxcx/）或全国社会组织信用信息公示平台（https://xxgs.chinanpo.mca.gov.cn/gsxt/newList）网站供应商信息查询截图，并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highlight w:val="yellow"/>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w:t>
      </w:r>
      <w:r>
        <w:rPr>
          <w:rFonts w:hint="eastAsia" w:asciiTheme="minorEastAsia" w:hAnsiTheme="minorEastAsia" w:eastAsiaTheme="minorEastAsia"/>
          <w:snapToGrid w:val="0"/>
          <w:color w:val="auto"/>
          <w:sz w:val="21"/>
          <w:lang w:val="en-US" w:eastAsia="zh-CN"/>
        </w:rPr>
        <w:t>6</w:t>
      </w:r>
      <w:r>
        <w:rPr>
          <w:rFonts w:hint="eastAsia" w:asciiTheme="minorEastAsia" w:hAnsiTheme="minorEastAsia" w:eastAsiaTheme="minorEastAsia"/>
          <w:snapToGrid w:val="0"/>
          <w:color w:val="auto"/>
          <w:sz w:val="21"/>
        </w:rPr>
        <w:t>）本项目不接受联合体投标，不允许非法分包或转包。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年</w:t>
      </w:r>
      <w:r>
        <w:rPr>
          <w:rFonts w:hint="eastAsia" w:ascii="宋体" w:hAnsi="宋体" w:eastAsia="宋体"/>
          <w:snapToGrid w:val="0"/>
          <w:color w:val="auto"/>
          <w:sz w:val="21"/>
          <w:szCs w:val="21"/>
          <w:u w:val="single"/>
          <w:lang w:val="en-US" w:eastAsia="zh-CN"/>
        </w:rPr>
        <w:t>01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06</w:t>
      </w:r>
      <w:r>
        <w:rPr>
          <w:rFonts w:hint="eastAsia" w:ascii="宋体" w:hAnsi="宋体" w:eastAsia="宋体"/>
          <w:snapToGrid w:val="0"/>
          <w:color w:val="auto"/>
          <w:sz w:val="21"/>
          <w:szCs w:val="21"/>
          <w:u w:val="single"/>
        </w:rPr>
        <w:t>日至202</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年</w:t>
      </w:r>
      <w:r>
        <w:rPr>
          <w:rFonts w:hint="eastAsia" w:ascii="宋体" w:hAnsi="宋体" w:eastAsia="宋体"/>
          <w:snapToGrid w:val="0"/>
          <w:color w:val="auto"/>
          <w:sz w:val="21"/>
          <w:szCs w:val="21"/>
          <w:u w:val="single"/>
          <w:lang w:val="en-US" w:eastAsia="zh-CN"/>
        </w:rPr>
        <w:t>01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13</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年</w:t>
      </w:r>
      <w:r>
        <w:rPr>
          <w:rFonts w:hint="eastAsia" w:ascii="宋体" w:hAnsi="宋体" w:eastAsia="宋体"/>
          <w:snapToGrid w:val="0"/>
          <w:color w:val="auto"/>
          <w:sz w:val="21"/>
          <w:szCs w:val="21"/>
          <w:u w:val="single"/>
          <w:lang w:val="en-US" w:eastAsia="zh-CN"/>
        </w:rPr>
        <w:t>01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17</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09</w:t>
      </w:r>
      <w:r>
        <w:rPr>
          <w:rFonts w:hint="eastAsia" w:ascii="宋体" w:hAnsi="宋体" w:eastAsia="宋体"/>
          <w:snapToGrid w:val="0"/>
          <w:color w:val="auto"/>
          <w:sz w:val="21"/>
          <w:szCs w:val="21"/>
          <w:u w:val="single"/>
        </w:rPr>
        <w:t>点30分（北京时间）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名称：深圳市康宁医院</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地址：深圳市坪山区振碧路77号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联系方式：谢老师 0755-25635960</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联系方式：卢工，0755-83026699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项目联系人：卢工</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w:t>
      </w:r>
      <w:r>
        <w:rPr>
          <w:rFonts w:hint="eastAsia" w:ascii="宋体" w:hAnsi="宋体"/>
          <w:snapToGrid w:val="0"/>
          <w:kern w:val="0"/>
          <w:sz w:val="24"/>
          <w:lang w:val="en-US" w:eastAsia="zh-CN"/>
        </w:rPr>
        <w:t>3</w:t>
      </w:r>
      <w:r>
        <w:rPr>
          <w:rFonts w:ascii="宋体" w:hAnsi="宋体"/>
          <w:snapToGrid w:val="0"/>
          <w:kern w:val="0"/>
          <w:sz w:val="24"/>
        </w:rPr>
        <w:t>年</w:t>
      </w:r>
      <w:r>
        <w:rPr>
          <w:rFonts w:hint="eastAsia" w:ascii="宋体" w:hAnsi="宋体"/>
          <w:snapToGrid w:val="0"/>
          <w:kern w:val="0"/>
          <w:sz w:val="24"/>
          <w:lang w:val="en-US" w:eastAsia="zh-CN"/>
        </w:rPr>
        <w:t>01</w:t>
      </w:r>
      <w:r>
        <w:rPr>
          <w:rFonts w:ascii="宋体" w:hAnsi="宋体"/>
          <w:snapToGrid w:val="0"/>
          <w:kern w:val="0"/>
          <w:sz w:val="24"/>
        </w:rPr>
        <w:t>月</w:t>
      </w:r>
      <w:r>
        <w:rPr>
          <w:rFonts w:hint="eastAsia" w:ascii="宋体" w:hAnsi="宋体"/>
          <w:snapToGrid w:val="0"/>
          <w:kern w:val="0"/>
          <w:sz w:val="24"/>
          <w:lang w:val="en-US" w:eastAsia="zh-CN"/>
        </w:rPr>
        <w:t>06</w:t>
      </w:r>
      <w:r>
        <w:rPr>
          <w:rFonts w:hint="eastAsia" w:ascii="宋体" w:hAnsi="宋体"/>
          <w:snapToGrid w:val="0"/>
          <w:kern w:val="0"/>
          <w:sz w:val="24"/>
        </w:rPr>
        <w:t>日</w:t>
      </w:r>
    </w:p>
    <w:p/>
    <w:p>
      <w:pPr>
        <w:widowControl/>
        <w:jc w:val="left"/>
      </w:pPr>
      <w:r>
        <w:br w:type="page"/>
      </w:r>
    </w:p>
    <w:p/>
    <w:p>
      <w:pPr>
        <w:pStyle w:val="3"/>
      </w:pPr>
      <w:bookmarkStart w:id="1" w:name="_Toc110410360"/>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5、加注★的条款为不可负偏离条款，任一项未响应或不满足要求的，将导致投标无效。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项目名称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lang w:eastAsia="zh-CN"/>
              </w:rPr>
            </w:pPr>
            <w:r>
              <w:rPr>
                <w:rFonts w:hint="eastAsia" w:ascii="宋体" w:hAnsi="宋体"/>
                <w:snapToGrid w:val="0"/>
                <w:szCs w:val="21"/>
                <w:lang w:eastAsia="zh-CN"/>
              </w:rPr>
              <w:t>心理健康宣教服务项目（第二次）</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900,000.00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506"/>
        <w:wordWrap/>
        <w:spacing w:afterLines="0" w:line="360" w:lineRule="auto"/>
        <w:ind w:firstLine="420"/>
        <w:rPr>
          <w:rFonts w:cs="Times New Roman"/>
          <w:snapToGrid/>
          <w:spacing w:val="0"/>
          <w:sz w:val="21"/>
          <w:szCs w:val="21"/>
        </w:rPr>
      </w:pPr>
    </w:p>
    <w:p>
      <w:pPr>
        <w:pStyle w:val="321"/>
        <w:ind w:firstLine="0" w:firstLineChars="0"/>
        <w:rPr>
          <w:b/>
        </w:rPr>
      </w:pPr>
      <w:r>
        <w:rPr>
          <w:rFonts w:hint="eastAsia"/>
          <w:b/>
        </w:rPr>
        <w:t>二、项目服务要求</w:t>
      </w:r>
    </w:p>
    <w:p>
      <w:pPr>
        <w:pStyle w:val="45"/>
        <w:spacing w:beforeAutospacing="0" w:afterAutospacing="0" w:line="360" w:lineRule="auto"/>
        <w:ind w:firstLine="420" w:firstLineChars="200"/>
        <w:rPr>
          <w:rFonts w:ascii="宋体" w:hAnsi="宋体" w:cs="宋体"/>
          <w:kern w:val="2"/>
          <w:sz w:val="21"/>
          <w:szCs w:val="21"/>
        </w:rPr>
      </w:pPr>
      <w:r>
        <w:rPr>
          <w:rFonts w:hint="eastAsia" w:ascii="宋体" w:hAnsi="宋体" w:cs="宋体"/>
          <w:kern w:val="2"/>
          <w:sz w:val="21"/>
          <w:szCs w:val="21"/>
        </w:rPr>
        <w:t>1、投标方应为主流新闻媒体或具有互联网新闻信息采编发布服务资质的主流新闻网站等新闻单位。</w:t>
      </w:r>
    </w:p>
    <w:p>
      <w:pPr>
        <w:pStyle w:val="45"/>
        <w:spacing w:beforeAutospacing="0" w:afterAutospacing="0" w:line="360" w:lineRule="auto"/>
        <w:ind w:firstLine="420" w:firstLineChars="200"/>
        <w:rPr>
          <w:rFonts w:ascii="宋体" w:hAnsi="宋体" w:cs="宋体"/>
          <w:kern w:val="2"/>
          <w:sz w:val="21"/>
          <w:szCs w:val="21"/>
        </w:rPr>
      </w:pPr>
      <w:r>
        <w:rPr>
          <w:rFonts w:hint="eastAsia" w:ascii="宋体" w:hAnsi="宋体" w:cs="宋体"/>
          <w:kern w:val="2"/>
          <w:sz w:val="21"/>
          <w:szCs w:val="21"/>
        </w:rPr>
        <w:t xml:space="preserve">2、参与竞标单位须有丰富的医疗类微信公众号及健康教育新媒体推广、运营、维护经验。 </w:t>
      </w:r>
    </w:p>
    <w:p>
      <w:pPr>
        <w:pStyle w:val="45"/>
        <w:spacing w:beforeAutospacing="0" w:afterAutospacing="0" w:line="360" w:lineRule="auto"/>
        <w:ind w:firstLine="420" w:firstLineChars="200"/>
        <w:rPr>
          <w:rFonts w:ascii="宋体" w:hAnsi="宋体" w:cs="宋体"/>
          <w:kern w:val="2"/>
          <w:sz w:val="21"/>
          <w:szCs w:val="21"/>
        </w:rPr>
      </w:pPr>
      <w:r>
        <w:rPr>
          <w:rFonts w:hint="eastAsia" w:ascii="宋体" w:hAnsi="宋体" w:cs="宋体"/>
          <w:kern w:val="2"/>
          <w:sz w:val="21"/>
          <w:szCs w:val="21"/>
        </w:rPr>
        <w:t xml:space="preserve">3、投标人需制作一份完整的“心理健康宣教服务”项目实施方案参与竞标，方案内包含全年12个月的心理健康宣教创意推广策划方案和“健康宁心”微信公众号运营方案，并对方案做出报价。 </w:t>
      </w:r>
    </w:p>
    <w:p>
      <w:pPr>
        <w:pStyle w:val="45"/>
        <w:spacing w:beforeAutospacing="0" w:afterAutospacing="0" w:line="360" w:lineRule="auto"/>
        <w:ind w:firstLine="420" w:firstLineChars="200"/>
        <w:rPr>
          <w:rFonts w:ascii="宋体" w:hAnsi="宋体" w:cs="宋体"/>
          <w:kern w:val="2"/>
          <w:sz w:val="21"/>
          <w:szCs w:val="21"/>
        </w:rPr>
      </w:pPr>
      <w:r>
        <w:rPr>
          <w:rFonts w:hint="eastAsia" w:ascii="宋体" w:hAnsi="宋体" w:cs="宋体"/>
          <w:kern w:val="2"/>
          <w:sz w:val="21"/>
          <w:szCs w:val="21"/>
        </w:rPr>
        <w:t>4、投标人提供原创性的项目实施方案，若因由此引起的知识产权纠纷，投标人负全部责任，并赔偿招标人因此而可能造成的一切损失。</w:t>
      </w:r>
    </w:p>
    <w:p>
      <w:pPr>
        <w:pStyle w:val="45"/>
        <w:spacing w:beforeAutospacing="0" w:afterAutospacing="0" w:line="360" w:lineRule="auto"/>
        <w:ind w:firstLine="367" w:firstLineChars="175"/>
        <w:rPr>
          <w:rFonts w:ascii="宋体" w:hAnsi="宋体" w:cs="宋体"/>
          <w:kern w:val="2"/>
          <w:sz w:val="21"/>
          <w:szCs w:val="21"/>
        </w:rPr>
      </w:pPr>
      <w:r>
        <w:rPr>
          <w:rFonts w:hint="eastAsia" w:ascii="宋体" w:hAnsi="宋体" w:cs="宋体"/>
          <w:kern w:val="2"/>
          <w:sz w:val="21"/>
          <w:szCs w:val="21"/>
        </w:rPr>
        <w:t>5、团队要求</w:t>
      </w:r>
    </w:p>
    <w:p>
      <w:pPr>
        <w:pStyle w:val="45"/>
        <w:spacing w:beforeAutospacing="0" w:afterAutospacing="0" w:line="360" w:lineRule="auto"/>
        <w:ind w:firstLine="420" w:firstLineChars="200"/>
        <w:rPr>
          <w:rFonts w:ascii="宋体" w:hAnsi="宋体" w:cs="宋体"/>
          <w:kern w:val="2"/>
          <w:sz w:val="21"/>
          <w:szCs w:val="21"/>
        </w:rPr>
      </w:pPr>
      <w:r>
        <w:rPr>
          <w:rFonts w:hint="eastAsia" w:ascii="宋体" w:hAnsi="宋体" w:cs="宋体"/>
          <w:kern w:val="2"/>
          <w:sz w:val="21"/>
          <w:szCs w:val="21"/>
        </w:rPr>
        <w:t>投标人建立不少于5人的专业新媒体项目运营团队，提供“中央厨房”式后台支撑。</w:t>
      </w:r>
      <w:r>
        <w:rPr>
          <w:rFonts w:hint="eastAsia" w:ascii="宋体" w:hAnsi="宋体" w:cs="宋体"/>
          <w:bCs/>
          <w:sz w:val="21"/>
          <w:szCs w:val="21"/>
        </w:rPr>
        <w:t>团队需有完整、专业的技术支持，其中要求拟编辑人员提供学历证明以及过往作品。</w:t>
      </w:r>
      <w:r>
        <w:rPr>
          <w:rFonts w:hint="eastAsia" w:ascii="宋体" w:hAnsi="宋体" w:cs="宋体"/>
          <w:kern w:val="2"/>
          <w:sz w:val="21"/>
          <w:szCs w:val="21"/>
        </w:rPr>
        <w:t>运营团队成员包括但不限于：</w:t>
      </w:r>
    </w:p>
    <w:p>
      <w:pPr>
        <w:pStyle w:val="45"/>
        <w:spacing w:beforeAutospacing="0" w:afterAutospacing="0" w:line="360" w:lineRule="auto"/>
        <w:ind w:firstLine="367" w:firstLineChars="175"/>
        <w:rPr>
          <w:rFonts w:ascii="宋体" w:hAnsi="宋体" w:cs="宋体"/>
          <w:kern w:val="2"/>
          <w:sz w:val="21"/>
          <w:szCs w:val="21"/>
        </w:rPr>
      </w:pPr>
      <w:r>
        <w:rPr>
          <w:rFonts w:hint="eastAsia" w:ascii="宋体" w:hAnsi="宋体" w:cs="宋体"/>
          <w:kern w:val="2"/>
          <w:sz w:val="21"/>
          <w:szCs w:val="21"/>
        </w:rPr>
        <w:t>（1）项目负责1人：全面负责整体统筹管理工作，负责政审、文字校对等，具备严格把好标题关、导向关、宣传口径关的综合素养，</w:t>
      </w:r>
      <w:r>
        <w:rPr>
          <w:rFonts w:hint="eastAsia" w:ascii="宋体" w:hAnsi="宋体" w:cs="宋体"/>
          <w:sz w:val="21"/>
          <w:szCs w:val="21"/>
        </w:rPr>
        <w:t>整合内外部资源，把控运维方向。</w:t>
      </w:r>
    </w:p>
    <w:p>
      <w:pPr>
        <w:pStyle w:val="45"/>
        <w:spacing w:beforeAutospacing="0" w:afterAutospacing="0" w:line="360" w:lineRule="auto"/>
        <w:ind w:firstLine="367" w:firstLineChars="175"/>
        <w:rPr>
          <w:rFonts w:ascii="宋体" w:hAnsi="宋体" w:cs="宋体"/>
          <w:kern w:val="2"/>
          <w:sz w:val="21"/>
          <w:szCs w:val="21"/>
        </w:rPr>
      </w:pPr>
      <w:r>
        <w:rPr>
          <w:rFonts w:hint="eastAsia" w:ascii="宋体" w:hAnsi="宋体" w:cs="宋体"/>
          <w:kern w:val="2"/>
          <w:sz w:val="21"/>
          <w:szCs w:val="21"/>
        </w:rPr>
        <w:t>（2）文案编辑1人：专职负责“健康宁心”微信公众号的</w:t>
      </w:r>
      <w:r>
        <w:rPr>
          <w:rFonts w:hint="eastAsia" w:ascii="宋体" w:hAnsi="宋体" w:cs="宋体"/>
          <w:sz w:val="21"/>
          <w:szCs w:val="21"/>
        </w:rPr>
        <w:t>选题沟通、文案编写、图文编辑、互动管理；对后台数据进行采集、分析，并编制阶段工作报告，含数据分析、工作评估、下阶段工作计划等。</w:t>
      </w:r>
    </w:p>
    <w:p>
      <w:pPr>
        <w:pStyle w:val="45"/>
        <w:spacing w:beforeAutospacing="0" w:afterAutospacing="0" w:line="360" w:lineRule="auto"/>
        <w:ind w:firstLine="367" w:firstLineChars="175"/>
        <w:rPr>
          <w:rFonts w:ascii="宋体" w:hAnsi="宋体" w:cs="宋体"/>
          <w:kern w:val="2"/>
          <w:sz w:val="21"/>
          <w:szCs w:val="21"/>
        </w:rPr>
      </w:pPr>
      <w:r>
        <w:rPr>
          <w:rFonts w:hint="eastAsia" w:ascii="宋体" w:hAnsi="宋体" w:cs="宋体"/>
          <w:kern w:val="2"/>
          <w:sz w:val="21"/>
          <w:szCs w:val="21"/>
        </w:rPr>
        <w:t>（3）资深策划1人：根据医院宣传节点进行活动策划、统筹和执行，含创意方案、脚本撰写、物料设计制作、后期处理等，并利用媒体资源进行推广。</w:t>
      </w:r>
    </w:p>
    <w:p>
      <w:pPr>
        <w:pStyle w:val="45"/>
        <w:spacing w:beforeAutospacing="0" w:afterAutospacing="0" w:line="360" w:lineRule="auto"/>
        <w:ind w:firstLine="367" w:firstLineChars="175"/>
        <w:rPr>
          <w:rFonts w:ascii="宋体" w:hAnsi="宋体" w:cs="宋体"/>
          <w:kern w:val="2"/>
          <w:sz w:val="21"/>
          <w:szCs w:val="21"/>
        </w:rPr>
      </w:pPr>
      <w:r>
        <w:rPr>
          <w:rFonts w:hint="eastAsia" w:ascii="宋体" w:hAnsi="宋体" w:cs="宋体"/>
          <w:kern w:val="2"/>
          <w:sz w:val="21"/>
          <w:szCs w:val="21"/>
        </w:rPr>
        <w:t>（4）平面设计1人：根据主题方案及活动策划方案，进行平面元素创作设计、手绘海报、各平台视觉效果优化。</w:t>
      </w:r>
    </w:p>
    <w:p>
      <w:pPr>
        <w:pStyle w:val="45"/>
        <w:spacing w:beforeAutospacing="0" w:afterAutospacing="0" w:line="360" w:lineRule="auto"/>
        <w:ind w:firstLine="367" w:firstLineChars="175"/>
        <w:rPr>
          <w:rFonts w:ascii="宋体" w:hAnsi="宋体" w:cs="宋体"/>
          <w:kern w:val="2"/>
          <w:sz w:val="21"/>
          <w:szCs w:val="21"/>
        </w:rPr>
      </w:pPr>
      <w:r>
        <w:rPr>
          <w:rFonts w:hint="eastAsia" w:ascii="宋体" w:hAnsi="宋体" w:cs="宋体"/>
          <w:kern w:val="2"/>
          <w:sz w:val="21"/>
          <w:szCs w:val="21"/>
        </w:rPr>
        <w:t>（5）技术支持1人：负责微信公众号后台正常运营。</w:t>
      </w:r>
    </w:p>
    <w:p>
      <w:pPr>
        <w:pStyle w:val="45"/>
        <w:spacing w:beforeAutospacing="0" w:afterAutospacing="0" w:line="360" w:lineRule="auto"/>
        <w:ind w:firstLine="367" w:firstLineChars="175"/>
        <w:rPr>
          <w:rFonts w:ascii="宋体" w:hAnsi="宋体" w:cs="宋体"/>
          <w:kern w:val="2"/>
          <w:sz w:val="21"/>
          <w:szCs w:val="21"/>
        </w:rPr>
      </w:pPr>
      <w:r>
        <w:rPr>
          <w:rFonts w:hint="eastAsia" w:ascii="宋体" w:hAnsi="宋体" w:cs="宋体"/>
          <w:kern w:val="2"/>
          <w:sz w:val="21"/>
          <w:szCs w:val="21"/>
        </w:rPr>
        <w:t>6、投标人是政务新媒体矩阵数量有影响力的融媒体服务商，具备微信、微博、抖音、视频号运营；海报、动图、条漫、H5设计制作；直播、短视频、宣传片拍摄剪辑等全案解决方案经验。</w:t>
      </w:r>
    </w:p>
    <w:p>
      <w:pPr>
        <w:pStyle w:val="45"/>
        <w:spacing w:beforeAutospacing="0" w:afterAutospacing="0" w:line="360" w:lineRule="auto"/>
        <w:ind w:firstLine="367" w:firstLineChars="175"/>
        <w:rPr>
          <w:rFonts w:ascii="宋体" w:hAnsi="宋体" w:cs="宋体"/>
          <w:kern w:val="2"/>
          <w:sz w:val="21"/>
          <w:szCs w:val="21"/>
        </w:rPr>
      </w:pPr>
      <w:r>
        <w:rPr>
          <w:rFonts w:hint="eastAsia" w:ascii="宋体" w:hAnsi="宋体" w:cs="宋体"/>
          <w:kern w:val="2"/>
          <w:sz w:val="21"/>
          <w:szCs w:val="21"/>
        </w:rPr>
        <w:t>7、投标人团队充分运营海报、长图、动图、视频、H5、直播、创意表情包等多种表现形式对微信公众号平台进行维护，及时有效推送微信公众号内容，每日更新内容。</w:t>
      </w:r>
    </w:p>
    <w:p>
      <w:pPr>
        <w:pStyle w:val="45"/>
        <w:spacing w:beforeAutospacing="0" w:afterAutospacing="0" w:line="360" w:lineRule="auto"/>
        <w:ind w:firstLine="367" w:firstLineChars="175"/>
        <w:rPr>
          <w:rFonts w:ascii="宋体" w:hAnsi="宋体" w:cs="宋体"/>
          <w:kern w:val="2"/>
          <w:sz w:val="21"/>
          <w:szCs w:val="21"/>
        </w:rPr>
      </w:pPr>
      <w:r>
        <w:rPr>
          <w:rFonts w:hint="eastAsia" w:ascii="宋体" w:hAnsi="宋体" w:cs="宋体"/>
          <w:kern w:val="2"/>
          <w:sz w:val="21"/>
          <w:szCs w:val="21"/>
        </w:rPr>
        <w:t>8、投标人定期制作项目类各新媒体平台的数据报表，数据包含阅读量、点赞率、回复率、分享率等，并针对数据进行情况分析形成后期运营意见和建议。</w:t>
      </w:r>
    </w:p>
    <w:p>
      <w:pPr>
        <w:pStyle w:val="45"/>
        <w:adjustRightInd w:val="0"/>
        <w:spacing w:beforeAutospacing="0" w:afterAutospacing="0" w:line="360" w:lineRule="auto"/>
        <w:ind w:firstLine="367" w:firstLineChars="175"/>
        <w:rPr>
          <w:rFonts w:ascii="宋体" w:hAnsi="宋体" w:cs="宋体"/>
          <w:kern w:val="2"/>
          <w:sz w:val="21"/>
          <w:szCs w:val="21"/>
        </w:rPr>
      </w:pPr>
      <w:r>
        <w:rPr>
          <w:rFonts w:hint="eastAsia" w:ascii="宋体" w:hAnsi="宋体" w:cs="宋体"/>
          <w:kern w:val="2"/>
          <w:sz w:val="21"/>
          <w:szCs w:val="21"/>
        </w:rPr>
        <w:t xml:space="preserve">9、医院的优质微信文章，投标人应充分利用自身媒体矩阵进行宣传推广。 </w:t>
      </w:r>
    </w:p>
    <w:p>
      <w:pPr>
        <w:pStyle w:val="45"/>
        <w:adjustRightInd w:val="0"/>
        <w:spacing w:beforeAutospacing="0" w:afterAutospacing="0" w:line="360" w:lineRule="auto"/>
        <w:ind w:firstLine="367" w:firstLineChars="175"/>
        <w:rPr>
          <w:rFonts w:ascii="宋体" w:hAnsi="宋体" w:cs="宋体"/>
          <w:kern w:val="2"/>
          <w:sz w:val="21"/>
          <w:szCs w:val="21"/>
        </w:rPr>
      </w:pPr>
      <w:r>
        <w:rPr>
          <w:rFonts w:hint="eastAsia" w:ascii="宋体" w:hAnsi="宋体" w:cs="宋体"/>
          <w:kern w:val="2"/>
          <w:sz w:val="21"/>
          <w:szCs w:val="21"/>
        </w:rPr>
        <w:t>10、投标方具备团队运作能力，成立专门项目组对接宣传方。需拥有资深策划、编辑2-4名保证账号正常运营和维护以及相关信息采编，不定时优化账号信息；分配据有创新性的高级专职编辑；制作版面编排美观、语言风格活泼、内容健康、导向正确、符合法律法规等要求的高质量推文，保证推文吸引度，提升各账号的视觉形象和用户体验，激活阅读量。使医院平台处于积极运营状态。</w:t>
      </w:r>
    </w:p>
    <w:p>
      <w:pPr>
        <w:pStyle w:val="45"/>
        <w:adjustRightInd w:val="0"/>
        <w:spacing w:beforeAutospacing="0" w:afterAutospacing="0" w:line="360" w:lineRule="auto"/>
        <w:ind w:firstLine="367" w:firstLineChars="175"/>
        <w:rPr>
          <w:rFonts w:ascii="宋体" w:hAnsi="宋体" w:cs="宋体"/>
          <w:kern w:val="2"/>
          <w:sz w:val="21"/>
          <w:szCs w:val="21"/>
        </w:rPr>
      </w:pPr>
      <w:r>
        <w:rPr>
          <w:rFonts w:hint="eastAsia" w:ascii="宋体" w:hAnsi="宋体" w:cs="宋体"/>
          <w:kern w:val="2"/>
          <w:sz w:val="21"/>
          <w:szCs w:val="21"/>
        </w:rPr>
        <w:t>11、投标方帮助采购方制定年度宣传运行计划，策划和传播时间节点活动，提高医院形象，充分利用网络宣传资源扩大受众人群。</w:t>
      </w:r>
    </w:p>
    <w:p>
      <w:pPr>
        <w:pStyle w:val="45"/>
        <w:adjustRightInd w:val="0"/>
        <w:spacing w:beforeAutospacing="0" w:afterAutospacing="0" w:line="360" w:lineRule="auto"/>
        <w:ind w:firstLine="367" w:firstLineChars="175"/>
        <w:rPr>
          <w:rFonts w:ascii="宋体" w:hAnsi="宋体" w:cs="宋体"/>
          <w:kern w:val="2"/>
          <w:sz w:val="21"/>
          <w:szCs w:val="21"/>
        </w:rPr>
      </w:pPr>
      <w:r>
        <w:rPr>
          <w:rFonts w:hint="eastAsia" w:ascii="宋体" w:hAnsi="宋体" w:cs="宋体"/>
          <w:kern w:val="2"/>
          <w:sz w:val="21"/>
          <w:szCs w:val="21"/>
        </w:rPr>
        <w:t>12、投标方应加强“健康宁心”公众号推广力度，不定期提供线上线下吸粉推广宣传方案，合同期内定期开展推广活动，策划不少于4个线上线下互动推广、有奖征答等吸粉活动，全面负责推广活动方案的策划、设计、开发、运营维护。帮助采购人的重大节点活动在主流媒体推广6次，年度合作结束时，运营公众号的关注量至少要达到15万以上，出现10万+的文章3篇以上；点击率、阅读率不断提升。</w:t>
      </w:r>
    </w:p>
    <w:p>
      <w:pPr>
        <w:pStyle w:val="45"/>
        <w:adjustRightInd w:val="0"/>
        <w:spacing w:beforeAutospacing="0" w:afterAutospacing="0" w:line="360" w:lineRule="auto"/>
        <w:ind w:firstLine="367" w:firstLineChars="175"/>
        <w:rPr>
          <w:rFonts w:ascii="宋体" w:hAnsi="宋体" w:cs="宋体"/>
          <w:kern w:val="2"/>
          <w:sz w:val="21"/>
          <w:szCs w:val="21"/>
        </w:rPr>
      </w:pPr>
      <w:r>
        <w:rPr>
          <w:rFonts w:hint="eastAsia" w:ascii="宋体" w:hAnsi="宋体" w:cs="宋体"/>
          <w:kern w:val="2"/>
          <w:sz w:val="21"/>
          <w:szCs w:val="21"/>
        </w:rPr>
        <w:t>13、投标方需建立内部审稿机制对内容进行三审三校，并对推送内容政治性、准确性负责；运营服务商的发稿数量和时间需按照医院的要求落实。遇特殊情况，能根据需求到现场采编，完成周末加稿要求；年初制定全年重点工作宣传方案，每周进行网上选题报题。</w:t>
      </w:r>
    </w:p>
    <w:p>
      <w:pPr>
        <w:pStyle w:val="45"/>
        <w:adjustRightInd w:val="0"/>
        <w:spacing w:beforeAutospacing="0" w:afterAutospacing="0" w:line="360" w:lineRule="auto"/>
        <w:ind w:firstLine="367" w:firstLineChars="175"/>
        <w:rPr>
          <w:rFonts w:ascii="宋体" w:hAnsi="宋体" w:cs="宋体"/>
          <w:kern w:val="2"/>
          <w:sz w:val="21"/>
          <w:szCs w:val="21"/>
        </w:rPr>
      </w:pPr>
      <w:r>
        <w:rPr>
          <w:rFonts w:hint="eastAsia" w:ascii="宋体" w:hAnsi="宋体" w:cs="宋体"/>
          <w:kern w:val="2"/>
          <w:sz w:val="21"/>
          <w:szCs w:val="21"/>
        </w:rPr>
        <w:t>14、每月汇报一次账号运营情况，包括数据分析、粉丝数据波动等，为采购人定制运营推广模式。</w:t>
      </w:r>
    </w:p>
    <w:p>
      <w:pPr>
        <w:pStyle w:val="45"/>
        <w:adjustRightInd w:val="0"/>
        <w:spacing w:beforeAutospacing="0" w:afterAutospacing="0" w:line="360" w:lineRule="auto"/>
        <w:ind w:firstLine="367" w:firstLineChars="175"/>
        <w:rPr>
          <w:rFonts w:ascii="宋体" w:hAnsi="宋体" w:cs="宋体"/>
          <w:kern w:val="2"/>
          <w:sz w:val="21"/>
          <w:szCs w:val="21"/>
        </w:rPr>
      </w:pPr>
      <w:r>
        <w:rPr>
          <w:rFonts w:hint="eastAsia" w:ascii="宋体" w:hAnsi="宋体" w:cs="宋体"/>
          <w:kern w:val="2"/>
          <w:sz w:val="21"/>
          <w:szCs w:val="21"/>
        </w:rPr>
        <w:t>15、配合完成采购人相关宣传工作任务。</w:t>
      </w:r>
    </w:p>
    <w:p>
      <w:pPr>
        <w:pStyle w:val="45"/>
        <w:adjustRightInd w:val="0"/>
        <w:spacing w:beforeAutospacing="0" w:afterAutospacing="0" w:line="360" w:lineRule="auto"/>
        <w:ind w:firstLine="367" w:firstLineChars="175"/>
        <w:rPr>
          <w:rFonts w:ascii="宋体" w:hAnsi="宋体" w:cs="宋体"/>
          <w:kern w:val="2"/>
          <w:sz w:val="21"/>
          <w:szCs w:val="21"/>
        </w:rPr>
      </w:pPr>
      <w:r>
        <w:rPr>
          <w:rFonts w:hint="eastAsia" w:ascii="宋体" w:hAnsi="宋体" w:cs="宋体"/>
          <w:kern w:val="2"/>
          <w:sz w:val="21"/>
          <w:szCs w:val="21"/>
        </w:rPr>
        <w:t>16、根据采购人需求，按照平台规则对相关素材进行编辑、策划运营。具体更新需求如下：</w:t>
      </w:r>
    </w:p>
    <w:p>
      <w:pPr>
        <w:pStyle w:val="45"/>
        <w:adjustRightInd w:val="0"/>
        <w:spacing w:beforeAutospacing="0" w:afterAutospacing="0" w:line="360" w:lineRule="auto"/>
        <w:ind w:firstLine="367" w:firstLineChars="175"/>
        <w:rPr>
          <w:rFonts w:ascii="宋体" w:hAnsi="宋体" w:cs="宋体"/>
          <w:kern w:val="2"/>
          <w:sz w:val="21"/>
          <w:szCs w:val="21"/>
        </w:rPr>
      </w:pPr>
      <w:r>
        <w:rPr>
          <w:rFonts w:hint="eastAsia" w:ascii="宋体" w:hAnsi="宋体" w:cs="宋体"/>
          <w:kern w:val="2"/>
          <w:sz w:val="21"/>
          <w:szCs w:val="21"/>
        </w:rPr>
        <w:t>微信订阅号每日一更，每次至少2条，均为原创稿件；采购方按照实际情况，与投标方协商后调整推文点击率和阅读率的评估指标；</w:t>
      </w:r>
    </w:p>
    <w:p>
      <w:pPr>
        <w:pStyle w:val="45"/>
        <w:adjustRightInd w:val="0"/>
        <w:spacing w:beforeAutospacing="0" w:afterAutospacing="0" w:line="360" w:lineRule="auto"/>
        <w:ind w:firstLine="367" w:firstLineChars="175"/>
        <w:rPr>
          <w:rFonts w:ascii="宋体" w:hAnsi="宋体" w:cs="宋体"/>
          <w:kern w:val="2"/>
          <w:sz w:val="21"/>
          <w:szCs w:val="21"/>
        </w:rPr>
      </w:pPr>
      <w:r>
        <w:rPr>
          <w:rFonts w:hint="eastAsia" w:ascii="宋体" w:hAnsi="宋体" w:cs="宋体"/>
          <w:kern w:val="2"/>
          <w:sz w:val="21"/>
          <w:szCs w:val="21"/>
        </w:rPr>
        <w:t>17、服务期限：以签订的合同限定日期为准，并根据本年度宣传情况，由采购方决定是否继续合作。</w:t>
      </w:r>
    </w:p>
    <w:p>
      <w:pPr>
        <w:pStyle w:val="45"/>
        <w:adjustRightInd w:val="0"/>
        <w:spacing w:beforeAutospacing="0" w:afterAutospacing="0" w:line="360" w:lineRule="auto"/>
        <w:ind w:firstLine="367" w:firstLineChars="175"/>
        <w:rPr>
          <w:rFonts w:ascii="宋体" w:hAnsi="宋体" w:cs="宋体"/>
          <w:kern w:val="2"/>
          <w:sz w:val="21"/>
          <w:szCs w:val="21"/>
        </w:rPr>
      </w:pPr>
      <w:r>
        <w:rPr>
          <w:rFonts w:hint="eastAsia" w:ascii="宋体" w:hAnsi="宋体" w:cs="宋体"/>
          <w:kern w:val="2"/>
          <w:sz w:val="21"/>
          <w:szCs w:val="21"/>
        </w:rPr>
        <w:t>18、按照采购人预定的时间节点完成宣传运营任务，逾期未完成导致宣传运营工作效果出现偏差，采购人有权追究相关责任。</w:t>
      </w:r>
    </w:p>
    <w:p>
      <w:pPr>
        <w:pStyle w:val="506"/>
        <w:wordWrap/>
        <w:spacing w:afterLines="0" w:line="360" w:lineRule="auto"/>
        <w:ind w:firstLine="436"/>
        <w:rPr>
          <w:rFonts w:cs="Times New Roman"/>
          <w:snapToGrid/>
          <w:spacing w:val="0"/>
          <w:sz w:val="21"/>
          <w:szCs w:val="21"/>
        </w:rPr>
      </w:pPr>
      <w:r>
        <w:rPr>
          <w:rFonts w:hint="eastAsia"/>
          <w:sz w:val="21"/>
          <w:szCs w:val="21"/>
        </w:rPr>
        <w:t>19、所执行运营情况必须合法、合规，未尽事宜，由采购人负责研究、决定、处理</w:t>
      </w:r>
    </w:p>
    <w:p>
      <w:pPr>
        <w:pStyle w:val="321"/>
        <w:ind w:firstLine="436" w:firstLineChars="200"/>
        <w:jc w:val="both"/>
        <w:rPr>
          <w:rFonts w:hint="default" w:ascii="宋体" w:hAnsi="宋体" w:eastAsia="宋体" w:cs="宋体"/>
          <w:snapToGrid w:val="0"/>
          <w:spacing w:val="4"/>
          <w:kern w:val="2"/>
          <w:sz w:val="21"/>
          <w:szCs w:val="21"/>
          <w:lang w:val="en-US" w:eastAsia="zh-CN" w:bidi="ar-SA"/>
        </w:rPr>
      </w:pPr>
      <w:r>
        <w:rPr>
          <w:rFonts w:hint="eastAsia" w:ascii="宋体" w:hAnsi="宋体" w:eastAsia="宋体" w:cs="宋体"/>
          <w:snapToGrid w:val="0"/>
          <w:spacing w:val="4"/>
          <w:kern w:val="2"/>
          <w:sz w:val="21"/>
          <w:szCs w:val="21"/>
          <w:lang w:val="en-US" w:eastAsia="zh-CN" w:bidi="ar-SA"/>
        </w:rPr>
        <w:t>20、</w:t>
      </w:r>
      <w:r>
        <w:rPr>
          <w:rFonts w:hint="eastAsia" w:cs="宋体"/>
          <w:snapToGrid w:val="0"/>
          <w:spacing w:val="4"/>
          <w:kern w:val="2"/>
          <w:sz w:val="21"/>
          <w:szCs w:val="21"/>
          <w:lang w:val="en-US" w:eastAsia="zh-CN" w:bidi="ar-SA"/>
        </w:rPr>
        <w:t>为满足采购人应急需求，投标人需在接到采购人通知半小时内响应，2小时内到达现场（不可抗力因素除外）。</w:t>
      </w:r>
    </w:p>
    <w:p>
      <w:pPr>
        <w:pStyle w:val="321"/>
        <w:ind w:firstLine="0" w:firstLineChars="0"/>
        <w:rPr>
          <w:b/>
        </w:rPr>
      </w:pPr>
      <w:r>
        <w:rPr>
          <w:rFonts w:hint="eastAsia"/>
          <w:b/>
        </w:rPr>
        <w:t>三、项目商务要求</w:t>
      </w:r>
    </w:p>
    <w:p>
      <w:pPr>
        <w:pStyle w:val="255"/>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（一）服务期限：</w:t>
      </w:r>
    </w:p>
    <w:p>
      <w:pPr>
        <w:pStyle w:val="255"/>
        <w:spacing w:beforeLines="0" w:line="360" w:lineRule="auto"/>
        <w:ind w:firstLine="420"/>
        <w:rPr>
          <w:rFonts w:ascii="宋体" w:hAnsi="宋体" w:eastAsia="宋体"/>
          <w:szCs w:val="21"/>
        </w:rPr>
      </w:pPr>
      <w:r>
        <w:rPr>
          <w:rFonts w:hint="eastAsia" w:ascii="宋体" w:hAnsi="宋体" w:eastAsia="宋体"/>
          <w:szCs w:val="21"/>
          <w:highlight w:val="yellow"/>
        </w:rPr>
        <w:t>自合同签订之日起 1年。采购人可根据实际情况及中标人履约情况确定合同期限是否延长或续签，但最长不超过3年，第一年为本次招标的中标服务期限，合同一年一签，合同最多续签2次，续签合同价格保持不变。采购人可根据实际情况终止合同，并不再续签。</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（二）服务地点：</w:t>
      </w:r>
    </w:p>
    <w:p>
      <w:pPr>
        <w:pStyle w:val="255"/>
        <w:spacing w:beforeLines="0" w:line="360" w:lineRule="auto"/>
        <w:ind w:firstLine="424" w:firstLineChars="202"/>
        <w:rPr>
          <w:rFonts w:asciiTheme="minorEastAsia" w:hAnsiTheme="minorEastAsia" w:eastAsiaTheme="minorEastAsia"/>
          <w:b/>
        </w:rPr>
      </w:pPr>
      <w:r>
        <w:rPr>
          <w:rFonts w:hint="eastAsia" w:ascii="宋体" w:hAnsi="宋体" w:eastAsia="宋体"/>
          <w:szCs w:val="21"/>
        </w:rPr>
        <w:t>采购人指定地点</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（三）报价要求：</w:t>
      </w:r>
    </w:p>
    <w:p>
      <w:pPr>
        <w:pStyle w:val="255"/>
        <w:spacing w:beforeLines="0" w:line="360" w:lineRule="auto"/>
        <w:ind w:firstLine="420"/>
        <w:rPr>
          <w:rFonts w:ascii="宋体" w:hAnsi="宋体" w:eastAsia="宋体"/>
          <w:szCs w:val="21"/>
        </w:rPr>
      </w:pPr>
      <w:r>
        <w:rPr>
          <w:rFonts w:hint="eastAsia" w:ascii="宋体" w:hAnsi="宋体" w:eastAsia="宋体"/>
          <w:szCs w:val="21"/>
        </w:rPr>
        <w:t>1、报价采用人民币报价。</w:t>
      </w:r>
    </w:p>
    <w:p>
      <w:pPr>
        <w:pStyle w:val="255"/>
        <w:spacing w:beforeLines="0" w:line="360" w:lineRule="auto"/>
        <w:ind w:firstLine="420"/>
        <w:rPr>
          <w:rFonts w:hint="eastAsia" w:ascii="宋体" w:hAnsi="宋体" w:eastAsia="宋体"/>
          <w:szCs w:val="21"/>
          <w:lang w:val="en-US" w:eastAsia="zh-CN"/>
        </w:rPr>
      </w:pPr>
      <w:r>
        <w:rPr>
          <w:rFonts w:hint="eastAsia" w:ascii="宋体" w:hAnsi="宋体" w:eastAsia="宋体"/>
          <w:szCs w:val="21"/>
        </w:rPr>
        <w:t>2、本项目为固定总价合同，在合同执行期内是固定不变，投标人需考虑为完成本项目所产生的一切费用，计入投标总报价中。本项目预算限额为90万元。如总报价低于成本价要提供价格核算证明</w:t>
      </w:r>
      <w:r>
        <w:rPr>
          <w:rFonts w:hint="eastAsia" w:ascii="宋体" w:hAnsi="宋体" w:eastAsia="宋体"/>
          <w:szCs w:val="21"/>
          <w:lang w:eastAsia="zh-CN"/>
        </w:rPr>
        <w:t>。</w:t>
      </w:r>
    </w:p>
    <w:p>
      <w:pPr>
        <w:pStyle w:val="255"/>
        <w:spacing w:beforeLines="0" w:line="360" w:lineRule="auto"/>
        <w:ind w:firstLine="420"/>
        <w:rPr>
          <w:rFonts w:hint="eastAsia" w:ascii="宋体" w:hAnsi="宋体" w:eastAsia="宋体"/>
          <w:szCs w:val="21"/>
          <w:lang w:eastAsia="zh-CN"/>
        </w:rPr>
      </w:pPr>
      <w:r>
        <w:rPr>
          <w:rFonts w:hint="eastAsia" w:ascii="宋体" w:hAnsi="宋体" w:eastAsia="宋体"/>
          <w:szCs w:val="21"/>
        </w:rPr>
        <w:t>3、投标人应根据本企业的成本自行决定报价，但不得以低于其企业成本的报价投标</w:t>
      </w:r>
      <w:r>
        <w:rPr>
          <w:rFonts w:hint="eastAsia" w:ascii="宋体" w:hAnsi="宋体" w:eastAsia="宋体"/>
          <w:szCs w:val="21"/>
          <w:lang w:eastAsia="zh-CN"/>
        </w:rPr>
        <w:t>。</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（四）付款方式：</w:t>
      </w:r>
    </w:p>
    <w:p>
      <w:pPr>
        <w:spacing w:line="360" w:lineRule="auto"/>
        <w:ind w:firstLine="420" w:firstLineChars="200"/>
        <w:rPr>
          <w:rFonts w:ascii="宋体" w:hAnsi="宋体"/>
          <w:szCs w:val="21"/>
        </w:rPr>
      </w:pPr>
      <w:r>
        <w:rPr>
          <w:rFonts w:hint="eastAsia" w:ascii="宋体" w:hAnsi="宋体"/>
          <w:szCs w:val="21"/>
        </w:rPr>
        <w:t>以合同约定为准。</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（五）违约责任：</w:t>
      </w:r>
    </w:p>
    <w:p>
      <w:pPr>
        <w:pStyle w:val="255"/>
        <w:spacing w:beforeLines="0" w:line="360" w:lineRule="auto"/>
        <w:ind w:firstLine="420"/>
        <w:rPr>
          <w:rFonts w:ascii="宋体" w:hAnsi="宋体" w:eastAsia="宋体"/>
          <w:szCs w:val="21"/>
        </w:rPr>
      </w:pPr>
      <w:r>
        <w:rPr>
          <w:rFonts w:hint="eastAsia" w:ascii="宋体" w:hAnsi="宋体" w:eastAsia="宋体"/>
          <w:szCs w:val="21"/>
        </w:rPr>
        <w:t>如投标人未按照投标文件中承诺的时间提供服务，投标人应承担延期服务的违约责任，并可要求投标人赔偿采购人因此造成的实际经济损失。</w:t>
      </w:r>
    </w:p>
    <w:p>
      <w:pPr>
        <w:pStyle w:val="8"/>
        <w:numPr>
          <w:ilvl w:val="-1"/>
          <w:numId w:val="0"/>
        </w:numPr>
        <w:ind w:firstLine="0" w:firstLineChars="0"/>
        <w:rPr>
          <w:rFonts w:ascii="宋体" w:hAnsi="宋体"/>
          <w:b/>
          <w:bCs/>
          <w:snapToGrid w:val="0"/>
          <w:kern w:val="0"/>
          <w:sz w:val="24"/>
        </w:rPr>
      </w:pPr>
      <w:r>
        <w:rPr>
          <w:rFonts w:hint="eastAsia"/>
          <w:szCs w:val="21"/>
          <w:lang w:eastAsia="zh-CN"/>
        </w:rPr>
        <w:t>（</w:t>
      </w:r>
      <w:r>
        <w:rPr>
          <w:rFonts w:hint="eastAsia"/>
          <w:szCs w:val="21"/>
          <w:lang w:val="en-US" w:eastAsia="zh-CN"/>
        </w:rPr>
        <w:t>六</w:t>
      </w:r>
      <w:r>
        <w:rPr>
          <w:rFonts w:hint="eastAsia"/>
          <w:szCs w:val="21"/>
          <w:lang w:eastAsia="zh-CN"/>
        </w:rPr>
        <w:t>）</w:t>
      </w:r>
      <w:r>
        <w:rPr>
          <w:rFonts w:hint="eastAsia" w:ascii="宋体" w:hAnsi="宋体"/>
          <w:b/>
          <w:bCs/>
          <w:snapToGrid w:val="0"/>
          <w:kern w:val="0"/>
          <w:sz w:val="24"/>
        </w:rPr>
        <w:t>演示要求</w:t>
      </w:r>
    </w:p>
    <w:p>
      <w:pPr>
        <w:spacing w:beforeLines="25" w:afterLines="25" w:line="360" w:lineRule="auto"/>
        <w:ind w:firstLine="392" w:firstLineChars="187"/>
        <w:rPr>
          <w:rFonts w:ascii="宋体" w:hAnsi="宋体" w:cs="宋体"/>
          <w:szCs w:val="21"/>
        </w:rPr>
      </w:pPr>
      <w:r>
        <w:rPr>
          <w:rFonts w:hint="eastAsia" w:ascii="宋体" w:hAnsi="宋体" w:cs="宋体"/>
          <w:szCs w:val="21"/>
        </w:rPr>
        <w:t>（一）总体要求：</w:t>
      </w:r>
    </w:p>
    <w:p>
      <w:pPr>
        <w:spacing w:beforeLines="25" w:afterLines="25" w:line="360" w:lineRule="auto"/>
        <w:ind w:firstLine="392" w:firstLineChars="187"/>
        <w:rPr>
          <w:rFonts w:ascii="宋体" w:hAnsi="宋体" w:cs="宋体"/>
          <w:szCs w:val="21"/>
        </w:rPr>
      </w:pPr>
      <w:r>
        <w:rPr>
          <w:rFonts w:hint="eastAsia" w:ascii="宋体" w:hAnsi="宋体" w:cs="宋体"/>
          <w:szCs w:val="21"/>
        </w:rPr>
        <w:t>演示地点提供电源、投影仪及宽带上网环境（有WIFI），由投标人代表自带手提电脑、无线路由器、便携式服务器、U盘及其它能完成演示操作的设备（具体以投标人实际需要为准）进行演示。由于演示场地有限，建议勿携带过大设备进行演示。</w:t>
      </w:r>
    </w:p>
    <w:p>
      <w:pPr>
        <w:spacing w:beforeLines="25" w:afterLines="25" w:line="360" w:lineRule="auto"/>
        <w:ind w:firstLine="392" w:firstLineChars="187"/>
        <w:rPr>
          <w:rFonts w:ascii="宋体" w:hAnsi="宋体" w:cs="宋体"/>
          <w:szCs w:val="21"/>
        </w:rPr>
      </w:pPr>
      <w:r>
        <w:rPr>
          <w:rFonts w:hint="eastAsia" w:ascii="宋体" w:hAnsi="宋体" w:cs="宋体"/>
          <w:szCs w:val="21"/>
        </w:rPr>
        <w:t>每个投标人的现场演示时间不超过</w:t>
      </w:r>
      <w:r>
        <w:rPr>
          <w:rFonts w:hint="eastAsia" w:ascii="宋体" w:hAnsi="宋体" w:cs="宋体"/>
          <w:szCs w:val="21"/>
          <w:lang w:val="en-US" w:eastAsia="zh-CN"/>
        </w:rPr>
        <w:t>5</w:t>
      </w:r>
      <w:r>
        <w:rPr>
          <w:rFonts w:hint="eastAsia" w:ascii="宋体" w:hAnsi="宋体" w:cs="宋体"/>
          <w:szCs w:val="21"/>
        </w:rPr>
        <w:t>分钟（演示期间评委将进行提问，并有权酌情延长时间），现场演示人员不得超过2人。</w:t>
      </w:r>
    </w:p>
    <w:p>
      <w:pPr>
        <w:spacing w:beforeLines="25" w:afterLines="25" w:line="360" w:lineRule="auto"/>
        <w:ind w:firstLine="392" w:firstLineChars="187"/>
        <w:rPr>
          <w:rFonts w:ascii="宋体" w:hAnsi="宋体" w:cs="宋体"/>
          <w:szCs w:val="21"/>
        </w:rPr>
      </w:pPr>
      <w:r>
        <w:rPr>
          <w:rFonts w:hint="eastAsia" w:ascii="宋体" w:hAnsi="宋体" w:cs="宋体"/>
          <w:szCs w:val="21"/>
        </w:rPr>
        <w:t>（二）签到要求：</w:t>
      </w:r>
    </w:p>
    <w:p>
      <w:pPr>
        <w:spacing w:beforeLines="25" w:afterLines="25" w:line="360" w:lineRule="auto"/>
        <w:ind w:firstLine="392" w:firstLineChars="187"/>
        <w:rPr>
          <w:rFonts w:ascii="宋体" w:hAnsi="宋体" w:cs="宋体"/>
          <w:szCs w:val="21"/>
        </w:rPr>
      </w:pPr>
      <w:r>
        <w:rPr>
          <w:rFonts w:hint="eastAsia" w:ascii="宋体" w:hAnsi="宋体" w:cs="宋体"/>
          <w:szCs w:val="21"/>
        </w:rPr>
        <w:t>参加现场演示的投标人须在投标截止时间前进行现场演示签到，携带法定代表人证明书（盖公章）及法人授权委托书（盖公章），到达深圳市中正招标有限公司开标室，按工作人员指引进行签到。</w:t>
      </w:r>
    </w:p>
    <w:p>
      <w:pPr>
        <w:keepNext w:val="0"/>
        <w:keepLines w:val="0"/>
        <w:pageBreakBefore w:val="0"/>
        <w:widowControl w:val="0"/>
        <w:kinsoku/>
        <w:wordWrap/>
        <w:overflowPunct/>
        <w:topLinePunct w:val="0"/>
        <w:autoSpaceDE/>
        <w:autoSpaceDN/>
        <w:bidi w:val="0"/>
        <w:adjustRightInd/>
        <w:snapToGrid/>
        <w:spacing w:beforeLines="25" w:afterLines="25" w:line="360" w:lineRule="auto"/>
        <w:ind w:firstLine="394" w:firstLineChars="187"/>
        <w:textAlignment w:val="auto"/>
        <w:rPr>
          <w:rFonts w:hint="eastAsia" w:ascii="宋体" w:hAnsi="宋体" w:cs="宋体"/>
          <w:szCs w:val="21"/>
          <w:lang w:val="en-US" w:eastAsia="zh-CN"/>
        </w:rPr>
      </w:pPr>
      <w:r>
        <w:rPr>
          <w:rFonts w:hint="eastAsia" w:ascii="宋体" w:hAnsi="宋体" w:cs="宋体"/>
          <w:b/>
          <w:szCs w:val="21"/>
          <w:highlight w:val="yellow"/>
        </w:rPr>
        <w:t>特别注意事项：（1）资料提供不齐全的，不予签到；（2）投标截止时间后不再受理签到；（3）未签到的人员，不能参与现场演示。</w:t>
      </w:r>
      <w:r>
        <w:rPr>
          <w:rFonts w:hint="eastAsia" w:ascii="宋体" w:hAnsi="宋体" w:cs="宋体"/>
          <w:szCs w:val="21"/>
          <w:lang w:val="en-US" w:eastAsia="zh-CN"/>
        </w:rPr>
        <w:br w:type="textWrapping"/>
      </w:r>
      <w:r>
        <w:rPr>
          <w:rFonts w:hint="eastAsia" w:ascii="宋体" w:hAnsi="宋体" w:cs="宋体"/>
          <w:szCs w:val="21"/>
          <w:lang w:val="en-US" w:eastAsia="zh-CN"/>
        </w:rPr>
        <w:t xml:space="preserve">   （三）演示内容：</w:t>
      </w:r>
    </w:p>
    <w:p>
      <w:pPr>
        <w:pStyle w:val="255"/>
        <w:numPr>
          <w:ilvl w:val="-1"/>
          <w:numId w:val="0"/>
        </w:numPr>
        <w:spacing w:before="156" w:line="360" w:lineRule="auto"/>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（1）全年12个月的健康教育创意推广策划方案；</w:t>
      </w:r>
    </w:p>
    <w:p>
      <w:pPr>
        <w:pStyle w:val="255"/>
        <w:numPr>
          <w:ilvl w:val="-1"/>
          <w:numId w:val="0"/>
        </w:numPr>
        <w:spacing w:before="156" w:line="360" w:lineRule="auto"/>
        <w:ind w:firstLine="420" w:firstLineChars="200"/>
        <w:rPr>
          <w:rFonts w:hint="default" w:ascii="宋体" w:hAnsi="宋体" w:eastAsia="宋体" w:cs="宋体"/>
          <w:szCs w:val="21"/>
          <w:lang w:val="en-US" w:eastAsia="zh-CN"/>
        </w:rPr>
      </w:pPr>
      <w:r>
        <w:rPr>
          <w:rFonts w:hint="eastAsia" w:ascii="宋体" w:hAnsi="宋体" w:eastAsia="宋体" w:cs="宋体"/>
          <w:szCs w:val="21"/>
          <w:lang w:val="en-US" w:eastAsia="zh-CN"/>
        </w:rPr>
        <w:t>（2）“健康宁心”微信公众号运营方案。</w:t>
      </w:r>
    </w:p>
    <w:p>
      <w:pPr>
        <w:pStyle w:val="255"/>
        <w:spacing w:before="156" w:line="360" w:lineRule="auto"/>
        <w:ind w:firstLine="0" w:firstLineChars="0"/>
        <w:rPr>
          <w:rFonts w:ascii="宋体" w:hAnsi="宋体" w:cs="宋体"/>
          <w:kern w:val="0"/>
          <w:szCs w:val="21"/>
        </w:rPr>
      </w:pPr>
      <w:r>
        <w:rPr>
          <w:szCs w:val="21"/>
        </w:rPr>
        <w:br w:type="page"/>
      </w:r>
    </w:p>
    <w:p>
      <w:pPr>
        <w:pStyle w:val="456"/>
        <w:spacing w:before="0" w:beforeAutospacing="0" w:after="0" w:afterAutospacing="0" w:line="360" w:lineRule="auto"/>
        <w:rPr>
          <w:sz w:val="21"/>
          <w:szCs w:val="21"/>
        </w:rPr>
      </w:pPr>
    </w:p>
    <w:p>
      <w:pPr>
        <w:pStyle w:val="3"/>
      </w:pPr>
      <w:bookmarkStart w:id="2" w:name="_Toc110410361"/>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Pr>
        <w:widowControl/>
        <w:jc w:val="left"/>
      </w:pPr>
      <w:r>
        <w:br w:type="page"/>
      </w:r>
    </w:p>
    <w:p/>
    <w:p>
      <w:pPr>
        <w:pStyle w:val="3"/>
        <w:spacing w:after="0"/>
      </w:pPr>
      <w:bookmarkStart w:id="3" w:name="_Toc110410362"/>
      <w:r>
        <w:rPr>
          <w:rFonts w:hint="eastAsia"/>
        </w:rPr>
        <w:t>第四章  评标方法和标准</w:t>
      </w:r>
      <w:bookmarkEnd w:id="3"/>
    </w:p>
    <w:p/>
    <w:p>
      <w:pPr>
        <w:pStyle w:val="4"/>
        <w:spacing w:before="0" w:after="0"/>
      </w:pPr>
      <w:bookmarkStart w:id="4" w:name="_Toc44691393"/>
      <w:bookmarkStart w:id="5" w:name="_Toc44691161"/>
      <w:bookmarkStart w:id="6" w:name="_Toc44690429"/>
      <w:bookmarkStart w:id="7" w:name="_Toc110410363"/>
      <w:bookmarkStart w:id="8" w:name="_Toc44690702"/>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9" w:name="_Toc110410364"/>
      <w:r>
        <w:rPr>
          <w:rFonts w:hint="eastAsia"/>
        </w:rPr>
        <w:t>二、评标标准</w:t>
      </w:r>
      <w:bookmarkEnd w:id="9"/>
    </w:p>
    <w:p>
      <w:pPr>
        <w:spacing w:line="360" w:lineRule="auto"/>
        <w:ind w:firstLine="424" w:firstLineChars="202"/>
        <w:rPr>
          <w:rFonts w:hint="eastAsia"/>
          <w:snapToGrid w:val="0"/>
          <w:kern w:val="0"/>
        </w:rPr>
      </w:pPr>
      <w:r>
        <w:rPr>
          <w:rFonts w:hint="eastAsia"/>
          <w:snapToGrid w:val="0"/>
          <w:kern w:val="0"/>
        </w:rPr>
        <w:t>评标委员会按照以下量化的评审因素，对各投标文件进行分析和比较：</w:t>
      </w:r>
      <w:bookmarkStart w:id="10" w:name="_Toc44690430"/>
      <w:bookmarkStart w:id="11" w:name="_Toc44691162"/>
      <w:bookmarkStart w:id="12" w:name="_Toc110410365"/>
      <w:bookmarkStart w:id="13" w:name="_Toc44691394"/>
      <w:bookmarkStart w:id="14" w:name="_Toc44690703"/>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auto"/>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auto"/>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auto"/>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auto"/>
              <w:jc w:val="center"/>
              <w:rPr>
                <w:rFonts w:ascii="宋体" w:hAnsi="宋体" w:cs="仿宋"/>
                <w:b/>
                <w:szCs w:val="21"/>
                <w:highlight w:val="yellow"/>
              </w:rPr>
            </w:pPr>
            <w:r>
              <w:rPr>
                <w:rFonts w:hint="eastAsia" w:ascii="宋体" w:hAnsi="宋体" w:cs="仿宋"/>
                <w:b/>
                <w:szCs w:val="21"/>
                <w:highlight w:val="none"/>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auto"/>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auto"/>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×权重</w:t>
            </w:r>
          </w:p>
          <w:p>
            <w:pPr>
              <w:pStyle w:val="45"/>
              <w:spacing w:before="0" w:beforeAutospacing="0" w:after="0" w:afterAutospacing="0" w:line="360" w:lineRule="auto"/>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auto"/>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auto"/>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auto"/>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政府采购扶持政策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auto"/>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auto"/>
              <w:jc w:val="center"/>
              <w:rPr>
                <w:rFonts w:ascii="宋体" w:hAnsi="宋体" w:cs="仿宋"/>
                <w:b/>
                <w:szCs w:val="21"/>
              </w:rPr>
            </w:pPr>
            <w:r>
              <w:rPr>
                <w:rFonts w:hint="eastAsia" w:ascii="宋体" w:hAnsi="宋体" w:cs="仿宋"/>
                <w:b/>
                <w:szCs w:val="21"/>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70" w:hRule="atLeast"/>
          <w:jc w:val="center"/>
        </w:trPr>
        <w:tc>
          <w:tcPr>
            <w:tcW w:w="754"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auto"/>
              <w:jc w:val="center"/>
              <w:rPr>
                <w:rFonts w:ascii="宋体" w:hAnsi="宋体"/>
                <w:kern w:val="0"/>
                <w:szCs w:val="21"/>
              </w:rPr>
            </w:pPr>
            <w:r>
              <w:rPr>
                <w:rFonts w:hint="eastAsia" w:ascii="宋体" w:hAnsi="宋体" w:cs="宋体"/>
                <w:kern w:val="0"/>
                <w:szCs w:val="21"/>
              </w:rPr>
              <w:t>实施方案</w:t>
            </w:r>
          </w:p>
        </w:tc>
        <w:tc>
          <w:tcPr>
            <w:tcW w:w="709" w:type="dxa"/>
            <w:vAlign w:val="center"/>
          </w:tcPr>
          <w:p>
            <w:pPr>
              <w:widowControl/>
              <w:spacing w:line="360" w:lineRule="auto"/>
              <w:jc w:val="center"/>
              <w:rPr>
                <w:rFonts w:ascii="宋体" w:hAnsi="宋体"/>
                <w:kern w:val="0"/>
                <w:szCs w:val="21"/>
              </w:rPr>
            </w:pPr>
            <w:r>
              <w:rPr>
                <w:rFonts w:hint="eastAsia" w:ascii="宋体" w:hAnsi="宋体" w:cs="宋体"/>
                <w:szCs w:val="21"/>
              </w:rPr>
              <w:t>10</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（一）评分内容：</w:t>
            </w:r>
          </w:p>
          <w:p>
            <w:pPr>
              <w:pStyle w:val="94"/>
              <w:spacing w:line="360" w:lineRule="auto"/>
              <w:ind w:firstLine="0" w:firstLineChars="0"/>
              <w:rPr>
                <w:rFonts w:asciiTheme="minorEastAsia" w:hAnsiTheme="minorEastAsia" w:eastAsiaTheme="minorEastAsia"/>
                <w:kern w:val="0"/>
                <w:szCs w:val="21"/>
              </w:rPr>
            </w:pPr>
            <w:r>
              <w:rPr>
                <w:rFonts w:hint="eastAsia" w:asciiTheme="minorEastAsia" w:hAnsiTheme="minorEastAsia" w:eastAsiaTheme="minorEastAsia"/>
                <w:kern w:val="0"/>
                <w:szCs w:val="21"/>
              </w:rPr>
              <w:t>考察投标人提供的项目实施方案内容，主要包括：</w:t>
            </w:r>
          </w:p>
          <w:p>
            <w:pPr>
              <w:pStyle w:val="94"/>
              <w:spacing w:line="360" w:lineRule="auto"/>
              <w:ind w:firstLine="0" w:firstLineChars="0"/>
              <w:rPr>
                <w:rFonts w:asciiTheme="minorEastAsia" w:hAnsiTheme="minorEastAsia" w:eastAsiaTheme="minorEastAsia"/>
                <w:kern w:val="0"/>
                <w:szCs w:val="21"/>
              </w:rPr>
            </w:pPr>
            <w:r>
              <w:rPr>
                <w:rFonts w:hint="eastAsia" w:asciiTheme="minorEastAsia" w:hAnsiTheme="minorEastAsia" w:eastAsiaTheme="minorEastAsia"/>
                <w:kern w:val="0"/>
                <w:szCs w:val="21"/>
              </w:rPr>
              <w:t>1、对</w:t>
            </w:r>
            <w:r>
              <w:rPr>
                <w:rFonts w:hint="eastAsia" w:cs="宋体" w:asciiTheme="minorEastAsia" w:hAnsiTheme="minorEastAsia" w:eastAsiaTheme="minorEastAsia"/>
                <w:szCs w:val="21"/>
              </w:rPr>
              <w:t>项目服务需求的理解</w:t>
            </w:r>
            <w:r>
              <w:rPr>
                <w:rFonts w:hint="eastAsia" w:asciiTheme="minorEastAsia" w:hAnsiTheme="minorEastAsia" w:eastAsiaTheme="minorEastAsia"/>
                <w:kern w:val="0"/>
                <w:szCs w:val="21"/>
              </w:rPr>
              <w:t>；</w:t>
            </w:r>
          </w:p>
          <w:p>
            <w:pPr>
              <w:pStyle w:val="94"/>
              <w:spacing w:line="360" w:lineRule="auto"/>
              <w:ind w:firstLine="0" w:firstLineChars="0"/>
              <w:rPr>
                <w:rFonts w:asciiTheme="minorEastAsia" w:hAnsiTheme="minorEastAsia" w:eastAsiaTheme="minorEastAsia"/>
                <w:kern w:val="0"/>
                <w:szCs w:val="21"/>
              </w:rPr>
            </w:pPr>
            <w:r>
              <w:rPr>
                <w:rFonts w:hint="eastAsia" w:asciiTheme="minorEastAsia" w:hAnsiTheme="minorEastAsia" w:eastAsiaTheme="minorEastAsia"/>
                <w:kern w:val="0"/>
                <w:szCs w:val="21"/>
              </w:rPr>
              <w:t>2、全年12个月的健康教育创意推广策划方案；</w:t>
            </w:r>
          </w:p>
          <w:p>
            <w:pPr>
              <w:pStyle w:val="94"/>
              <w:spacing w:line="360" w:lineRule="auto"/>
              <w:ind w:firstLine="0" w:firstLineChars="0"/>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宋体" w:hAnsi="宋体" w:cs="宋体"/>
              </w:rPr>
              <w:t>“健康宁心”微信公众号运营方案</w:t>
            </w:r>
            <w:r>
              <w:rPr>
                <w:rFonts w:hint="eastAsia" w:asciiTheme="minorEastAsia" w:hAnsiTheme="minorEastAsia" w:eastAsiaTheme="minorEastAsia"/>
                <w:kern w:val="0"/>
                <w:szCs w:val="21"/>
              </w:rPr>
              <w:t>。</w:t>
            </w:r>
          </w:p>
          <w:p>
            <w:pPr>
              <w:pStyle w:val="94"/>
              <w:spacing w:line="360" w:lineRule="auto"/>
              <w:ind w:firstLine="0" w:firstLineChars="0"/>
              <w:rPr>
                <w:rFonts w:ascii="宋体" w:hAnsi="宋体"/>
                <w:kern w:val="0"/>
                <w:szCs w:val="21"/>
              </w:rPr>
            </w:pPr>
            <w:r>
              <w:rPr>
                <w:rFonts w:hint="eastAsia" w:ascii="宋体" w:hAnsi="宋体"/>
                <w:kern w:val="0"/>
                <w:szCs w:val="21"/>
              </w:rPr>
              <w:t>（二）评分标准：</w:t>
            </w:r>
          </w:p>
          <w:p>
            <w:pPr>
              <w:pStyle w:val="94"/>
              <w:spacing w:line="360" w:lineRule="auto"/>
              <w:ind w:firstLine="0" w:firstLineChars="0"/>
              <w:rPr>
                <w:rFonts w:asciiTheme="minorEastAsia" w:hAnsiTheme="minorEastAsia" w:eastAsiaTheme="minorEastAsia"/>
                <w:szCs w:val="21"/>
              </w:rPr>
            </w:pPr>
            <w:r>
              <w:rPr>
                <w:rFonts w:hint="eastAsia" w:ascii="宋体" w:hAnsi="宋体" w:cs="宋体"/>
              </w:rPr>
              <w:t>（1）投标人针对实施方案进行现场宣讲，介绍时间不超过5分钟，进行PPT演示介绍及回答评委提问，</w:t>
            </w:r>
            <w:r>
              <w:rPr>
                <w:rFonts w:hint="eastAsia" w:asciiTheme="minorEastAsia" w:hAnsiTheme="minorEastAsia" w:eastAsiaTheme="minorEastAsia"/>
                <w:szCs w:val="21"/>
              </w:rPr>
              <w:t>实施方案包含以上三项内容得5分；包含以上二项内容得3分；包含以上一项内容得1分；其他情况不得分。</w:t>
            </w:r>
          </w:p>
          <w:p>
            <w:pPr>
              <w:pStyle w:val="94"/>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（2）在此基础上，根据方案响应情况进一步评审：</w:t>
            </w:r>
          </w:p>
          <w:p>
            <w:pPr>
              <w:pStyle w:val="94"/>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1.方案内容全面、具体，可行性高，加5分；</w:t>
            </w:r>
          </w:p>
          <w:p>
            <w:pPr>
              <w:pStyle w:val="94"/>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2.方案内容较全面，可行性较高，加3分；</w:t>
            </w:r>
          </w:p>
          <w:p>
            <w:pPr>
              <w:pStyle w:val="94"/>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3.方案全面性、可行性一般，加1分；</w:t>
            </w:r>
          </w:p>
          <w:p>
            <w:pPr>
              <w:pStyle w:val="94"/>
              <w:spacing w:line="360" w:lineRule="auto"/>
              <w:ind w:firstLine="0" w:firstLineChars="0"/>
              <w:rPr>
                <w:rFonts w:asciiTheme="minorEastAsia" w:hAnsiTheme="minorEastAsia"/>
                <w:szCs w:val="21"/>
              </w:rPr>
            </w:pPr>
            <w:r>
              <w:rPr>
                <w:rFonts w:hint="eastAsia" w:asciiTheme="minorEastAsia" w:hAnsiTheme="minorEastAsia" w:eastAsiaTheme="minorEastAsia"/>
                <w:szCs w:val="21"/>
              </w:rPr>
              <w:t>4.方案不全，可行性低，不加分。</w:t>
            </w:r>
          </w:p>
        </w:tc>
        <w:tc>
          <w:tcPr>
            <w:tcW w:w="1187"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54" w:hRule="atLeast"/>
          <w:jc w:val="center"/>
        </w:trPr>
        <w:tc>
          <w:tcPr>
            <w:tcW w:w="754"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2</w:t>
            </w:r>
          </w:p>
        </w:tc>
        <w:tc>
          <w:tcPr>
            <w:tcW w:w="1143" w:type="dxa"/>
            <w:vAlign w:val="center"/>
          </w:tcPr>
          <w:p>
            <w:pPr>
              <w:widowControl/>
              <w:spacing w:line="360" w:lineRule="auto"/>
              <w:jc w:val="center"/>
              <w:rPr>
                <w:rFonts w:ascii="宋体" w:hAnsi="宋体" w:cs="宋体"/>
                <w:kern w:val="0"/>
                <w:szCs w:val="21"/>
              </w:rPr>
            </w:pPr>
            <w:r>
              <w:rPr>
                <w:rFonts w:hint="eastAsia" w:ascii="宋体" w:hAnsi="宋体" w:cs="宋体"/>
                <w:color w:val="000000"/>
                <w:kern w:val="0"/>
                <w:szCs w:val="21"/>
              </w:rPr>
              <w:t>应急方案</w:t>
            </w:r>
          </w:p>
        </w:tc>
        <w:tc>
          <w:tcPr>
            <w:tcW w:w="709" w:type="dxa"/>
            <w:vAlign w:val="center"/>
          </w:tcPr>
          <w:p>
            <w:pPr>
              <w:widowControl/>
              <w:spacing w:line="360" w:lineRule="auto"/>
              <w:jc w:val="center"/>
              <w:rPr>
                <w:rFonts w:ascii="宋体" w:hAnsi="宋体" w:cs="宋体"/>
                <w:szCs w:val="21"/>
              </w:rPr>
            </w:pPr>
            <w:r>
              <w:rPr>
                <w:rFonts w:hint="eastAsia" w:ascii="宋体" w:hAnsi="宋体" w:cs="宋体"/>
                <w:szCs w:val="21"/>
              </w:rPr>
              <w:t>5</w:t>
            </w:r>
          </w:p>
        </w:tc>
        <w:tc>
          <w:tcPr>
            <w:tcW w:w="5953" w:type="dxa"/>
            <w:vAlign w:val="center"/>
          </w:tcPr>
          <w:p>
            <w:pPr>
              <w:widowControl/>
              <w:spacing w:line="440" w:lineRule="exact"/>
              <w:jc w:val="left"/>
              <w:textAlignment w:val="center"/>
              <w:rPr>
                <w:rFonts w:ascii="宋体" w:hAnsi="宋体" w:cs="宋体"/>
                <w:color w:val="000000"/>
                <w:kern w:val="0"/>
                <w:szCs w:val="21"/>
              </w:rPr>
            </w:pPr>
            <w:r>
              <w:rPr>
                <w:rFonts w:hint="eastAsia" w:ascii="宋体" w:hAnsi="宋体" w:cs="宋体"/>
                <w:color w:val="000000"/>
                <w:kern w:val="0"/>
                <w:szCs w:val="21"/>
              </w:rPr>
              <w:t>评分内容：</w:t>
            </w:r>
            <w:r>
              <w:rPr>
                <w:rFonts w:hint="eastAsia" w:ascii="宋体" w:hAnsi="宋体" w:cs="宋体"/>
                <w:color w:val="000000"/>
                <w:kern w:val="0"/>
                <w:szCs w:val="21"/>
              </w:rPr>
              <w:br w:type="textWrapping"/>
            </w:r>
            <w:r>
              <w:rPr>
                <w:rFonts w:hint="eastAsia" w:ascii="宋体" w:hAnsi="宋体" w:cs="宋体"/>
                <w:color w:val="000000"/>
                <w:kern w:val="0"/>
                <w:szCs w:val="21"/>
              </w:rPr>
              <w:t>投标人根据本项目需求制定质量应急方案，方案内容包括以下内容：</w:t>
            </w:r>
            <w:r>
              <w:rPr>
                <w:rFonts w:hint="eastAsia" w:ascii="宋体" w:hAnsi="宋体" w:cs="宋体"/>
                <w:color w:val="000000"/>
                <w:kern w:val="0"/>
                <w:szCs w:val="21"/>
              </w:rPr>
              <w:br w:type="textWrapping"/>
            </w:r>
            <w:r>
              <w:rPr>
                <w:rFonts w:hint="eastAsia" w:ascii="宋体" w:hAnsi="宋体" w:cs="宋体"/>
                <w:color w:val="000000"/>
                <w:kern w:val="0"/>
                <w:szCs w:val="21"/>
              </w:rPr>
              <w:t>1、提供的服务达不到项目预期目标的预案；</w:t>
            </w:r>
            <w:r>
              <w:rPr>
                <w:rFonts w:hint="eastAsia" w:ascii="宋体" w:hAnsi="宋体" w:cs="宋体"/>
                <w:color w:val="000000"/>
                <w:kern w:val="0"/>
                <w:szCs w:val="21"/>
              </w:rPr>
              <w:br w:type="textWrapping"/>
            </w:r>
            <w:r>
              <w:rPr>
                <w:rFonts w:hint="eastAsia" w:ascii="宋体" w:hAnsi="宋体" w:cs="宋体"/>
                <w:color w:val="000000"/>
                <w:kern w:val="0"/>
                <w:szCs w:val="21"/>
              </w:rPr>
              <w:t>2、对各类舆情的应对方案；</w:t>
            </w:r>
            <w:r>
              <w:rPr>
                <w:rFonts w:hint="eastAsia" w:ascii="宋体" w:hAnsi="宋体" w:cs="宋体"/>
                <w:color w:val="000000"/>
                <w:kern w:val="0"/>
                <w:szCs w:val="21"/>
              </w:rPr>
              <w:br w:type="textWrapping"/>
            </w:r>
            <w:r>
              <w:rPr>
                <w:rFonts w:hint="eastAsia" w:ascii="宋体" w:hAnsi="宋体" w:cs="宋体"/>
                <w:color w:val="000000"/>
                <w:kern w:val="0"/>
                <w:szCs w:val="21"/>
              </w:rPr>
              <w:t>3、其他可行性建议；</w:t>
            </w:r>
            <w:r>
              <w:rPr>
                <w:rFonts w:hint="eastAsia" w:ascii="宋体" w:hAnsi="宋体" w:cs="宋体"/>
                <w:color w:val="000000"/>
                <w:kern w:val="0"/>
                <w:szCs w:val="21"/>
              </w:rPr>
              <w:br w:type="textWrapping"/>
            </w:r>
            <w:r>
              <w:rPr>
                <w:rFonts w:hint="eastAsia" w:ascii="宋体" w:hAnsi="宋体" w:cs="宋体"/>
                <w:color w:val="000000"/>
                <w:kern w:val="0"/>
                <w:szCs w:val="21"/>
              </w:rPr>
              <w:t>评审标准：</w:t>
            </w:r>
            <w:r>
              <w:rPr>
                <w:rFonts w:hint="eastAsia" w:ascii="宋体" w:hAnsi="宋体" w:cs="宋体"/>
                <w:color w:val="000000"/>
                <w:kern w:val="0"/>
                <w:szCs w:val="21"/>
              </w:rPr>
              <w:br w:type="textWrapping"/>
            </w:r>
            <w:r>
              <w:rPr>
                <w:rFonts w:hint="eastAsia" w:ascii="宋体" w:hAnsi="宋体" w:cs="宋体"/>
                <w:color w:val="000000"/>
                <w:kern w:val="0"/>
                <w:szCs w:val="21"/>
              </w:rPr>
              <w:t>方案包含以上任意三项得1.5分，包含以上任意二项得1分，包含以上任意一项得0.5分，其他情况不得分。在此基础上，专家根据各供应商的具体响应内容进一步评审：</w:t>
            </w:r>
            <w:r>
              <w:rPr>
                <w:rFonts w:hint="eastAsia" w:ascii="宋体" w:hAnsi="宋体" w:cs="宋体"/>
                <w:color w:val="000000"/>
                <w:kern w:val="0"/>
                <w:szCs w:val="21"/>
              </w:rPr>
              <w:br w:type="textWrapping"/>
            </w:r>
            <w:r>
              <w:rPr>
                <w:rFonts w:hint="eastAsia" w:ascii="宋体" w:hAnsi="宋体" w:cs="宋体"/>
                <w:color w:val="000000"/>
                <w:kern w:val="0"/>
                <w:szCs w:val="21"/>
              </w:rPr>
              <w:t>方案内容全面、具体，可行性高，加3.5分；</w:t>
            </w:r>
          </w:p>
          <w:p>
            <w:pPr>
              <w:widowControl/>
              <w:spacing w:line="440" w:lineRule="exact"/>
              <w:jc w:val="left"/>
              <w:textAlignment w:val="center"/>
              <w:rPr>
                <w:rFonts w:ascii="宋体" w:hAnsi="宋体" w:cs="宋体"/>
                <w:color w:val="000000"/>
                <w:kern w:val="0"/>
                <w:szCs w:val="21"/>
              </w:rPr>
            </w:pPr>
            <w:r>
              <w:rPr>
                <w:rFonts w:hint="eastAsia" w:ascii="宋体" w:hAnsi="宋体" w:cs="宋体"/>
                <w:color w:val="000000"/>
                <w:kern w:val="0"/>
                <w:szCs w:val="21"/>
              </w:rPr>
              <w:t>方案内容较全面，可行性较高，加2分；</w:t>
            </w:r>
          </w:p>
          <w:p>
            <w:pPr>
              <w:widowControl/>
              <w:spacing w:line="440" w:lineRule="exact"/>
              <w:jc w:val="left"/>
              <w:textAlignment w:val="center"/>
              <w:rPr>
                <w:rFonts w:ascii="宋体" w:hAnsi="宋体" w:cs="宋体"/>
                <w:color w:val="000000"/>
                <w:kern w:val="0"/>
                <w:szCs w:val="21"/>
              </w:rPr>
            </w:pPr>
            <w:r>
              <w:rPr>
                <w:rFonts w:hint="eastAsia" w:ascii="宋体" w:hAnsi="宋体" w:cs="宋体"/>
                <w:color w:val="000000"/>
                <w:kern w:val="0"/>
                <w:szCs w:val="21"/>
              </w:rPr>
              <w:t>方案全面性、可行性一般，加0.5分；</w:t>
            </w:r>
          </w:p>
          <w:p>
            <w:pPr>
              <w:pStyle w:val="94"/>
              <w:spacing w:line="360" w:lineRule="auto"/>
              <w:ind w:firstLine="0" w:firstLineChars="0"/>
              <w:rPr>
                <w:rFonts w:asciiTheme="minorEastAsia" w:hAnsiTheme="minorEastAsia" w:eastAsiaTheme="minorEastAsia"/>
                <w:szCs w:val="21"/>
              </w:rPr>
            </w:pPr>
            <w:r>
              <w:rPr>
                <w:rFonts w:hint="eastAsia" w:ascii="宋体" w:hAnsi="宋体" w:cs="宋体"/>
                <w:color w:val="000000"/>
                <w:kern w:val="0"/>
                <w:szCs w:val="21"/>
              </w:rPr>
              <w:t>方案不全，可行性低，不加分。</w:t>
            </w:r>
          </w:p>
        </w:tc>
        <w:tc>
          <w:tcPr>
            <w:tcW w:w="1187" w:type="dxa"/>
            <w:vAlign w:val="center"/>
          </w:tcPr>
          <w:p>
            <w:pPr>
              <w:autoSpaceDE w:val="0"/>
              <w:autoSpaceDN w:val="0"/>
              <w:adjustRightInd w:val="0"/>
              <w:spacing w:line="360" w:lineRule="auto"/>
              <w:jc w:val="center"/>
              <w:rPr>
                <w:rFonts w:ascii="宋体" w:hAnsi="宋体"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21" w:hRule="atLeast"/>
          <w:jc w:val="center"/>
        </w:trPr>
        <w:tc>
          <w:tcPr>
            <w:tcW w:w="754" w:type="dxa"/>
            <w:vAlign w:val="center"/>
          </w:tcPr>
          <w:p>
            <w:pPr>
              <w:widowControl/>
              <w:snapToGrid w:val="0"/>
              <w:spacing w:line="360" w:lineRule="auto"/>
              <w:jc w:val="center"/>
              <w:rPr>
                <w:rFonts w:ascii="宋体" w:hAnsi="宋体"/>
                <w:kern w:val="0"/>
                <w:szCs w:val="21"/>
              </w:rPr>
            </w:pPr>
            <w:r>
              <w:rPr>
                <w:rFonts w:hint="eastAsia" w:ascii="宋体" w:hAnsi="宋体"/>
                <w:kern w:val="0"/>
                <w:szCs w:val="21"/>
              </w:rPr>
              <w:t>2</w:t>
            </w:r>
          </w:p>
        </w:tc>
        <w:tc>
          <w:tcPr>
            <w:tcW w:w="1143" w:type="dxa"/>
            <w:vAlign w:val="center"/>
          </w:tcPr>
          <w:p>
            <w:pPr>
              <w:widowControl/>
              <w:spacing w:line="360" w:lineRule="auto"/>
              <w:jc w:val="center"/>
              <w:rPr>
                <w:rFonts w:ascii="宋体" w:hAnsi="宋体" w:cs="宋体"/>
                <w:szCs w:val="21"/>
              </w:rPr>
            </w:pPr>
            <w:r>
              <w:rPr>
                <w:rFonts w:hint="eastAsia" w:ascii="宋体" w:hAnsi="宋体" w:cs="宋体"/>
                <w:szCs w:val="21"/>
              </w:rPr>
              <w:t>项目团队</w:t>
            </w:r>
          </w:p>
        </w:tc>
        <w:tc>
          <w:tcPr>
            <w:tcW w:w="70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10</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（一）评分内容：</w:t>
            </w:r>
          </w:p>
          <w:p>
            <w:pPr>
              <w:pStyle w:val="94"/>
              <w:spacing w:line="360" w:lineRule="auto"/>
              <w:ind w:firstLine="0" w:firstLineChars="0"/>
              <w:rPr>
                <w:rFonts w:ascii="宋体" w:hAnsi="宋体"/>
                <w:szCs w:val="21"/>
              </w:rPr>
            </w:pPr>
            <w:r>
              <w:rPr>
                <w:rFonts w:hint="eastAsia" w:ascii="宋体" w:hAnsi="宋体"/>
                <w:szCs w:val="21"/>
              </w:rPr>
              <w:t>拟安排的项目团队成员需为投标人</w:t>
            </w:r>
            <w:r>
              <w:rPr>
                <w:rFonts w:hint="eastAsia" w:ascii="宋体" w:hAnsi="宋体"/>
                <w:color w:val="000000" w:themeColor="text1"/>
                <w:szCs w:val="21"/>
                <w14:textFill>
                  <w14:solidFill>
                    <w14:schemeClr w14:val="tx1"/>
                  </w14:solidFill>
                </w14:textFill>
              </w:rPr>
              <w:t>正式聘任</w:t>
            </w:r>
            <w:r>
              <w:rPr>
                <w:rFonts w:hint="eastAsia" w:ascii="宋体" w:hAnsi="宋体"/>
                <w:szCs w:val="21"/>
              </w:rPr>
              <w:t>员工，否则本项不得分。在此基础上，按以下标准评分：</w:t>
            </w:r>
          </w:p>
          <w:p>
            <w:pPr>
              <w:spacing w:line="360" w:lineRule="auto"/>
              <w:rPr>
                <w:rFonts w:ascii="宋体" w:hAnsi="宋体" w:cs="宋体"/>
                <w:szCs w:val="21"/>
              </w:rPr>
            </w:pPr>
            <w:r>
              <w:rPr>
                <w:rFonts w:hint="eastAsia" w:ascii="宋体" w:hAnsi="宋体" w:cs="宋体"/>
                <w:szCs w:val="21"/>
              </w:rPr>
              <w:t>1.项目团队成员中至少有项目负责人1人，文案编辑1人，资深策划1人，平面设计1人，技术支持1人，满足得2分，不满足或未提供不得分；</w:t>
            </w:r>
          </w:p>
          <w:p>
            <w:pPr>
              <w:spacing w:line="360" w:lineRule="auto"/>
              <w:rPr>
                <w:rFonts w:ascii="宋体" w:hAnsi="宋体" w:cs="宋体"/>
                <w:szCs w:val="21"/>
              </w:rPr>
            </w:pPr>
            <w:r>
              <w:rPr>
                <w:rFonts w:hint="eastAsia" w:ascii="宋体" w:hAnsi="宋体" w:cs="宋体"/>
                <w:szCs w:val="21"/>
              </w:rPr>
              <w:t>2.项目团队成员中，每具有一个本科及以上学历的，得1分，本项满分5分；</w:t>
            </w:r>
          </w:p>
          <w:p>
            <w:pPr>
              <w:spacing w:line="360" w:lineRule="auto"/>
              <w:rPr>
                <w:rFonts w:ascii="宋体" w:hAnsi="宋体"/>
                <w:szCs w:val="21"/>
              </w:rPr>
            </w:pPr>
            <w:r>
              <w:rPr>
                <w:rFonts w:hint="eastAsia" w:ascii="宋体" w:hAnsi="宋体" w:cs="宋体"/>
                <w:szCs w:val="21"/>
              </w:rPr>
              <w:t>3.项目团队成员中，具有同类项目工作经验的，每提供1人得1分，本项满分3分。</w:t>
            </w:r>
          </w:p>
          <w:p>
            <w:pPr>
              <w:autoSpaceDE w:val="0"/>
              <w:autoSpaceDN w:val="0"/>
              <w:adjustRightInd w:val="0"/>
              <w:spacing w:line="360" w:lineRule="auto"/>
              <w:rPr>
                <w:rFonts w:ascii="宋体" w:hAnsi="宋体"/>
                <w:kern w:val="0"/>
                <w:szCs w:val="21"/>
              </w:rPr>
            </w:pPr>
            <w:r>
              <w:rPr>
                <w:rFonts w:hint="eastAsia" w:ascii="宋体" w:hAnsi="宋体"/>
                <w:kern w:val="0"/>
                <w:szCs w:val="21"/>
              </w:rPr>
              <w:t>（二）评分依据：</w:t>
            </w:r>
          </w:p>
          <w:p>
            <w:pPr>
              <w:pStyle w:val="94"/>
              <w:spacing w:line="360" w:lineRule="auto"/>
              <w:ind w:firstLine="0" w:firstLineChars="0"/>
              <w:rPr>
                <w:rFonts w:ascii="宋体" w:hAnsi="宋体"/>
                <w:szCs w:val="21"/>
              </w:rPr>
            </w:pPr>
            <w:r>
              <w:rPr>
                <w:rFonts w:hint="eastAsia" w:ascii="宋体" w:hAnsi="宋体"/>
                <w:szCs w:val="21"/>
              </w:rPr>
              <w:t>1.提供项目团队成员通过投标单位缴纳的载有社保部门公章的近三个月内任意一个月的个人社保证明，如供应商为新成立单位且成立时间不足一个月的，可提供加盖公章的情况说明。如为退休返聘人员则提供劳动合同或返聘协议；</w:t>
            </w:r>
          </w:p>
          <w:p>
            <w:pPr>
              <w:pStyle w:val="94"/>
              <w:spacing w:line="360" w:lineRule="auto"/>
              <w:ind w:firstLine="0" w:firstLineChars="0"/>
              <w:rPr>
                <w:rFonts w:ascii="宋体" w:hAnsi="宋体"/>
                <w:szCs w:val="21"/>
              </w:rPr>
            </w:pPr>
            <w:r>
              <w:rPr>
                <w:rFonts w:hint="eastAsia" w:ascii="宋体" w:hAnsi="宋体"/>
                <w:szCs w:val="21"/>
              </w:rPr>
              <w:t>2. 提供上述毕业证书（或学位证书）以及学信网查询记录，对于较早颁发的学历学位证书，学信网无法查询的，还需提供毕业院校或者人社部门或者教育部门出具的证明，否则无效；</w:t>
            </w:r>
          </w:p>
          <w:p>
            <w:pPr>
              <w:pStyle w:val="94"/>
              <w:spacing w:line="360" w:lineRule="auto"/>
              <w:ind w:firstLine="0" w:firstLineChars="0"/>
              <w:rPr>
                <w:rFonts w:ascii="宋体" w:hAnsi="宋体"/>
                <w:szCs w:val="21"/>
              </w:rPr>
            </w:pPr>
            <w:r>
              <w:rPr>
                <w:rFonts w:hint="eastAsia" w:ascii="宋体" w:hAnsi="宋体"/>
                <w:szCs w:val="21"/>
              </w:rPr>
              <w:t>3.提供工作经验证明（以项目合同关键页作为评分依据，通过合同关键页无法判断是否得分的，还需同时提供合同甲方出具的证明文件）；</w:t>
            </w:r>
          </w:p>
          <w:p>
            <w:pPr>
              <w:pStyle w:val="94"/>
              <w:spacing w:line="360" w:lineRule="auto"/>
              <w:ind w:firstLine="0" w:firstLineChars="0"/>
              <w:rPr>
                <w:rFonts w:ascii="宋体" w:hAnsi="宋体"/>
                <w:szCs w:val="21"/>
              </w:rPr>
            </w:pPr>
            <w:r>
              <w:rPr>
                <w:rFonts w:hint="eastAsia" w:ascii="宋体" w:hAnsi="宋体"/>
                <w:szCs w:val="21"/>
              </w:rPr>
              <w:t>4.以上证明文件均提供复印件或扫描件</w:t>
            </w:r>
            <w:r>
              <w:rPr>
                <w:rFonts w:hint="eastAsia" w:ascii="宋体" w:hAnsi="宋体" w:cs="宋体"/>
                <w:szCs w:val="21"/>
              </w:rPr>
              <w:t>（或官方网站截图）</w:t>
            </w:r>
            <w:r>
              <w:rPr>
                <w:rFonts w:hint="eastAsia" w:ascii="宋体" w:hAnsi="宋体"/>
                <w:szCs w:val="21"/>
              </w:rPr>
              <w:t>加盖投标人公章，原件备查。未按要求提供有效证明材料或提供不清晰导致评委无法识别的不计得分。</w:t>
            </w:r>
          </w:p>
        </w:tc>
        <w:tc>
          <w:tcPr>
            <w:tcW w:w="1187" w:type="dxa"/>
            <w:vAlign w:val="center"/>
          </w:tcPr>
          <w:p>
            <w:pPr>
              <w:spacing w:line="360" w:lineRule="auto"/>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auto"/>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auto"/>
              <w:jc w:val="center"/>
              <w:rPr>
                <w:rFonts w:ascii="宋体" w:hAnsi="宋体" w:cs="仿宋"/>
                <w:b/>
                <w:szCs w:val="21"/>
              </w:rPr>
            </w:pPr>
            <w:r>
              <w:rPr>
                <w:rFonts w:hint="eastAsia" w:ascii="宋体" w:hAnsi="宋体" w:cs="仿宋"/>
                <w:b/>
                <w:szCs w:val="21"/>
              </w:rPr>
              <w:t>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autoSpaceDE w:val="0"/>
              <w:autoSpaceDN w:val="0"/>
              <w:adjustRightInd w:val="0"/>
              <w:spacing w:line="360" w:lineRule="auto"/>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spacing w:line="360" w:lineRule="auto"/>
              <w:jc w:val="center"/>
              <w:rPr>
                <w:rFonts w:ascii="宋体" w:hAnsi="宋体"/>
                <w:kern w:val="0"/>
                <w:szCs w:val="21"/>
              </w:rPr>
            </w:pPr>
            <w:r>
              <w:rPr>
                <w:rFonts w:hint="eastAsia" w:ascii="宋体" w:hAnsi="宋体" w:cs="宋体"/>
                <w:szCs w:val="21"/>
              </w:rPr>
              <w:t>自行运营的微信公众号情况</w:t>
            </w:r>
          </w:p>
        </w:tc>
        <w:tc>
          <w:tcPr>
            <w:tcW w:w="709" w:type="dxa"/>
            <w:vAlign w:val="center"/>
          </w:tcPr>
          <w:p>
            <w:pPr>
              <w:spacing w:line="360" w:lineRule="auto"/>
              <w:jc w:val="center"/>
              <w:rPr>
                <w:rFonts w:ascii="宋体" w:hAnsi="宋体"/>
                <w:kern w:val="0"/>
                <w:szCs w:val="21"/>
              </w:rPr>
            </w:pPr>
            <w:r>
              <w:rPr>
                <w:rFonts w:hint="eastAsia" w:ascii="宋体" w:hAnsi="宋体" w:cs="宋体"/>
                <w:szCs w:val="21"/>
              </w:rPr>
              <w:t>20</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（一）评分内容：</w:t>
            </w:r>
          </w:p>
          <w:p>
            <w:pPr>
              <w:pStyle w:val="94"/>
              <w:spacing w:line="360" w:lineRule="auto"/>
              <w:ind w:firstLine="0" w:firstLineChars="0"/>
              <w:rPr>
                <w:rFonts w:ascii="宋体" w:hAnsi="宋体"/>
                <w:szCs w:val="21"/>
              </w:rPr>
            </w:pPr>
            <w:r>
              <w:rPr>
                <w:rFonts w:hint="eastAsia" w:ascii="宋体" w:hAnsi="宋体"/>
                <w:szCs w:val="21"/>
              </w:rPr>
              <w:t>投标人需具备微信生态体系内的运营推广能力，以提升“健康宁心”公众号粉丝粘性和活跃度。</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1.2019年1月1日至本项目投标截止日，自行运营的微信公众号后台粉丝数截图证明，粉丝量≥200万的，每提供一个公众号得2分；200万＞粉丝量≥180万的，每提供一个公众号得1分；满分3分。</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2.2019年1月1日至本项目投标截止日，自行运营的微信公众号爆款文章（单篇推文阅读量≥10万浏览量）截图证明，每提供一篇得1分，满分3分。</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3.2019年1月1日至本项目投标截止日，代运营推广的微信公众号在合同服务期内的粉丝量≥200万的，每提供一个得2分；200万＞粉丝量≥150万的，每提供一个得1分；满分5分。</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4.2019年1月1日至本项目投标截止日，代运营的微信公众号单篇推文阅读量≥50万的，每提供一篇得2分；单篇推文，50万＞阅读量达到≥10万的，每提供一篇得1分；满分5分。</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rFonts w:hint="eastAsia" w:ascii="宋体" w:hAnsi="宋体"/>
                <w:color w:val="000000" w:themeColor="text1"/>
                <w:kern w:val="0"/>
                <w:szCs w:val="21"/>
                <w14:textFill>
                  <w14:solidFill>
                    <w14:schemeClr w14:val="tx1"/>
                  </w14:solidFill>
                </w14:textFill>
              </w:rPr>
              <w:t>2019年1月1日至本项目投标截止日，</w:t>
            </w:r>
            <w:r>
              <w:rPr>
                <w:rFonts w:hint="eastAsia"/>
                <w:color w:val="000000" w:themeColor="text1"/>
                <w14:textFill>
                  <w14:solidFill>
                    <w14:schemeClr w14:val="tx1"/>
                  </w14:solidFill>
                </w14:textFill>
              </w:rPr>
              <w:t>投标人所负责的同类科普直播，单场在微信视频号观看量≥3万的，每提供一个得2分；3万＞观看量≥2万的，每提供一个得1分；2万＞观看量≥1万的，每提供一个得0.5分；满分4分。</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累加计分，以上合计最高得20分。</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1.</w:t>
            </w:r>
            <w:r>
              <w:rPr>
                <w:rFonts w:hint="eastAsia" w:ascii="宋体" w:hAnsi="宋体" w:cs="宋体"/>
                <w:szCs w:val="21"/>
              </w:rPr>
              <w:t>评分内容1、2需提供相关截图证明并加盖投标人公章作为得分依据</w:t>
            </w:r>
            <w:r>
              <w:rPr>
                <w:rFonts w:hint="eastAsia" w:ascii="宋体" w:hAnsi="宋体"/>
                <w:kern w:val="0"/>
                <w:szCs w:val="21"/>
              </w:rPr>
              <w:t>；</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2.</w:t>
            </w:r>
            <w:r>
              <w:rPr>
                <w:rFonts w:hint="eastAsia" w:ascii="宋体" w:hAnsi="宋体" w:cs="宋体"/>
                <w:szCs w:val="21"/>
              </w:rPr>
              <w:t>评分内容3、4、5需提供合同关键页和相关截图证明并加盖投标人公章作为得分依据，通过证明材料无法判断是否得分的还须同时提供能证明得分的其它证明资料，如项目报告或合同甲方出具的证明文件等</w:t>
            </w:r>
            <w:r>
              <w:rPr>
                <w:rFonts w:hint="eastAsia" w:ascii="宋体" w:hAnsi="宋体" w:cs="仿宋"/>
                <w:szCs w:val="21"/>
                <w:lang w:val="zh-CN"/>
              </w:rPr>
              <w:t>；</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3.</w:t>
            </w:r>
            <w:r>
              <w:rPr>
                <w:rFonts w:hint="eastAsia" w:ascii="宋体" w:hAnsi="宋体"/>
                <w:szCs w:val="21"/>
              </w:rPr>
              <w:t>以上证明文件均</w:t>
            </w:r>
            <w:r>
              <w:rPr>
                <w:rFonts w:hint="eastAsia" w:ascii="宋体" w:hAnsi="宋体"/>
                <w:kern w:val="0"/>
                <w:szCs w:val="21"/>
              </w:rPr>
              <w:t>提供复印件或扫描件（或官方网站截图）加盖投标人公章，原件备查。</w:t>
            </w:r>
            <w:r>
              <w:rPr>
                <w:rFonts w:hint="eastAsia" w:ascii="宋体" w:hAnsi="宋体" w:cs="仿宋"/>
                <w:szCs w:val="21"/>
                <w:lang w:val="zh-CN"/>
              </w:rPr>
              <w:t>对于未提供证明文件，未提供查询记录且无其他证明材料的，或者提供不清晰导致评委无法判断的，均作不得分处理。</w:t>
            </w:r>
          </w:p>
        </w:tc>
        <w:tc>
          <w:tcPr>
            <w:tcW w:w="1187" w:type="dxa"/>
            <w:vAlign w:val="center"/>
          </w:tcPr>
          <w:p>
            <w:pPr>
              <w:autoSpaceDE w:val="0"/>
              <w:autoSpaceDN w:val="0"/>
              <w:adjustRightInd w:val="0"/>
              <w:spacing w:line="360" w:lineRule="auto"/>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2</w:t>
            </w:r>
          </w:p>
        </w:tc>
        <w:tc>
          <w:tcPr>
            <w:tcW w:w="1143" w:type="dxa"/>
            <w:vAlign w:val="center"/>
          </w:tcPr>
          <w:p>
            <w:pPr>
              <w:spacing w:line="360" w:lineRule="auto"/>
              <w:jc w:val="center"/>
              <w:rPr>
                <w:rFonts w:ascii="宋体" w:hAnsi="宋体" w:cs="宋体"/>
                <w:szCs w:val="21"/>
              </w:rPr>
            </w:pPr>
            <w:r>
              <w:rPr>
                <w:rFonts w:hint="eastAsia" w:ascii="宋体" w:hAnsi="宋体" w:cs="宋体"/>
                <w:szCs w:val="21"/>
              </w:rPr>
              <w:t>策划举办健康活动的情况</w:t>
            </w:r>
          </w:p>
        </w:tc>
        <w:tc>
          <w:tcPr>
            <w:tcW w:w="709" w:type="dxa"/>
            <w:vAlign w:val="center"/>
          </w:tcPr>
          <w:p>
            <w:pPr>
              <w:spacing w:line="360" w:lineRule="auto"/>
              <w:jc w:val="center"/>
              <w:rPr>
                <w:rFonts w:ascii="宋体" w:hAnsi="宋体" w:cs="宋体"/>
                <w:szCs w:val="21"/>
              </w:rPr>
            </w:pPr>
            <w:r>
              <w:rPr>
                <w:rFonts w:hint="eastAsia" w:ascii="宋体" w:hAnsi="宋体" w:cs="宋体"/>
                <w:szCs w:val="21"/>
              </w:rPr>
              <w:t>5</w:t>
            </w:r>
          </w:p>
        </w:tc>
        <w:tc>
          <w:tcPr>
            <w:tcW w:w="5953" w:type="dxa"/>
            <w:vAlign w:val="center"/>
          </w:tcPr>
          <w:p>
            <w:pPr>
              <w:autoSpaceDE w:val="0"/>
              <w:autoSpaceDN w:val="0"/>
              <w:adjustRightInd w:val="0"/>
              <w:spacing w:line="360" w:lineRule="auto"/>
              <w:jc w:val="left"/>
            </w:pPr>
            <w:r>
              <w:rPr>
                <w:rFonts w:hint="eastAsia"/>
              </w:rPr>
              <w:t>（一）评分内容：</w:t>
            </w:r>
          </w:p>
          <w:p>
            <w:pPr>
              <w:autoSpaceDE w:val="0"/>
              <w:autoSpaceDN w:val="0"/>
              <w:adjustRightInd w:val="0"/>
              <w:spacing w:line="360" w:lineRule="auto"/>
              <w:jc w:val="left"/>
            </w:pPr>
            <w:r>
              <w:rPr>
                <w:rFonts w:hint="eastAsia"/>
              </w:rPr>
              <w:t>投标人需具备主办同类主题项目活动经验。</w:t>
            </w:r>
          </w:p>
          <w:p>
            <w:pPr>
              <w:autoSpaceDE w:val="0"/>
              <w:autoSpaceDN w:val="0"/>
              <w:adjustRightInd w:val="0"/>
              <w:spacing w:line="360" w:lineRule="auto"/>
              <w:jc w:val="left"/>
            </w:pPr>
            <w:r>
              <w:rPr>
                <w:rFonts w:hint="eastAsia"/>
              </w:rPr>
              <w:t>1.2019年1月1日至本项目投标截止日，投标人与相关主管部门合作举办同类线下健康主题活动，每举办1次，得1分，满分5分。</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1.</w:t>
            </w:r>
            <w:r>
              <w:rPr>
                <w:rFonts w:hint="eastAsia" w:ascii="宋体" w:hAnsi="宋体" w:cs="宋体"/>
                <w:szCs w:val="21"/>
              </w:rPr>
              <w:t>评分内容需提供合同关键页和相关截图证明并加盖投标人公章作为得分依据，通过证明材料无法判断是否得分的还须同时提供能证明得分的其它证明资料，如项目报告或合同甲方出具的证明文件等</w:t>
            </w:r>
            <w:r>
              <w:rPr>
                <w:rFonts w:hint="eastAsia" w:ascii="宋体" w:hAnsi="宋体" w:cs="仿宋"/>
                <w:szCs w:val="21"/>
                <w:lang w:val="zh-CN"/>
              </w:rPr>
              <w:t>；</w:t>
            </w:r>
          </w:p>
          <w:p>
            <w:pPr>
              <w:pStyle w:val="2"/>
            </w:pPr>
            <w:r>
              <w:rPr>
                <w:rFonts w:hint="eastAsia" w:ascii="宋体" w:hAnsi="宋体"/>
                <w:kern w:val="0"/>
                <w:szCs w:val="21"/>
              </w:rPr>
              <w:t>2.</w:t>
            </w:r>
            <w:r>
              <w:rPr>
                <w:rFonts w:hint="eastAsia" w:ascii="宋体" w:hAnsi="宋体"/>
                <w:szCs w:val="21"/>
              </w:rPr>
              <w:t>以上证明文件均</w:t>
            </w:r>
            <w:r>
              <w:rPr>
                <w:rFonts w:hint="eastAsia" w:ascii="宋体" w:hAnsi="宋体"/>
                <w:kern w:val="0"/>
                <w:szCs w:val="21"/>
              </w:rPr>
              <w:t>提供复印件或扫描件（或官方网站截图）加盖投标人公章，原件备查。</w:t>
            </w:r>
            <w:r>
              <w:rPr>
                <w:rFonts w:hint="eastAsia" w:ascii="宋体" w:hAnsi="宋体" w:cs="仿宋"/>
                <w:szCs w:val="21"/>
                <w:lang w:val="zh-CN"/>
              </w:rPr>
              <w:t>对于未提供证明文件，未提供查询记录且无其他证明材料的，或者提供不清晰导致评委无法判断的，均作不得分处理。</w:t>
            </w:r>
          </w:p>
        </w:tc>
        <w:tc>
          <w:tcPr>
            <w:tcW w:w="1187" w:type="dxa"/>
            <w:vAlign w:val="center"/>
          </w:tcPr>
          <w:p>
            <w:pPr>
              <w:autoSpaceDE w:val="0"/>
              <w:autoSpaceDN w:val="0"/>
              <w:adjustRightInd w:val="0"/>
              <w:spacing w:line="360" w:lineRule="auto"/>
              <w:jc w:val="center"/>
              <w:rPr>
                <w:rFonts w:ascii="宋体" w:hAnsi="宋体" w:cs="仿宋"/>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54" w:type="dxa"/>
            <w:vAlign w:val="center"/>
          </w:tcPr>
          <w:p>
            <w:pPr>
              <w:autoSpaceDE w:val="0"/>
              <w:autoSpaceDN w:val="0"/>
              <w:adjustRightInd w:val="0"/>
              <w:spacing w:line="360" w:lineRule="auto"/>
              <w:jc w:val="center"/>
              <w:rPr>
                <w:rFonts w:ascii="宋体" w:hAnsi="宋体" w:cs="仿宋"/>
                <w:szCs w:val="21"/>
                <w:lang w:val="zh-CN"/>
              </w:rPr>
            </w:pPr>
            <w:r>
              <w:rPr>
                <w:rFonts w:hint="eastAsia" w:ascii="宋体" w:hAnsi="宋体" w:cs="仿宋"/>
                <w:szCs w:val="21"/>
              </w:rPr>
              <w:t>3</w:t>
            </w:r>
          </w:p>
        </w:tc>
        <w:tc>
          <w:tcPr>
            <w:tcW w:w="1143" w:type="dxa"/>
            <w:vAlign w:val="center"/>
          </w:tcPr>
          <w:p>
            <w:pPr>
              <w:adjustRightInd w:val="0"/>
              <w:snapToGrid w:val="0"/>
              <w:spacing w:line="360" w:lineRule="auto"/>
              <w:jc w:val="center"/>
              <w:rPr>
                <w:rFonts w:ascii="宋体" w:hAnsi="宋体"/>
                <w:snapToGrid w:val="0"/>
                <w:kern w:val="0"/>
                <w:szCs w:val="21"/>
              </w:rPr>
            </w:pPr>
            <w:r>
              <w:rPr>
                <w:rFonts w:hint="eastAsia" w:ascii="宋体" w:hAnsi="宋体" w:cs="宋体"/>
                <w:color w:val="000000"/>
                <w:kern w:val="0"/>
                <w:szCs w:val="21"/>
              </w:rPr>
              <w:t>同类项目业绩情况</w:t>
            </w:r>
          </w:p>
        </w:tc>
        <w:tc>
          <w:tcPr>
            <w:tcW w:w="709" w:type="dxa"/>
            <w:vAlign w:val="center"/>
          </w:tcPr>
          <w:p>
            <w:pPr>
              <w:adjustRightInd w:val="0"/>
              <w:snapToGrid w:val="0"/>
              <w:spacing w:line="360" w:lineRule="auto"/>
              <w:jc w:val="center"/>
              <w:rPr>
                <w:rFonts w:ascii="宋体" w:hAnsi="宋体"/>
                <w:snapToGrid w:val="0"/>
                <w:kern w:val="0"/>
                <w:szCs w:val="21"/>
              </w:rPr>
            </w:pPr>
            <w:r>
              <w:rPr>
                <w:rFonts w:hint="eastAsia" w:ascii="宋体" w:hAnsi="宋体"/>
                <w:snapToGrid w:val="0"/>
                <w:kern w:val="0"/>
                <w:szCs w:val="21"/>
              </w:rPr>
              <w:t>5</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（一）评分内容：</w:t>
            </w:r>
          </w:p>
          <w:p>
            <w:pPr>
              <w:adjustRightInd w:val="0"/>
              <w:snapToGrid w:val="0"/>
              <w:spacing w:line="360" w:lineRule="auto"/>
              <w:rPr>
                <w:rFonts w:ascii="宋体" w:hAnsi="宋体" w:cs="宋体"/>
                <w:szCs w:val="21"/>
              </w:rPr>
            </w:pPr>
            <w:r>
              <w:rPr>
                <w:rFonts w:hint="eastAsia" w:ascii="宋体" w:hAnsi="宋体" w:cs="宋体"/>
                <w:szCs w:val="21"/>
              </w:rPr>
              <w:t>2019年1月1日至本项目投标截止日（以合同签订日期为准），投标人具有运营医疗健康相关项目的</w:t>
            </w:r>
            <w:r>
              <w:rPr>
                <w:rFonts w:hint="eastAsia" w:ascii="宋体" w:hAnsi="宋体" w:cs="宋体"/>
                <w:bCs/>
                <w:szCs w:val="21"/>
              </w:rPr>
              <w:t>同类项目业绩</w:t>
            </w:r>
            <w:r>
              <w:rPr>
                <w:rFonts w:hint="eastAsia" w:ascii="宋体" w:hAnsi="宋体" w:cs="宋体"/>
                <w:szCs w:val="21"/>
              </w:rPr>
              <w:t>且获得采购单位履约评价结果为“优或满意”</w:t>
            </w:r>
            <w:r>
              <w:rPr>
                <w:rFonts w:hint="eastAsia" w:ascii="宋体" w:hAnsi="宋体" w:cs="宋体"/>
                <w:bCs/>
                <w:szCs w:val="21"/>
              </w:rPr>
              <w:t>的</w:t>
            </w:r>
            <w:r>
              <w:rPr>
                <w:rFonts w:hint="eastAsia" w:ascii="宋体" w:hAnsi="宋体" w:cs="宋体"/>
                <w:szCs w:val="21"/>
              </w:rPr>
              <w:t>，每提供1个项目得1分,最高得5分。同一项目续签合同的不可重复得分。</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（二）评分依据：</w:t>
            </w:r>
          </w:p>
          <w:p>
            <w:pPr>
              <w:adjustRightInd w:val="0"/>
              <w:snapToGrid w:val="0"/>
              <w:spacing w:line="360" w:lineRule="auto"/>
              <w:rPr>
                <w:rFonts w:ascii="宋体" w:hAnsi="宋体"/>
                <w:szCs w:val="21"/>
              </w:rPr>
            </w:pPr>
            <w:r>
              <w:rPr>
                <w:rFonts w:hint="eastAsia" w:ascii="宋体" w:hAnsi="宋体" w:cs="仿宋"/>
                <w:szCs w:val="21"/>
              </w:rPr>
              <w:t>1.提供合同关键页</w:t>
            </w:r>
            <w:r>
              <w:rPr>
                <w:rFonts w:cs="宋体" w:asciiTheme="minorEastAsia" w:hAnsiTheme="minorEastAsia" w:eastAsiaTheme="minorEastAsia"/>
                <w:szCs w:val="21"/>
              </w:rPr>
              <w:t>（关键信息包括但不仅限于合同的项目名称、服务内容、合同服务期限、合同签订日期</w:t>
            </w:r>
            <w:r>
              <w:rPr>
                <w:rFonts w:hint="eastAsia" w:cs="宋体" w:asciiTheme="minorEastAsia" w:hAnsiTheme="minorEastAsia" w:eastAsiaTheme="minorEastAsia"/>
                <w:szCs w:val="21"/>
              </w:rPr>
              <w:t>、</w:t>
            </w:r>
            <w:r>
              <w:rPr>
                <w:rFonts w:cs="宋体" w:asciiTheme="minorEastAsia" w:hAnsiTheme="minorEastAsia" w:eastAsiaTheme="minorEastAsia"/>
                <w:szCs w:val="21"/>
              </w:rPr>
              <w:t>甲乙双方签字盖章页）</w:t>
            </w:r>
            <w:r>
              <w:rPr>
                <w:rFonts w:hint="eastAsia" w:asciiTheme="minorEastAsia" w:hAnsiTheme="minorEastAsia" w:eastAsiaTheme="minorEastAsia"/>
                <w:bCs/>
                <w:szCs w:val="21"/>
              </w:rPr>
              <w:t>且提供的材料各项信息不得有任何遮挡</w:t>
            </w:r>
            <w:r>
              <w:rPr>
                <w:rFonts w:hint="eastAsia" w:ascii="宋体" w:hAnsi="宋体"/>
                <w:szCs w:val="21"/>
              </w:rPr>
              <w:t>；</w:t>
            </w:r>
          </w:p>
          <w:p>
            <w:pPr>
              <w:adjustRightInd w:val="0"/>
              <w:snapToGrid w:val="0"/>
              <w:spacing w:line="360" w:lineRule="auto"/>
              <w:rPr>
                <w:rFonts w:ascii="宋体" w:hAnsi="宋体"/>
                <w:szCs w:val="21"/>
              </w:rPr>
            </w:pPr>
            <w:r>
              <w:rPr>
                <w:rFonts w:hint="eastAsia" w:ascii="宋体" w:hAnsi="宋体"/>
                <w:szCs w:val="21"/>
              </w:rPr>
              <w:t>2.通过合同关键信息无法判断是否得分的，也可以提供能证明得分的其它证明资料，如项目报告或合同甲方出具的证明文件；</w:t>
            </w:r>
          </w:p>
          <w:p>
            <w:pPr>
              <w:adjustRightInd w:val="0"/>
              <w:snapToGrid w:val="0"/>
              <w:spacing w:line="360" w:lineRule="auto"/>
              <w:rPr>
                <w:rFonts w:ascii="宋体" w:hAnsi="宋体"/>
                <w:szCs w:val="21"/>
              </w:rPr>
            </w:pPr>
            <w:r>
              <w:rPr>
                <w:rFonts w:hint="eastAsia" w:ascii="宋体" w:hAnsi="宋体"/>
                <w:szCs w:val="21"/>
              </w:rPr>
              <w:t>3.</w:t>
            </w:r>
            <w:r>
              <w:rPr>
                <w:rFonts w:hint="eastAsia" w:ascii="宋体" w:hAnsi="宋体" w:cs="仿宋"/>
                <w:szCs w:val="21"/>
              </w:rPr>
              <w:t xml:space="preserve"> 提供加盖采购单位公章或业务章的</w:t>
            </w:r>
            <w:r>
              <w:rPr>
                <w:rFonts w:hint="eastAsia" w:ascii="宋体" w:hAnsi="宋体" w:cs="宋体"/>
                <w:szCs w:val="21"/>
              </w:rPr>
              <w:t>履约评价证明材料；</w:t>
            </w:r>
          </w:p>
          <w:p>
            <w:pPr>
              <w:adjustRightInd w:val="0"/>
              <w:snapToGrid w:val="0"/>
              <w:spacing w:line="360" w:lineRule="auto"/>
              <w:rPr>
                <w:rFonts w:ascii="宋体" w:hAnsi="宋体"/>
                <w:szCs w:val="21"/>
              </w:rPr>
            </w:pPr>
            <w:r>
              <w:rPr>
                <w:rFonts w:hint="eastAsia" w:ascii="宋体" w:hAnsi="宋体"/>
                <w:szCs w:val="21"/>
              </w:rPr>
              <w:t>4.</w:t>
            </w:r>
            <w:r>
              <w:rPr>
                <w:rFonts w:hint="eastAsia" w:ascii="宋体" w:hAnsi="宋体"/>
                <w:kern w:val="0"/>
                <w:szCs w:val="21"/>
              </w:rPr>
              <w:t>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p>
            <w:pPr>
              <w:adjustRightInd w:val="0"/>
              <w:snapToGrid w:val="0"/>
              <w:spacing w:line="360" w:lineRule="auto"/>
              <w:rPr>
                <w:rFonts w:ascii="宋体" w:hAnsi="宋体"/>
                <w:b/>
                <w:bCs/>
                <w:kern w:val="0"/>
                <w:szCs w:val="21"/>
              </w:rPr>
            </w:pPr>
            <w:r>
              <w:rPr>
                <w:rFonts w:hint="eastAsia" w:ascii="宋体" w:hAnsi="宋体" w:cs="宋体"/>
                <w:szCs w:val="21"/>
              </w:rPr>
              <w:t>注：为便于评委评审，履约评价证明文件应附在 “同类项目业绩”证明文件后，每个项目对应一份履约评价证明。</w:t>
            </w:r>
          </w:p>
        </w:tc>
        <w:tc>
          <w:tcPr>
            <w:tcW w:w="1187" w:type="dxa"/>
            <w:vAlign w:val="center"/>
          </w:tcPr>
          <w:p>
            <w:pPr>
              <w:spacing w:line="360" w:lineRule="auto"/>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23" w:hRule="atLeast"/>
          <w:jc w:val="center"/>
        </w:trPr>
        <w:tc>
          <w:tcPr>
            <w:tcW w:w="754" w:type="dxa"/>
            <w:vAlign w:val="center"/>
          </w:tcPr>
          <w:p>
            <w:pPr>
              <w:widowControl/>
              <w:snapToGrid w:val="0"/>
              <w:spacing w:line="360" w:lineRule="auto"/>
              <w:jc w:val="center"/>
              <w:rPr>
                <w:rFonts w:ascii="宋体" w:hAnsi="宋体" w:cs="宋体"/>
                <w:kern w:val="0"/>
                <w:szCs w:val="21"/>
              </w:rPr>
            </w:pPr>
            <w:r>
              <w:rPr>
                <w:rFonts w:hint="eastAsia" w:ascii="宋体" w:hAnsi="宋体"/>
                <w:kern w:val="0"/>
                <w:szCs w:val="21"/>
              </w:rPr>
              <w:t>4</w:t>
            </w:r>
          </w:p>
        </w:tc>
        <w:tc>
          <w:tcPr>
            <w:tcW w:w="1143" w:type="dxa"/>
            <w:vAlign w:val="center"/>
          </w:tcPr>
          <w:p>
            <w:pPr>
              <w:spacing w:line="360" w:lineRule="auto"/>
              <w:jc w:val="center"/>
              <w:rPr>
                <w:rFonts w:ascii="宋体" w:hAnsi="宋体" w:cs="仿宋"/>
                <w:szCs w:val="21"/>
              </w:rPr>
            </w:pPr>
            <w:r>
              <w:rPr>
                <w:rFonts w:hint="eastAsia" w:ascii="宋体" w:hAnsi="宋体"/>
                <w:kern w:val="0"/>
                <w:szCs w:val="21"/>
                <w:lang w:val="zh-CN"/>
              </w:rPr>
              <w:t>获奖（荣誉）情况</w:t>
            </w:r>
          </w:p>
        </w:tc>
        <w:tc>
          <w:tcPr>
            <w:tcW w:w="709" w:type="dxa"/>
            <w:vAlign w:val="center"/>
          </w:tcPr>
          <w:p>
            <w:pPr>
              <w:spacing w:line="360" w:lineRule="auto"/>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（一）评分内容：</w:t>
            </w:r>
          </w:p>
          <w:p>
            <w:pPr>
              <w:tabs>
                <w:tab w:val="left" w:pos="175"/>
              </w:tabs>
              <w:spacing w:line="360" w:lineRule="auto"/>
              <w:ind w:left="33"/>
              <w:jc w:val="left"/>
              <w:rPr>
                <w:rFonts w:ascii="宋体" w:hAnsi="宋体" w:cs="宋体"/>
                <w:bCs/>
                <w:kern w:val="0"/>
                <w:szCs w:val="21"/>
              </w:rPr>
            </w:pPr>
            <w:r>
              <w:rPr>
                <w:rFonts w:hint="eastAsia" w:ascii="宋体" w:hAnsi="宋体" w:cs="宋体"/>
                <w:bCs/>
                <w:kern w:val="0"/>
                <w:szCs w:val="21"/>
              </w:rPr>
              <w:t>2019年1月1日至</w:t>
            </w:r>
            <w:r>
              <w:rPr>
                <w:rFonts w:hint="eastAsia" w:ascii="宋体" w:hAnsi="宋体" w:cs="宋体"/>
                <w:szCs w:val="21"/>
              </w:rPr>
              <w:t>本项目投标截止日</w:t>
            </w:r>
            <w:r>
              <w:rPr>
                <w:rFonts w:hint="eastAsia" w:ascii="宋体" w:hAnsi="宋体" w:cs="宋体"/>
                <w:bCs/>
                <w:kern w:val="0"/>
                <w:szCs w:val="21"/>
              </w:rPr>
              <w:t>（以证书颁发日期为准），投标人获得以下荣誉或奖项：</w:t>
            </w:r>
          </w:p>
          <w:p>
            <w:pPr>
              <w:tabs>
                <w:tab w:val="left" w:pos="175"/>
              </w:tabs>
              <w:spacing w:line="360" w:lineRule="auto"/>
              <w:ind w:left="33"/>
              <w:jc w:val="left"/>
              <w:rPr>
                <w:rFonts w:ascii="宋体" w:hAnsi="宋体" w:cs="宋体"/>
                <w:bCs/>
                <w:kern w:val="0"/>
                <w:szCs w:val="21"/>
              </w:rPr>
            </w:pPr>
            <w:r>
              <w:rPr>
                <w:rFonts w:hint="eastAsia" w:ascii="宋体" w:hAnsi="宋体" w:cs="宋体"/>
                <w:bCs/>
                <w:kern w:val="0"/>
                <w:szCs w:val="21"/>
              </w:rPr>
              <w:t>1）国家级奖项每个得5分；</w:t>
            </w:r>
          </w:p>
          <w:p>
            <w:pPr>
              <w:tabs>
                <w:tab w:val="left" w:pos="175"/>
              </w:tabs>
              <w:spacing w:line="360" w:lineRule="auto"/>
              <w:ind w:left="33"/>
              <w:jc w:val="left"/>
              <w:rPr>
                <w:rFonts w:ascii="宋体" w:hAnsi="宋体" w:cs="宋体"/>
                <w:bCs/>
                <w:kern w:val="0"/>
                <w:szCs w:val="21"/>
              </w:rPr>
            </w:pPr>
            <w:r>
              <w:rPr>
                <w:rFonts w:hint="eastAsia" w:ascii="宋体" w:hAnsi="宋体" w:cs="宋体"/>
                <w:bCs/>
                <w:kern w:val="0"/>
                <w:szCs w:val="21"/>
              </w:rPr>
              <w:t>2）省级或以上奖项每个得2.5分；</w:t>
            </w:r>
          </w:p>
          <w:p>
            <w:pPr>
              <w:tabs>
                <w:tab w:val="left" w:pos="175"/>
              </w:tabs>
              <w:spacing w:line="360" w:lineRule="auto"/>
              <w:ind w:left="33"/>
              <w:jc w:val="left"/>
              <w:rPr>
                <w:rFonts w:ascii="宋体" w:hAnsi="宋体" w:cs="宋体"/>
                <w:bCs/>
                <w:kern w:val="0"/>
                <w:szCs w:val="21"/>
              </w:rPr>
            </w:pPr>
            <w:r>
              <w:rPr>
                <w:rFonts w:hint="eastAsia" w:ascii="宋体" w:hAnsi="宋体" w:cs="宋体"/>
                <w:bCs/>
                <w:kern w:val="0"/>
                <w:szCs w:val="21"/>
              </w:rPr>
              <w:t>3）市级或以上奖项每个得1分；</w:t>
            </w:r>
          </w:p>
          <w:p>
            <w:pPr>
              <w:tabs>
                <w:tab w:val="left" w:pos="175"/>
              </w:tabs>
              <w:spacing w:line="360" w:lineRule="auto"/>
              <w:ind w:left="33"/>
              <w:jc w:val="left"/>
              <w:rPr>
                <w:rFonts w:ascii="宋体" w:hAnsi="宋体" w:cs="宋体"/>
                <w:bCs/>
                <w:kern w:val="0"/>
                <w:szCs w:val="21"/>
              </w:rPr>
            </w:pPr>
            <w:r>
              <w:rPr>
                <w:rFonts w:hint="eastAsia" w:ascii="宋体" w:hAnsi="宋体" w:cs="宋体"/>
                <w:bCs/>
                <w:kern w:val="0"/>
                <w:szCs w:val="21"/>
              </w:rPr>
              <w:t>4）其他不得分，累计最高得5分。</w:t>
            </w:r>
          </w:p>
          <w:p>
            <w:pPr>
              <w:autoSpaceDE w:val="0"/>
              <w:autoSpaceDN w:val="0"/>
              <w:adjustRightInd w:val="0"/>
              <w:spacing w:line="360" w:lineRule="auto"/>
              <w:jc w:val="left"/>
              <w:rPr>
                <w:rFonts w:ascii="宋体" w:hAnsi="宋体" w:cs="宋体"/>
                <w:bCs/>
                <w:kern w:val="0"/>
                <w:szCs w:val="21"/>
              </w:rPr>
            </w:pPr>
            <w:r>
              <w:rPr>
                <w:rFonts w:hint="eastAsia" w:ascii="宋体" w:hAnsi="宋体" w:cs="宋体"/>
                <w:bCs/>
                <w:kern w:val="0"/>
                <w:szCs w:val="21"/>
              </w:rPr>
              <w:t>国家级奖项要求奖项颁发单位为国务院、国家部委或相关的全国性行业协会（学会）；省级奖项要求奖项颁发单位为省（自治区、直辖市）人民政府（或行业主管行政机关）或相应区域的行业协会（学会），市级奖项要求奖项颁发单位为市级人民政府（或行业主管行政机关）或相应区域的行业协会（学会）。</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（二）评分依据：</w:t>
            </w:r>
          </w:p>
          <w:p>
            <w:pPr>
              <w:tabs>
                <w:tab w:val="left" w:pos="175"/>
              </w:tabs>
              <w:spacing w:line="360" w:lineRule="auto"/>
              <w:ind w:left="33"/>
              <w:jc w:val="left"/>
              <w:rPr>
                <w:rFonts w:asciiTheme="minorEastAsia" w:hAnsiTheme="minorEastAsia" w:eastAsiaTheme="minorEastAsia"/>
                <w:szCs w:val="21"/>
              </w:rPr>
            </w:pPr>
            <w:r>
              <w:rPr>
                <w:rFonts w:hint="eastAsia" w:asciiTheme="minorEastAsia" w:hAnsiTheme="minorEastAsia" w:eastAsiaTheme="minorEastAsia"/>
                <w:szCs w:val="21"/>
              </w:rPr>
              <w:t>1.要求提供奖项照片或获奖（荣誉）证书作为得分依据；</w:t>
            </w:r>
          </w:p>
          <w:p>
            <w:pPr>
              <w:tabs>
                <w:tab w:val="left" w:pos="175"/>
              </w:tabs>
              <w:spacing w:line="360" w:lineRule="auto"/>
              <w:ind w:left="33"/>
              <w:jc w:val="left"/>
              <w:rPr>
                <w:rFonts w:ascii="宋体" w:hAnsi="宋体"/>
                <w:szCs w:val="21"/>
              </w:rPr>
            </w:pPr>
            <w:r>
              <w:rPr>
                <w:rFonts w:hint="eastAsia" w:asciiTheme="minorEastAsia" w:hAnsiTheme="minorEastAsia" w:eastAsiaTheme="minorEastAsia"/>
                <w:szCs w:val="21"/>
              </w:rPr>
              <w:t>2.以上资料均要求提供复印件或扫描件（或官方网站截图）</w:t>
            </w:r>
            <w:r>
              <w:rPr>
                <w:rFonts w:hint="eastAsia" w:ascii="宋体" w:hAnsi="宋体"/>
                <w:szCs w:val="21"/>
              </w:rPr>
              <w:t>加盖投标人公章</w:t>
            </w:r>
            <w:r>
              <w:rPr>
                <w:rFonts w:hint="eastAsia" w:asciiTheme="minorEastAsia" w:hAnsiTheme="minorEastAsia" w:eastAsiaTheme="minorEastAsia"/>
                <w:szCs w:val="21"/>
              </w:rPr>
              <w:t>，原件备查。评分中出现无证明资料或专家无法凭所提供资料判断是否得分的情况，一律作不得分处理</w:t>
            </w:r>
            <w:r>
              <w:rPr>
                <w:rFonts w:hint="eastAsia" w:ascii="宋体" w:hAnsi="宋体"/>
                <w:szCs w:val="21"/>
              </w:rPr>
              <w:t>。</w:t>
            </w:r>
          </w:p>
        </w:tc>
        <w:tc>
          <w:tcPr>
            <w:tcW w:w="1187" w:type="dxa"/>
            <w:vAlign w:val="center"/>
          </w:tcPr>
          <w:p>
            <w:pPr>
              <w:spacing w:line="360" w:lineRule="auto"/>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99" w:hRule="atLeast"/>
          <w:jc w:val="center"/>
        </w:trPr>
        <w:tc>
          <w:tcPr>
            <w:tcW w:w="754" w:type="dxa"/>
            <w:vAlign w:val="center"/>
          </w:tcPr>
          <w:p>
            <w:pPr>
              <w:widowControl/>
              <w:snapToGrid w:val="0"/>
              <w:spacing w:line="360" w:lineRule="auto"/>
              <w:jc w:val="center"/>
              <w:rPr>
                <w:rFonts w:ascii="宋体" w:hAnsi="宋体" w:cs="宋体"/>
                <w:kern w:val="0"/>
                <w:szCs w:val="21"/>
              </w:rPr>
            </w:pPr>
            <w:r>
              <w:rPr>
                <w:rFonts w:hint="eastAsia" w:ascii="宋体" w:hAnsi="宋体"/>
                <w:kern w:val="0"/>
                <w:szCs w:val="21"/>
              </w:rPr>
              <w:t>5</w:t>
            </w:r>
          </w:p>
        </w:tc>
        <w:tc>
          <w:tcPr>
            <w:tcW w:w="1143" w:type="dxa"/>
            <w:vAlign w:val="center"/>
          </w:tcPr>
          <w:p>
            <w:pPr>
              <w:spacing w:line="360" w:lineRule="auto"/>
              <w:jc w:val="center"/>
              <w:rPr>
                <w:rFonts w:ascii="宋体" w:hAnsi="宋体" w:cs="仿宋"/>
                <w:szCs w:val="21"/>
              </w:rPr>
            </w:pPr>
            <w:r>
              <w:rPr>
                <w:rFonts w:hint="eastAsia" w:ascii="宋体" w:hAnsi="宋体" w:cs="仿宋"/>
                <w:szCs w:val="21"/>
              </w:rPr>
              <w:t>响应时间</w:t>
            </w:r>
          </w:p>
        </w:tc>
        <w:tc>
          <w:tcPr>
            <w:tcW w:w="709" w:type="dxa"/>
            <w:vAlign w:val="center"/>
          </w:tcPr>
          <w:p>
            <w:pPr>
              <w:spacing w:line="360" w:lineRule="auto"/>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tabs>
                <w:tab w:val="left" w:pos="175"/>
              </w:tabs>
              <w:spacing w:line="360" w:lineRule="exact"/>
              <w:ind w:left="33"/>
              <w:jc w:val="left"/>
              <w:rPr>
                <w:rFonts w:ascii="宋体" w:hAnsi="宋体"/>
                <w:szCs w:val="21"/>
              </w:rPr>
            </w:pPr>
            <w:r>
              <w:rPr>
                <w:rFonts w:hint="eastAsia" w:ascii="宋体" w:hAnsi="宋体"/>
                <w:szCs w:val="21"/>
              </w:rPr>
              <w:t>投标人2小时（含）内到达深圳市康宁医院响应采购人服务需求，得5分；</w:t>
            </w:r>
          </w:p>
          <w:p>
            <w:pPr>
              <w:tabs>
                <w:tab w:val="left" w:pos="175"/>
              </w:tabs>
              <w:spacing w:line="360" w:lineRule="exact"/>
              <w:ind w:left="33"/>
              <w:jc w:val="left"/>
              <w:rPr>
                <w:rFonts w:ascii="宋体" w:hAnsi="宋体"/>
                <w:szCs w:val="21"/>
              </w:rPr>
            </w:pPr>
            <w:r>
              <w:rPr>
                <w:rFonts w:hint="eastAsia" w:ascii="宋体" w:hAnsi="宋体"/>
                <w:szCs w:val="21"/>
              </w:rPr>
              <w:t>投标人2小时以上4小时以内到达深圳市康宁医院响应采购人需求，得2分；</w:t>
            </w:r>
          </w:p>
          <w:p>
            <w:pPr>
              <w:tabs>
                <w:tab w:val="left" w:pos="175"/>
              </w:tabs>
              <w:spacing w:line="360" w:lineRule="exact"/>
              <w:ind w:left="33"/>
              <w:jc w:val="left"/>
              <w:rPr>
                <w:rFonts w:ascii="宋体" w:hAnsi="宋体"/>
                <w:szCs w:val="21"/>
              </w:rPr>
            </w:pPr>
            <w:r>
              <w:rPr>
                <w:rFonts w:hint="eastAsia" w:ascii="宋体" w:hAnsi="宋体"/>
                <w:szCs w:val="21"/>
              </w:rPr>
              <w:t>投标人4小时以上到达深圳市康宁医院响应采购人需求，得0分；</w:t>
            </w:r>
          </w:p>
          <w:p>
            <w:pPr>
              <w:autoSpaceDE w:val="0"/>
              <w:autoSpaceDN w:val="0"/>
              <w:adjustRightInd w:val="0"/>
              <w:spacing w:line="360" w:lineRule="exact"/>
              <w:jc w:val="left"/>
            </w:pPr>
            <w:r>
              <w:rPr>
                <w:rFonts w:hint="eastAsia" w:ascii="宋体" w:hAnsi="宋体"/>
                <w:kern w:val="0"/>
                <w:szCs w:val="21"/>
              </w:rPr>
              <w:t>（二）评分依据：</w:t>
            </w:r>
          </w:p>
          <w:p>
            <w:pPr>
              <w:tabs>
                <w:tab w:val="left" w:pos="175"/>
              </w:tabs>
              <w:spacing w:line="360" w:lineRule="auto"/>
              <w:ind w:left="33"/>
              <w:jc w:val="left"/>
              <w:rPr>
                <w:rFonts w:ascii="宋体" w:hAnsi="宋体"/>
                <w:szCs w:val="21"/>
              </w:rPr>
            </w:pPr>
            <w:r>
              <w:t>提供售后服务响应时间承诺（格式自定）作为证明材料</w:t>
            </w:r>
            <w:r>
              <w:rPr>
                <w:rFonts w:hint="eastAsia" w:ascii="宋体" w:hAnsi="宋体"/>
                <w:szCs w:val="21"/>
              </w:rPr>
              <w:t>,</w:t>
            </w:r>
            <w:r>
              <w:rPr>
                <w:rFonts w:hint="eastAsia" w:ascii="宋体" w:hAnsi="宋体" w:cs="宋体"/>
                <w:bCs/>
                <w:kern w:val="0"/>
                <w:szCs w:val="21"/>
              </w:rPr>
              <w:t>加盖投标人公章，</w:t>
            </w:r>
            <w:r>
              <w:rPr>
                <w:rFonts w:hint="eastAsia" w:ascii="宋体" w:hAnsi="宋体"/>
                <w:szCs w:val="21"/>
              </w:rPr>
              <w:t>不提供、不符合、不清晰不得分。</w:t>
            </w:r>
          </w:p>
        </w:tc>
        <w:tc>
          <w:tcPr>
            <w:tcW w:w="1187" w:type="dxa"/>
            <w:vAlign w:val="center"/>
          </w:tcPr>
          <w:p>
            <w:pPr>
              <w:spacing w:line="360" w:lineRule="auto"/>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84" w:hRule="atLeast"/>
          <w:jc w:val="center"/>
        </w:trPr>
        <w:tc>
          <w:tcPr>
            <w:tcW w:w="754" w:type="dxa"/>
            <w:vAlign w:val="center"/>
          </w:tcPr>
          <w:p>
            <w:pPr>
              <w:autoSpaceDE w:val="0"/>
              <w:autoSpaceDN w:val="0"/>
              <w:adjustRightInd w:val="0"/>
              <w:spacing w:line="360" w:lineRule="auto"/>
              <w:jc w:val="center"/>
              <w:rPr>
                <w:rFonts w:ascii="宋体" w:hAnsi="宋体" w:cs="仿宋"/>
                <w:szCs w:val="21"/>
                <w:lang w:val="zh-CN"/>
              </w:rPr>
            </w:pPr>
            <w:r>
              <w:rPr>
                <w:rFonts w:hint="eastAsia" w:ascii="宋体" w:hAnsi="宋体" w:cs="仿宋"/>
                <w:szCs w:val="21"/>
              </w:rPr>
              <w:t>6</w:t>
            </w:r>
          </w:p>
        </w:tc>
        <w:tc>
          <w:tcPr>
            <w:tcW w:w="1143" w:type="dxa"/>
            <w:vAlign w:val="center"/>
          </w:tcPr>
          <w:p>
            <w:pPr>
              <w:spacing w:line="360" w:lineRule="auto"/>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auto"/>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（一）评分内容：</w:t>
            </w:r>
          </w:p>
          <w:p>
            <w:pPr>
              <w:adjustRightInd w:val="0"/>
              <w:snapToGrid w:val="0"/>
              <w:spacing w:line="360" w:lineRule="auto"/>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（二）评分依据：</w:t>
            </w:r>
          </w:p>
          <w:p>
            <w:pPr>
              <w:tabs>
                <w:tab w:val="left" w:pos="175"/>
              </w:tabs>
              <w:spacing w:line="360" w:lineRule="auto"/>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auto"/>
              <w:jc w:val="center"/>
              <w:rPr>
                <w:rFonts w:ascii="宋体" w:hAnsi="宋体" w:cs="仿宋"/>
                <w:szCs w:val="21"/>
                <w:lang w:val="zh-CN"/>
              </w:rPr>
            </w:pPr>
            <w:r>
              <w:rPr>
                <w:rFonts w:hint="eastAsia" w:ascii="宋体" w:hAnsi="宋体" w:cs="仿宋"/>
                <w:szCs w:val="21"/>
                <w:lang w:val="zh-CN"/>
              </w:rPr>
              <w:t>专家打分</w:t>
            </w:r>
          </w:p>
        </w:tc>
      </w:tr>
    </w:tbl>
    <w:p>
      <w:pPr>
        <w:pStyle w:val="2"/>
        <w:rPr>
          <w:rFonts w:hint="eastAsia"/>
          <w:snapToGrid w:val="0"/>
          <w:kern w:val="0"/>
        </w:rPr>
      </w:pPr>
    </w:p>
    <w:p>
      <w:pPr>
        <w:rPr>
          <w:rFonts w:hint="eastAsia"/>
        </w:rPr>
      </w:pPr>
    </w:p>
    <w:p>
      <w:pPr>
        <w:pStyle w:val="4"/>
        <w:spacing w:before="0" w:after="0"/>
        <w:jc w:val="left"/>
        <w:rPr>
          <w:rFonts w:asciiTheme="minorEastAsia" w:hAnsiTheme="minorEastAsia"/>
          <w:bCs w:val="0"/>
          <w:sz w:val="21"/>
          <w:szCs w:val="21"/>
        </w:rPr>
      </w:pPr>
      <w:r>
        <w:rPr>
          <w:rFonts w:hint="eastAsia" w:asciiTheme="minorEastAsia" w:hAnsiTheme="minorEastAsia"/>
          <w:bCs w:val="0"/>
          <w:sz w:val="21"/>
          <w:szCs w:val="21"/>
        </w:rPr>
        <w:t>备注：</w:t>
      </w:r>
      <w:bookmarkEnd w:id="10"/>
      <w:bookmarkEnd w:id="11"/>
      <w:bookmarkEnd w:id="12"/>
      <w:bookmarkEnd w:id="13"/>
      <w:bookmarkEnd w:id="14"/>
    </w:p>
    <w:p>
      <w:pPr>
        <w:pStyle w:val="5"/>
        <w:spacing w:before="0" w:after="0"/>
      </w:pPr>
      <w:bookmarkStart w:id="15" w:name="_Toc110410366"/>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5"/>
        <w:spacing w:before="0" w:after="0"/>
        <w:rPr>
          <w:rFonts w:asciiTheme="minorEastAsia" w:hAnsiTheme="minorEastAsia" w:eastAsiaTheme="minorEastAsia"/>
        </w:rPr>
      </w:pPr>
      <w:bookmarkStart w:id="16" w:name="_Toc110410367"/>
      <w:r>
        <w:rPr>
          <w:rFonts w:hint="eastAsia" w:asciiTheme="minorEastAsia" w:hAnsiTheme="minorEastAsia" w:eastAsiaTheme="minorEastAsia"/>
        </w:rPr>
        <w:t>2、政府采购扶持政策</w:t>
      </w:r>
      <w:bookmarkEnd w:id="16"/>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spacing w:line="360" w:lineRule="auto"/>
        <w:ind w:firstLine="426" w:firstLineChars="202"/>
        <w:rPr>
          <w:rFonts w:asciiTheme="minorEastAsia" w:hAnsiTheme="minorEastAsia" w:eastAsiaTheme="minorEastAsia"/>
        </w:rPr>
      </w:pPr>
      <w:r>
        <w:rPr>
          <w:rFonts w:hint="eastAsia" w:asciiTheme="minorEastAsia" w:hAnsiTheme="minorEastAsia" w:eastAsiaTheme="minorEastAsia"/>
          <w:b/>
          <w:highlight w:val="yellow"/>
        </w:rPr>
        <w:t>本项目所属行业为</w:t>
      </w:r>
      <w:r>
        <w:rPr>
          <w:rFonts w:hint="eastAsia" w:asciiTheme="minorEastAsia" w:hAnsiTheme="minorEastAsia" w:eastAsiaTheme="minorEastAsia"/>
          <w:b/>
          <w:highlight w:val="yellow"/>
          <w:u w:val="single"/>
        </w:rPr>
        <w:t xml:space="preserve">  租赁和商务服务业  </w:t>
      </w:r>
      <w:r>
        <w:rPr>
          <w:rFonts w:hint="eastAsia" w:asciiTheme="minorEastAsia" w:hAnsiTheme="minorEastAsia" w:eastAsiaTheme="minorEastAsia"/>
          <w:b/>
          <w:highlight w:val="yellow"/>
        </w:rPr>
        <w:t>。</w:t>
      </w:r>
      <w:r>
        <w:rPr>
          <w:rFonts w:hint="eastAsia" w:asciiTheme="minorEastAsia" w:hAnsiTheme="minorEastAsia" w:eastAsiaTheme="minorEastAsia"/>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w:t>
      </w:r>
      <w:r>
        <w:rPr>
          <w:rFonts w:asciiTheme="minorEastAsia" w:hAnsiTheme="minorEastAsia" w:eastAsiaTheme="minorEastAsia"/>
          <w:b/>
        </w:rPr>
        <w:t xml:space="preserve">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本章政府采购扶持政策第一款</w:t>
      </w:r>
      <w:r>
        <w:rPr>
          <w:rFonts w:hint="eastAsia" w:asciiTheme="minorEastAsia" w:hAnsiTheme="minorEastAsia" w:eastAsiaTheme="minorEastAsia"/>
        </w:rPr>
        <w:t>的优惠政策。</w:t>
      </w:r>
    </w:p>
    <w:p>
      <w:pPr>
        <w:spacing w:line="360" w:lineRule="auto"/>
        <w:ind w:firstLine="424" w:firstLineChars="202"/>
        <w:rPr>
          <w:rFonts w:ascii="宋体" w:hAnsi="宋体"/>
          <w:snapToGrid w:val="0"/>
          <w:szCs w:val="21"/>
        </w:rPr>
      </w:pPr>
      <w:r>
        <w:rPr>
          <w:rFonts w:hint="eastAsia" w:ascii="宋体" w:hAnsi="宋体"/>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pPr>
      <w:r>
        <w:rPr>
          <w:rFonts w:hint="eastAsia" w:ascii="宋体" w:hAnsi="宋体"/>
          <w:snapToGrid w:val="0"/>
          <w:szCs w:val="21"/>
        </w:rPr>
        <w:t>（4）为缓解中小企业融资难题，深圳市推出政府采购订单融资改革举措。订单融资具体流程及试点金融机构订单融资服务承诺可参阅深圳市政府采购监管网（www.zfcg.sz.gov.cn）信息公开栏目。</w:t>
      </w:r>
    </w:p>
    <w:p/>
    <w:p>
      <w:pPr>
        <w:widowControl/>
        <w:jc w:val="left"/>
      </w:pPr>
      <w:r>
        <w:br w:type="page"/>
      </w:r>
    </w:p>
    <w:p/>
    <w:p>
      <w:pPr>
        <w:pStyle w:val="3"/>
        <w:spacing w:before="0"/>
      </w:pPr>
      <w:bookmarkStart w:id="17" w:name="_Toc110410368"/>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rPr>
                <w:rFonts w:hint="eastAsia" w:eastAsia="宋体"/>
                <w:lang w:eastAsia="zh-CN"/>
              </w:rPr>
            </w:pPr>
            <w:r>
              <w:rPr>
                <w:rFonts w:hint="eastAsia"/>
                <w:lang w:eastAsia="zh-CN"/>
              </w:rPr>
              <w:t>心理健康宣教服务项目（第二次）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napToGrid w:val="0"/>
                <w:szCs w:val="21"/>
              </w:rPr>
              <w:t>深圳市康宁医院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cs="MS Mincho"/>
                <w:sz w:val="24"/>
                <w:szCs w:val="24"/>
                <w:lang w:eastAsia="zh-CN"/>
              </w:rPr>
              <w:sym w:font="Wingdings 2" w:char="0052"/>
            </w:r>
            <w:r>
              <w:rPr>
                <w:rFonts w:hint="eastAsia" w:hAnsi="宋体"/>
              </w:rPr>
              <w:t>财政资金/</w:t>
            </w:r>
            <w:r>
              <w:rPr>
                <w:rFonts w:hint="eastAsia" w:hAnsi="宋体"/>
              </w:rPr>
              <w:sym w:font="Wingdings 2" w:char="00A3"/>
            </w:r>
            <w:r>
              <w:rPr>
                <w:rFonts w:hint="eastAsia" w:hAnsi="宋体"/>
              </w:rPr>
              <w:t>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w:t>
            </w:r>
            <w:r>
              <w:rPr>
                <w:rFonts w:hint="eastAsia" w:hAnsi="宋体"/>
                <w:b/>
                <w:snapToGrid w:val="0"/>
                <w:szCs w:val="18"/>
                <w:lang w:val="en-US" w:eastAsia="zh-CN"/>
              </w:rPr>
              <w:t>3</w:t>
            </w:r>
            <w:r>
              <w:rPr>
                <w:rFonts w:hint="eastAsia" w:hAnsi="宋体"/>
                <w:b/>
                <w:snapToGrid w:val="0"/>
                <w:szCs w:val="18"/>
              </w:rPr>
              <w:t>年</w:t>
            </w:r>
            <w:r>
              <w:rPr>
                <w:rFonts w:hint="eastAsia" w:hAnsi="宋体"/>
                <w:b/>
                <w:snapToGrid w:val="0"/>
                <w:szCs w:val="18"/>
                <w:lang w:val="en-US" w:eastAsia="zh-CN"/>
              </w:rPr>
              <w:t>01</w:t>
            </w:r>
            <w:r>
              <w:rPr>
                <w:rFonts w:hint="eastAsia" w:hAnsi="宋体"/>
                <w:b/>
                <w:snapToGrid w:val="0"/>
                <w:szCs w:val="18"/>
              </w:rPr>
              <w:t>月</w:t>
            </w:r>
            <w:r>
              <w:rPr>
                <w:rFonts w:hint="eastAsia" w:hAnsi="宋体"/>
                <w:b/>
                <w:snapToGrid w:val="0"/>
                <w:szCs w:val="18"/>
                <w:lang w:val="en-US" w:eastAsia="zh-CN"/>
              </w:rPr>
              <w:t>17</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w:t>
            </w:r>
            <w:r>
              <w:rPr>
                <w:rFonts w:hint="eastAsia" w:hAnsi="宋体"/>
                <w:b/>
                <w:snapToGrid w:val="0"/>
                <w:szCs w:val="18"/>
                <w:lang w:val="en-US" w:eastAsia="zh-CN"/>
              </w:rPr>
              <w:t>3</w:t>
            </w:r>
            <w:r>
              <w:rPr>
                <w:rFonts w:hint="eastAsia" w:hAnsi="宋体"/>
                <w:b/>
                <w:snapToGrid w:val="0"/>
                <w:szCs w:val="18"/>
              </w:rPr>
              <w:t>年</w:t>
            </w:r>
            <w:r>
              <w:rPr>
                <w:rFonts w:hint="eastAsia" w:hAnsi="宋体"/>
                <w:b/>
                <w:snapToGrid w:val="0"/>
                <w:szCs w:val="18"/>
                <w:lang w:val="en-US" w:eastAsia="zh-CN"/>
              </w:rPr>
              <w:t>01</w:t>
            </w:r>
            <w:r>
              <w:rPr>
                <w:rFonts w:hint="eastAsia" w:hAnsi="宋体"/>
                <w:b/>
                <w:snapToGrid w:val="0"/>
                <w:szCs w:val="18"/>
              </w:rPr>
              <w:t>月</w:t>
            </w:r>
            <w:r>
              <w:rPr>
                <w:rFonts w:hint="eastAsia" w:hAnsi="宋体"/>
                <w:b/>
                <w:snapToGrid w:val="0"/>
                <w:szCs w:val="18"/>
                <w:lang w:val="en-US" w:eastAsia="zh-CN"/>
              </w:rPr>
              <w:t>17</w:t>
            </w:r>
            <w:bookmarkStart w:id="94" w:name="_GoBack"/>
            <w:bookmarkEnd w:id="94"/>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，最低收取人民币7000元。</w:t>
            </w:r>
          </w:p>
        </w:tc>
      </w:tr>
    </w:tbl>
    <w:p>
      <w:pPr>
        <w:pStyle w:val="3"/>
        <w:spacing w:before="0" w:after="0"/>
        <w:rPr>
          <w:sz w:val="21"/>
          <w:szCs w:val="21"/>
        </w:rPr>
      </w:pPr>
    </w:p>
    <w:p>
      <w:pPr>
        <w:rPr>
          <w:rFonts w:eastAsiaTheme="minorEastAsia"/>
          <w:kern w:val="44"/>
        </w:rPr>
      </w:pPr>
      <w:r>
        <w:rPr>
          <w:szCs w:val="21"/>
        </w:rPr>
        <w:br w:type="page"/>
      </w:r>
    </w:p>
    <w:p>
      <w:pPr>
        <w:pStyle w:val="3"/>
        <w:spacing w:before="0" w:after="0"/>
        <w:rPr>
          <w:sz w:val="21"/>
          <w:szCs w:val="21"/>
        </w:rPr>
      </w:pPr>
    </w:p>
    <w:p>
      <w:pPr>
        <w:pStyle w:val="3"/>
      </w:pPr>
      <w:bookmarkStart w:id="18" w:name="_Toc110410369"/>
      <w:r>
        <w:rPr>
          <w:rFonts w:hint="eastAsia"/>
        </w:rPr>
        <w:t>第六章  投标人须知</w:t>
      </w:r>
      <w:bookmarkEnd w:id="18"/>
    </w:p>
    <w:p>
      <w:pPr>
        <w:pStyle w:val="4"/>
        <w:spacing w:before="0" w:after="0"/>
      </w:pPr>
      <w:bookmarkStart w:id="19" w:name="_Toc110410370"/>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采购人和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4"/>
        <w:spacing w:before="0" w:after="0"/>
      </w:pPr>
      <w:bookmarkStart w:id="21" w:name="_Toc110410371"/>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2" w:name="q6"/>
      <w:bookmarkEnd w:id="22"/>
      <w:bookmarkStart w:id="23" w:name="_Toc110410372"/>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为了便于投标文件保存，需提交一份投标文件备份光盘（或U盘，内容为投标文件正本盖章扫描件）。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4" w:name="q7"/>
      <w:bookmarkEnd w:id="24"/>
      <w:bookmarkStart w:id="25" w:name="_Toc110410373"/>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w:t>
      </w:r>
      <w:r>
        <w:rPr>
          <w:rFonts w:hint="eastAsia" w:asciiTheme="minorEastAsia" w:hAnsiTheme="minorEastAsia" w:eastAsiaTheme="minorEastAsia"/>
          <w:snapToGrid w:val="0"/>
          <w:kern w:val="0"/>
        </w:rPr>
        <w:t>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27" w:name="q8"/>
      <w:bookmarkEnd w:id="27"/>
      <w:bookmarkStart w:id="28" w:name="_Toc110410374"/>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4"/>
        <w:spacing w:before="0" w:after="0"/>
      </w:pPr>
      <w:bookmarkStart w:id="30" w:name="_Toc110410375"/>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mc:AlternateContent>
                <mc:Choice Requires="wps">
                  <w:drawing>
                    <wp:anchor distT="0" distB="0" distL="114300" distR="114300" simplePos="0" relativeHeight="251665408" behindDoc="0" locked="0" layoutInCell="0" allowOverlap="1">
                      <wp:simplePos x="0" y="0"/>
                      <wp:positionH relativeFrom="column">
                        <wp:posOffset>619760</wp:posOffset>
                      </wp:positionH>
                      <wp:positionV relativeFrom="paragraph">
                        <wp:posOffset>11430</wp:posOffset>
                      </wp:positionV>
                      <wp:extent cx="1451610" cy="732155"/>
                      <wp:effectExtent l="1905" t="4445" r="13335" b="6350"/>
                      <wp:wrapNone/>
                      <wp:docPr id="8" name="直线 6"/>
                      <wp:cNvGraphicFramePr/>
                      <a:graphic xmlns:a="http://schemas.openxmlformats.org/drawingml/2006/main">
                        <a:graphicData uri="http://schemas.microsoft.com/office/word/2010/wordprocessingShape">
                          <wps:wsp>
                            <wps:cNvCnPr/>
                            <wps:spPr>
                              <a:xfrm flipH="1" flipV="1">
                                <a:off x="0" y="0"/>
                                <a:ext cx="1215390" cy="98996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flip:x y;margin-left:48.8pt;margin-top:0.9pt;height:57.65pt;width:114.3pt;z-index:251665408;mso-width-relative:page;mso-height-relative:page;" filled="f" stroked="t" coordsize="21600,21600" o:allowincell="f" o:gfxdata="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61hPdEAAAAIAQAADwAAAAAAAAABACAAAAAiAAAAZHJzL2Rvd25yZXYueG1sUEsB&#10;AhQAFAAAAAgAh07iQHUKKdj8AQAAAgQAAA4AAAAAAAAAAQAgAAAAIAEAAGRycy9lMm9Eb2MueG1s&#10;UEsFBgAAAAAGAAYAWQEAAI4FA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6432" behindDoc="0" locked="0" layoutInCell="0" allowOverlap="1">
                      <wp:simplePos x="0" y="0"/>
                      <wp:positionH relativeFrom="column">
                        <wp:posOffset>90170</wp:posOffset>
                      </wp:positionH>
                      <wp:positionV relativeFrom="paragraph">
                        <wp:posOffset>321945</wp:posOffset>
                      </wp:positionV>
                      <wp:extent cx="1981200" cy="421640"/>
                      <wp:effectExtent l="1270" t="4445" r="17780" b="12065"/>
                      <wp:wrapNone/>
                      <wp:docPr id="9" name="直线 7"/>
                      <wp:cNvGraphicFramePr/>
                      <a:graphic xmlns:a="http://schemas.openxmlformats.org/drawingml/2006/main">
                        <a:graphicData uri="http://schemas.microsoft.com/office/word/2010/wordprocessingShape">
                          <wps:wsp>
                            <wps:cNvCnPr/>
                            <wps:spPr>
                              <a:xfrm flipH="1" flipV="1">
                                <a:off x="0" y="0"/>
                                <a:ext cx="1771650" cy="6794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flip:x y;margin-left:7.1pt;margin-top:25.35pt;height:33.2pt;width:156pt;z-index:251666432;mso-width-relative:page;mso-height-relative:page;" filled="f" stroked="t" coordsize="21600,21600" o:allowincell="f" o:gfxdata="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Wj/7LTAAAACQEAAA8AAAAAAAAAAQAgAAAAIgAAAGRycy9kb3ducmV2LnhtbFBL&#10;AQIUABQAAAAIAIdO4kDwpdTX+wEAAAIEAAAOAAAAAAAAAAEAIAAAACIBAABkcnMvZTJvRG9jLnht&#10;bFBLBQYAAAAABgAGAFkBAACPBQ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4384" behindDoc="0" locked="0" layoutInCell="0" allowOverlap="1">
                      <wp:simplePos x="0" y="0"/>
                      <wp:positionH relativeFrom="column">
                        <wp:posOffset>-114300</wp:posOffset>
                      </wp:positionH>
                      <wp:positionV relativeFrom="paragraph">
                        <wp:posOffset>-6350</wp:posOffset>
                      </wp:positionV>
                      <wp:extent cx="635" cy="0"/>
                      <wp:effectExtent l="0" t="0" r="0" b="0"/>
                      <wp:wrapNone/>
                      <wp:docPr id="7" name="直线 5"/>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9pt;margin-top:-0.5pt;height:0pt;width:0.05pt;z-index:25166438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5HTftUAAAAJ&#10;AQAADwAAAAAAAAABACAAAAAiAAAAZHJzL2Rvd25yZXYueG1sUEsBAhQAFAAAAAgAh07iQFsU+8Dm&#10;AQAA4wMAAA4AAAAAAAAAAQAgAAAAJAEAAGRycy9lMm9Eb2MueG1sUEsFBgAAAAAGAAYAWQEAAHwF&#10;AAAAAA==&#10;">
                      <v:fill on="f" focussize="0,0"/>
                      <v:stroke color="#000000" joinstyle="round"/>
                      <v:imagedata o:title=""/>
                      <o:lock v:ext="edit" aspectratio="f"/>
                    </v:line>
                  </w:pict>
                </mc:Fallback>
              </mc:AlternateConten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中标（成交）金额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4"/>
        <w:spacing w:before="0" w:after="0"/>
      </w:pPr>
      <w:bookmarkStart w:id="31" w:name="_Toc110410376"/>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
    <w:p/>
    <w:p/>
    <w:p/>
    <w:p/>
    <w:p/>
    <w:p>
      <w:pPr>
        <w:pStyle w:val="3"/>
      </w:pPr>
      <w:bookmarkStart w:id="34" w:name="_Toc110410377"/>
      <w:r>
        <w:rPr>
          <w:rFonts w:hint="eastAsia"/>
        </w:rPr>
        <w:t>第七章  投标文件格式</w:t>
      </w:r>
      <w:bookmarkEnd w:id="34"/>
    </w:p>
    <w:p>
      <w:pPr>
        <w:jc w:val="center"/>
        <w:rPr>
          <w:b/>
          <w:sz w:val="52"/>
          <w:szCs w:val="52"/>
        </w:rPr>
      </w:pPr>
    </w:p>
    <w:p>
      <w:pPr>
        <w:pStyle w:val="4"/>
        <w:spacing w:line="400" w:lineRule="exact"/>
        <w:rPr>
          <w:rFonts w:ascii="仿宋" w:hAnsi="仿宋" w:eastAsia="仿宋"/>
        </w:rPr>
      </w:pPr>
      <w:bookmarkStart w:id="35" w:name="_Toc14934"/>
      <w:bookmarkStart w:id="36" w:name="_Toc44690704"/>
      <w:bookmarkStart w:id="37" w:name="_Toc44691163"/>
      <w:bookmarkStart w:id="38" w:name="_Toc110410378"/>
      <w:bookmarkStart w:id="39" w:name="_Toc44691395"/>
      <w:bookmarkStart w:id="40" w:name="_Toc31468"/>
      <w:bookmarkStart w:id="41" w:name="_Toc11772"/>
      <w:bookmarkStart w:id="42" w:name="_Toc44690431"/>
      <w:bookmarkStart w:id="43" w:name="_Toc25194"/>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4" w:name="_投标文件格式（第一册）"/>
      <w:bookmarkEnd w:id="44"/>
      <w:bookmarkStart w:id="45"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46" w:name="_Toc110410379"/>
      <w:r>
        <w:rPr>
          <w:rFonts w:hint="eastAsia" w:ascii="仿宋" w:hAnsi="仿宋" w:eastAsia="仿宋"/>
        </w:rPr>
        <w:t>投标文件格式</w:t>
      </w:r>
      <w:bookmarkEnd w:id="46"/>
    </w:p>
    <w:bookmarkEnd w:id="45"/>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注：此表应与“法定代表人（负责人）证明书、法定代表人（负责人）授权委托书”一起密封于一信封，在递交投标文件时单独交与</w:t>
      </w:r>
      <w:r>
        <w:rPr>
          <w:rFonts w:hint="eastAsia" w:asciiTheme="minorEastAsia" w:hAnsiTheme="minorEastAsia" w:eastAsiaTheme="minorEastAsia"/>
          <w:b/>
          <w:bCs/>
          <w:snapToGrid w:val="0"/>
          <w:kern w:val="0"/>
          <w:szCs w:val="21"/>
        </w:rPr>
        <w:t>采购代理机构。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4"/>
        <w:spacing w:line="400" w:lineRule="exact"/>
        <w:rPr>
          <w:rFonts w:ascii="仿宋" w:hAnsi="仿宋" w:eastAsia="仿宋"/>
        </w:rPr>
      </w:pPr>
      <w:bookmarkStart w:id="48" w:name="_Toc110410380"/>
      <w:bookmarkStart w:id="49" w:name="_Toc73613640"/>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szCs w:val="21"/>
        </w:rPr>
      </w:pPr>
    </w:p>
    <w:p>
      <w:pPr>
        <w:widowControl/>
        <w:jc w:val="left"/>
      </w:pPr>
      <w:r>
        <w:br w:type="page"/>
      </w:r>
    </w:p>
    <w:p/>
    <w:p>
      <w:pPr>
        <w:pStyle w:val="4"/>
        <w:spacing w:line="400" w:lineRule="exact"/>
        <w:rPr>
          <w:rFonts w:ascii="仿宋" w:hAnsi="仿宋" w:eastAsia="仿宋"/>
        </w:rPr>
      </w:pPr>
      <w:bookmarkStart w:id="50" w:name="_Toc110410381"/>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188"/>
        <w:gridCol w:w="2835"/>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188"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835"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188"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5"/>
        <w:jc w:val="center"/>
      </w:pPr>
    </w:p>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1" w:name="_Toc44691164"/>
      <w:bookmarkStart w:id="52" w:name="_Toc44691396"/>
      <w:bookmarkStart w:id="53" w:name="_Toc44690705"/>
      <w:bookmarkStart w:id="54" w:name="_Toc44690432"/>
      <w:r>
        <w:rPr>
          <w:rFonts w:hint="eastAsia" w:asciiTheme="minorEastAsia" w:hAnsiTheme="minorEastAsia" w:eastAsiaTheme="minorEastAsia"/>
          <w:sz w:val="24"/>
        </w:rPr>
        <w:t>格式1  投标人资格证明文件</w:t>
      </w:r>
      <w:bookmarkEnd w:id="51"/>
      <w:bookmarkEnd w:id="52"/>
      <w:bookmarkEnd w:id="53"/>
      <w:bookmarkEnd w:id="54"/>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w:t>
      </w:r>
      <w:r>
        <w:rPr>
          <w:rFonts w:hint="eastAsia" w:asciiTheme="minorEastAsia" w:hAnsiTheme="minorEastAsia" w:eastAsiaTheme="minorEastAsia"/>
          <w:snapToGrid w:val="0"/>
        </w:rPr>
        <w:t>国家企业信用信息公示系统（https://www.gsxt.gov.cn/index.html）或机关赋码和事业单位登记管理网（http://www.gjsy.gov.cn/sydwfrxxcx/）或全国社会组织信用信息公示平台（https://xxgs.chinanpo.mca.gov.cn/gsxt/newList）网站供应商信息查询截图</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法定代表人（负责人）证明书及授权委托书</w:t>
      </w:r>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63360"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6"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6336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y27ZfYAAAACgEAAA8AAAAAAAAAAQAgAAAAIgAAAGRycy9kb3ducmV2LnhtbFBL&#10;AQIUABQAAAAIAIdO4kB4bL+1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5"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6233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KoqsNb2AQAALQ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A1nBjQ1/CeJBqZXyD4leUYX&#10;aop6dA/+7AUyE9ep8zr9iQWbsqSni6Q4RSZo82O5uq1KUlvQWXW3qmgEEmrxfN35EL+i1SwZDfeU&#10;PksJx28hzqF/QlK2YJVsd1Kp7Ph+/1l5dgTq7y5/Z/RXYcqwseF3N0siKYCGtqNhIVM7Ih5Mn/O9&#10;uhFeApf5+xdwKmwLYZgLyAgpDGotI/psDQjtF9OyeHIkrqE3xVMxGlvOFNITTFaOjCDVNZGknTIk&#10;YerM3ItkxWk/EUwy97Y9UVcPzst+IEmrXHo6oSnK2p8nPo3pSz+DPr/y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f1/F2QAAAAoBAAAPAAAAAAAAAAEAIAAAACIAAABkcnMvZG93bnJldi54bWxQ&#10;SwECFAAUAAAACACHTuJAqiqw1vYBAAAtBAAADgAAAAAAAAABACAAAAAoAQAAZHJzL2Uyb0RvYy54&#10;bWxQSwUGAAAAAAYABgBZAQAAkAUAAAAA&#10;">
                <v:fill on="t" focussize="0,0"/>
                <v:stroke color="#000000" joinstyle="miter"/>
                <v:imagedata o:title=""/>
                <o:lock v:ext="edit" aspectratio="f"/>
                <v:textbo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5" w:name="_Toc226217114"/>
      <w:r>
        <w:rPr>
          <w:rFonts w:ascii="宋体"/>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3"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6028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CKzznG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61312"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4"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6131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HFivbPcBAAAt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5"/>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
      <w:pPr>
        <w:widowControl/>
        <w:jc w:val="left"/>
      </w:pPr>
      <w:r>
        <w:br w:type="page"/>
      </w:r>
    </w:p>
    <w:p>
      <w:pPr>
        <w:tabs>
          <w:tab w:val="left" w:pos="720"/>
        </w:tabs>
        <w:adjustRightInd w:val="0"/>
        <w:snapToGrid w:val="0"/>
        <w:spacing w:line="300" w:lineRule="auto"/>
        <w:rPr>
          <w:b/>
          <w:snapToGrid w:val="0"/>
          <w:kern w:val="0"/>
          <w:sz w:val="28"/>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6"/>
        <w:tabs>
          <w:tab w:val="left" w:pos="0"/>
        </w:tabs>
        <w:jc w:val="center"/>
        <w:rPr>
          <w:rFonts w:ascii="宋体" w:hAnsi="宋体" w:eastAsia="宋体"/>
        </w:rPr>
      </w:pPr>
      <w:r>
        <w:rPr>
          <w:rFonts w:hint="eastAsia" w:ascii="宋体" w:hAnsi="宋体" w:eastAsia="宋体"/>
        </w:rPr>
        <w:t>中小企业声明函</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adjustRightInd w:val="0"/>
        <w:snapToGrid w:val="0"/>
        <w:spacing w:line="360" w:lineRule="auto"/>
        <w:ind w:firstLine="600"/>
        <w:jc w:val="right"/>
      </w:pPr>
      <w:r>
        <w:t xml:space="preserve">                                          </w:t>
      </w:r>
      <w:r>
        <w:rPr>
          <w:b/>
          <w:bCs/>
        </w:rPr>
        <w:t xml:space="preserve">  </w:t>
      </w:r>
    </w:p>
    <w:p>
      <w:pPr>
        <w:adjustRightInd w:val="0"/>
        <w:snapToGrid w:val="0"/>
        <w:spacing w:line="360" w:lineRule="auto"/>
        <w:ind w:firstLine="600"/>
        <w:jc w:val="right"/>
      </w:pPr>
    </w:p>
    <w:p>
      <w:pPr>
        <w:widowControl/>
        <w:jc w:val="left"/>
      </w:pPr>
      <w:r>
        <w:br w:type="page"/>
      </w:r>
    </w:p>
    <w:p>
      <w:pPr>
        <w:adjustRightInd w:val="0"/>
        <w:snapToGrid w:val="0"/>
        <w:spacing w:line="360" w:lineRule="auto"/>
        <w:ind w:firstLine="600"/>
        <w:jc w:val="left"/>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6" w:name="_Toc44691165"/>
      <w:bookmarkStart w:id="57" w:name="_Toc44690433"/>
      <w:bookmarkStart w:id="58" w:name="_Toc44691397"/>
      <w:bookmarkStart w:id="59" w:name="_Toc44690706"/>
      <w:r>
        <w:rPr>
          <w:rFonts w:hint="eastAsia" w:asciiTheme="minorEastAsia" w:hAnsiTheme="minorEastAsia" w:eastAsiaTheme="minorEastAsia"/>
          <w:sz w:val="24"/>
        </w:rPr>
        <w:t>格式5  开标一览表</w:t>
      </w:r>
      <w:bookmarkEnd w:id="56"/>
      <w:bookmarkEnd w:id="57"/>
      <w:bookmarkEnd w:id="58"/>
      <w:bookmarkEnd w:id="59"/>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4330"/>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315"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30"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315" w:type="dxa"/>
            <w:tcBorders>
              <w:top w:val="single" w:color="auto" w:sz="4" w:space="0"/>
            </w:tcBorders>
            <w:vAlign w:val="center"/>
          </w:tcPr>
          <w:p>
            <w:pPr>
              <w:adjustRightInd w:val="0"/>
              <w:snapToGrid w:val="0"/>
              <w:spacing w:line="360" w:lineRule="auto"/>
              <w:jc w:val="center"/>
              <w:rPr>
                <w:rFonts w:hint="eastAsia" w:eastAsia="宋体"/>
                <w:lang w:eastAsia="zh-CN"/>
              </w:rPr>
            </w:pPr>
            <w:r>
              <w:rPr>
                <w:rFonts w:hint="eastAsia" w:asciiTheme="minorEastAsia" w:hAnsiTheme="minorEastAsia" w:eastAsiaTheme="minorEastAsia"/>
                <w:lang w:eastAsia="zh-CN"/>
              </w:rPr>
              <w:t>心理健康宣教服务项目（第二次）</w:t>
            </w:r>
          </w:p>
        </w:tc>
        <w:tc>
          <w:tcPr>
            <w:tcW w:w="4330"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0" w:name="_Toc44691398"/>
      <w:bookmarkStart w:id="61" w:name="_Toc44691166"/>
      <w:bookmarkStart w:id="62" w:name="_Toc44690707"/>
      <w:bookmarkStart w:id="63" w:name="_Toc44690434"/>
      <w:r>
        <w:rPr>
          <w:rFonts w:hint="eastAsia" w:asciiTheme="minorEastAsia" w:hAnsiTheme="minorEastAsia" w:eastAsiaTheme="minorEastAsia"/>
          <w:sz w:val="24"/>
        </w:rPr>
        <w:t>格式6  报价表</w:t>
      </w:r>
      <w:bookmarkEnd w:id="60"/>
      <w:bookmarkEnd w:id="61"/>
      <w:bookmarkEnd w:id="62"/>
      <w:bookmarkEnd w:id="63"/>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
      <w:pPr>
        <w:pStyle w:val="28"/>
        <w:adjustRightInd w:val="0"/>
        <w:snapToGrid w:val="0"/>
        <w:spacing w:line="312" w:lineRule="auto"/>
        <w:jc w:val="center"/>
        <w:rPr>
          <w:rFonts w:ascii="Times New Roman" w:hAnsi="Times New Roman"/>
          <w:b/>
          <w:sz w:val="28"/>
        </w:rPr>
      </w:pPr>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4" w:name="_Toc44690708"/>
      <w:bookmarkStart w:id="65" w:name="_Toc44691399"/>
      <w:bookmarkStart w:id="66" w:name="_Toc44690435"/>
      <w:bookmarkStart w:id="67" w:name="_Toc44691167"/>
      <w:r>
        <w:rPr>
          <w:rFonts w:hint="eastAsia" w:asciiTheme="minorEastAsia" w:hAnsiTheme="minorEastAsia" w:eastAsiaTheme="minorEastAsia"/>
          <w:sz w:val="24"/>
        </w:rPr>
        <w:t>格式7  服务方案</w:t>
      </w:r>
      <w:bookmarkEnd w:id="64"/>
      <w:bookmarkEnd w:id="65"/>
      <w:bookmarkEnd w:id="66"/>
      <w:bookmarkEnd w:id="67"/>
    </w:p>
    <w:p>
      <w:pPr>
        <w:pStyle w:val="8"/>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1、实施方案</w:t>
      </w:r>
    </w:p>
    <w:p>
      <w:pPr>
        <w:spacing w:line="360" w:lineRule="auto"/>
        <w:ind w:firstLine="420" w:firstLineChars="200"/>
        <w:rPr>
          <w:rFonts w:hint="eastAsia" w:ascii="宋体" w:hAnsi="宋体"/>
          <w:szCs w:val="21"/>
        </w:rPr>
      </w:pPr>
      <w:r>
        <w:rPr>
          <w:rFonts w:hint="eastAsia" w:ascii="宋体" w:hAnsi="宋体"/>
          <w:szCs w:val="21"/>
        </w:rPr>
        <w:t>2、应急方案</w:t>
      </w:r>
    </w:p>
    <w:p>
      <w:pPr>
        <w:spacing w:line="360" w:lineRule="auto"/>
        <w:ind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拟投入人员情况：包括</w:t>
      </w:r>
      <w:r>
        <w:rPr>
          <w:rFonts w:hint="eastAsia" w:ascii="宋体" w:hAnsi="宋体"/>
          <w:kern w:val="0"/>
          <w:szCs w:val="21"/>
        </w:rPr>
        <w:t>项目负责人、</w:t>
      </w:r>
      <w:r>
        <w:rPr>
          <w:rFonts w:hint="eastAsia" w:ascii="宋体" w:hAnsi="宋体" w:cs="宋体"/>
          <w:szCs w:val="21"/>
        </w:rPr>
        <w:t>项目团队成员</w:t>
      </w:r>
      <w:r>
        <w:rPr>
          <w:rFonts w:hint="eastAsia" w:ascii="宋体" w:hAnsi="宋体"/>
          <w:szCs w:val="21"/>
        </w:rPr>
        <w:t>的数量、资质等（附《项目人员情况一览表》）</w:t>
      </w:r>
    </w:p>
    <w:p>
      <w:pPr>
        <w:spacing w:line="360" w:lineRule="auto"/>
        <w:ind w:left="420"/>
        <w:rPr>
          <w:rFonts w:ascii="宋体" w:hAnsi="宋体" w:cs="宋体"/>
          <w:szCs w:val="21"/>
        </w:rPr>
      </w:pPr>
      <w:r>
        <w:rPr>
          <w:rFonts w:hint="eastAsia" w:ascii="宋体" w:hAnsi="宋体"/>
          <w:bCs/>
        </w:rPr>
        <w:t>3、</w:t>
      </w:r>
      <w:r>
        <w:rPr>
          <w:rFonts w:hint="eastAsia" w:ascii="宋体" w:hAnsi="宋体" w:cs="宋体"/>
          <w:szCs w:val="21"/>
        </w:rPr>
        <w:t>自行运营的微信公众号情况</w:t>
      </w:r>
    </w:p>
    <w:p>
      <w:pPr>
        <w:spacing w:line="360" w:lineRule="auto"/>
        <w:ind w:left="420"/>
        <w:rPr>
          <w:rFonts w:hint="eastAsia" w:ascii="宋体" w:hAnsi="宋体" w:cs="宋体"/>
          <w:szCs w:val="21"/>
        </w:rPr>
      </w:pPr>
      <w:r>
        <w:rPr>
          <w:rFonts w:hint="eastAsia" w:ascii="宋体" w:hAnsi="宋体" w:cs="宋体"/>
          <w:szCs w:val="21"/>
        </w:rPr>
        <w:t>4、策划举办健康活动的情况</w:t>
      </w:r>
    </w:p>
    <w:p>
      <w:pPr>
        <w:spacing w:line="360" w:lineRule="auto"/>
        <w:ind w:left="420"/>
        <w:rPr>
          <w:rFonts w:ascii="宋体" w:hAnsi="宋体"/>
          <w:bCs/>
        </w:rPr>
      </w:pPr>
      <w:r>
        <w:rPr>
          <w:rFonts w:hint="eastAsia" w:ascii="宋体" w:hAnsi="宋体"/>
          <w:bCs/>
          <w:lang w:val="en-US" w:eastAsia="zh-CN"/>
        </w:rPr>
        <w:t>5</w:t>
      </w:r>
      <w:r>
        <w:rPr>
          <w:rFonts w:hint="eastAsia" w:ascii="宋体" w:hAnsi="宋体"/>
          <w:bCs/>
        </w:rPr>
        <w:t>、投标人认为必要的其他方案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snapToGrid w:val="0"/>
          <w:kern w:val="0"/>
        </w:rPr>
      </w:pPr>
      <w:r>
        <w:rPr>
          <w:snapToGrid w:val="0"/>
          <w:kern w:val="0"/>
        </w:rPr>
        <w:br w:type="page"/>
      </w:r>
    </w:p>
    <w:p>
      <w:pPr>
        <w:adjustRightInd w:val="0"/>
        <w:snapToGrid w:val="0"/>
        <w:spacing w:line="300" w:lineRule="auto"/>
        <w:jc w:val="lef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w:t>
      </w:r>
      <w:r>
        <w:rPr>
          <w:rFonts w:hint="eastAsia" w:asciiTheme="minorEastAsia" w:hAnsiTheme="minorEastAsia" w:eastAsiaTheme="minorEastAsia"/>
          <w:sz w:val="24"/>
        </w:rPr>
        <w:t>投标人情况介绍</w:t>
      </w:r>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pStyle w:val="5"/>
        <w:spacing w:before="0"/>
        <w:rPr>
          <w:rFonts w:ascii="宋体" w:hAnsi="宋体"/>
          <w:sz w:val="28"/>
        </w:rPr>
      </w:pPr>
    </w:p>
    <w:p/>
    <w:p/>
    <w:p/>
    <w:p/>
    <w:p/>
    <w:p/>
    <w:p/>
    <w:p/>
    <w:p/>
    <w:p/>
    <w:p/>
    <w:p/>
    <w:p/>
    <w:p/>
    <w:p/>
    <w:p/>
    <w:p/>
    <w:p/>
    <w:p/>
    <w:p/>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8" w:name="_Toc44691168"/>
      <w:bookmarkStart w:id="69" w:name="_Toc44690709"/>
      <w:bookmarkStart w:id="70" w:name="_Toc44690436"/>
      <w:bookmarkStart w:id="71" w:name="_Toc44691400"/>
      <w:r>
        <w:rPr>
          <w:rFonts w:hint="eastAsia" w:asciiTheme="minorEastAsia" w:hAnsiTheme="minorEastAsia" w:eastAsiaTheme="minorEastAsia"/>
          <w:sz w:val="24"/>
        </w:rPr>
        <w:t>格式9  偏离表</w:t>
      </w:r>
      <w:bookmarkEnd w:id="68"/>
      <w:bookmarkEnd w:id="69"/>
      <w:bookmarkEnd w:id="70"/>
      <w:bookmarkEnd w:id="71"/>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2" w:name="_格式3__"/>
      <w:bookmarkEnd w:id="72"/>
      <w:bookmarkStart w:id="73" w:name="_格式5__"/>
      <w:bookmarkEnd w:id="73"/>
      <w:bookmarkStart w:id="74" w:name="_格式2__投标保证金凭证"/>
      <w:bookmarkEnd w:id="74"/>
      <w:bookmarkStart w:id="75" w:name="q16"/>
      <w:bookmarkEnd w:id="75"/>
      <w:bookmarkStart w:id="76" w:name="q17"/>
      <w:bookmarkEnd w:id="76"/>
      <w:bookmarkStart w:id="77" w:name="_格式4__"/>
      <w:bookmarkEnd w:id="77"/>
      <w:bookmarkStart w:id="78" w:name="q15"/>
      <w:bookmarkEnd w:id="78"/>
      <w:r>
        <w:rPr>
          <w:rFonts w:asciiTheme="minorEastAsia" w:hAnsiTheme="minorEastAsia" w:eastAsiaTheme="minorEastAsia"/>
          <w:sz w:val="24"/>
        </w:rPr>
        <w:tab/>
      </w:r>
      <w:bookmarkStart w:id="79" w:name="_Toc44691169"/>
      <w:bookmarkStart w:id="80" w:name="_Toc44690710"/>
      <w:bookmarkStart w:id="81" w:name="_Toc44690437"/>
      <w:bookmarkStart w:id="82" w:name="_Toc44691401"/>
      <w:r>
        <w:rPr>
          <w:rFonts w:hint="eastAsia" w:asciiTheme="minorEastAsia" w:hAnsiTheme="minorEastAsia" w:eastAsiaTheme="minorEastAsia"/>
          <w:sz w:val="24"/>
        </w:rPr>
        <w:t xml:space="preserve">格式10  </w:t>
      </w:r>
      <w:bookmarkEnd w:id="79"/>
      <w:bookmarkEnd w:id="80"/>
      <w:bookmarkEnd w:id="81"/>
      <w:bookmarkEnd w:id="82"/>
      <w:r>
        <w:rPr>
          <w:rFonts w:hint="eastAsia" w:asciiTheme="minorEastAsia" w:hAnsiTheme="minorEastAsia" w:eastAsiaTheme="minorEastAsia"/>
          <w:sz w:val="24"/>
        </w:rPr>
        <w:t>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rPr>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pStyle w:val="3"/>
      </w:pPr>
      <w:bookmarkStart w:id="83" w:name="_Toc110410382"/>
      <w:r>
        <w:rPr>
          <w:rFonts w:hint="eastAsia"/>
        </w:rPr>
        <w:t>第八章  合同条款</w:t>
      </w:r>
      <w:bookmarkEnd w:id="83"/>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6"/>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6"/>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6"/>
        <w:snapToGrid w:val="0"/>
        <w:spacing w:line="360" w:lineRule="auto"/>
        <w:ind w:firstLine="422" w:firstLineChars="200"/>
        <w:rPr>
          <w:rFonts w:hAnsi="宋体"/>
          <w:b/>
          <w:szCs w:val="21"/>
        </w:rPr>
      </w:pPr>
      <w:r>
        <w:rPr>
          <w:rFonts w:hint="eastAsia" w:hAnsi="宋体"/>
          <w:b/>
          <w:szCs w:val="21"/>
        </w:rPr>
        <w:t>二、合同金额</w:t>
      </w:r>
    </w:p>
    <w:p>
      <w:pPr>
        <w:pStyle w:val="26"/>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6"/>
        <w:snapToGrid w:val="0"/>
        <w:spacing w:line="360" w:lineRule="auto"/>
        <w:ind w:firstLine="422" w:firstLineChars="200"/>
        <w:rPr>
          <w:rFonts w:hAnsi="宋体"/>
          <w:b/>
          <w:szCs w:val="21"/>
        </w:rPr>
      </w:pPr>
      <w:r>
        <w:rPr>
          <w:rFonts w:hint="eastAsia" w:hAnsi="宋体"/>
          <w:b/>
          <w:szCs w:val="21"/>
        </w:rPr>
        <w:t>三、技术资料</w:t>
      </w:r>
    </w:p>
    <w:p>
      <w:pPr>
        <w:pStyle w:val="26"/>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6"/>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6"/>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6"/>
        <w:snapToGrid w:val="0"/>
        <w:spacing w:line="360" w:lineRule="auto"/>
        <w:ind w:firstLine="422" w:firstLineChars="200"/>
        <w:rPr>
          <w:rFonts w:hAnsi="宋体"/>
          <w:b/>
          <w:szCs w:val="21"/>
        </w:rPr>
      </w:pPr>
      <w:r>
        <w:rPr>
          <w:rFonts w:hint="eastAsia" w:hAnsi="宋体"/>
          <w:b/>
          <w:szCs w:val="21"/>
        </w:rPr>
        <w:t>四、知识产权</w:t>
      </w:r>
    </w:p>
    <w:p>
      <w:pPr>
        <w:pStyle w:val="26"/>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6"/>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6"/>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6"/>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6"/>
        <w:snapToGrid w:val="0"/>
        <w:spacing w:line="360" w:lineRule="auto"/>
        <w:ind w:firstLine="422" w:firstLineChars="200"/>
        <w:rPr>
          <w:rFonts w:hAnsi="宋体"/>
          <w:b/>
          <w:szCs w:val="21"/>
        </w:rPr>
      </w:pPr>
      <w:r>
        <w:rPr>
          <w:rFonts w:hint="eastAsia" w:hAnsi="宋体"/>
          <w:b/>
          <w:szCs w:val="21"/>
        </w:rPr>
        <w:t>十、付款方式和税费</w:t>
      </w:r>
    </w:p>
    <w:p>
      <w:pPr>
        <w:pStyle w:val="26"/>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6"/>
        <w:snapToGrid w:val="0"/>
        <w:spacing w:line="360" w:lineRule="auto"/>
        <w:ind w:firstLine="422" w:firstLineChars="200"/>
        <w:rPr>
          <w:rFonts w:hAnsi="宋体"/>
          <w:b/>
          <w:szCs w:val="21"/>
        </w:rPr>
      </w:pPr>
      <w:r>
        <w:rPr>
          <w:rFonts w:hint="eastAsia" w:hAnsi="宋体"/>
          <w:b/>
          <w:szCs w:val="21"/>
        </w:rPr>
        <w:t>十二、违约责任</w:t>
      </w:r>
    </w:p>
    <w:p>
      <w:pPr>
        <w:pStyle w:val="26"/>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4" w:name="_Toc110410383"/>
      <w:bookmarkStart w:id="85" w:name="_Toc73610161"/>
      <w:r>
        <w:rPr>
          <w:rFonts w:hint="eastAsia"/>
        </w:rPr>
        <w:t>第九章  附件</w:t>
      </w:r>
      <w:bookmarkEnd w:id="84"/>
      <w:bookmarkEnd w:id="85"/>
    </w:p>
    <w:p>
      <w:pPr>
        <w:pStyle w:val="4"/>
        <w:spacing w:before="0" w:after="0"/>
      </w:pPr>
      <w:bookmarkStart w:id="86" w:name="_Toc73610162"/>
      <w:bookmarkStart w:id="87" w:name="_Toc110410384"/>
      <w:r>
        <w:rPr>
          <w:rFonts w:hint="eastAsia"/>
        </w:rPr>
        <w:t>一、财政部 工业和信息化部关于印发《政府采购促进中小企业发展管理办法》的通知</w:t>
      </w:r>
      <w:bookmarkEnd w:id="86"/>
      <w:bookmarkEnd w:id="87"/>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4"/>
        <w:spacing w:before="0" w:after="0"/>
      </w:pPr>
      <w:bookmarkStart w:id="88" w:name="_Toc110410385"/>
      <w:bookmarkStart w:id="89" w:name="_Toc73610163"/>
      <w:r>
        <w:rPr>
          <w:rFonts w:hint="eastAsia"/>
        </w:rPr>
        <w:t>二、关于印发中小企业划型标准规定的通知</w:t>
      </w:r>
      <w:bookmarkEnd w:id="88"/>
      <w:bookmarkEnd w:id="89"/>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4"/>
        <w:spacing w:before="0" w:after="0"/>
      </w:pPr>
      <w:bookmarkStart w:id="90" w:name="_Toc73610164"/>
      <w:bookmarkStart w:id="91" w:name="_Toc110410386"/>
      <w:r>
        <w:rPr>
          <w:rFonts w:hint="eastAsia"/>
        </w:rPr>
        <w:t>三、</w:t>
      </w:r>
      <w:r>
        <w:t>国家统计局关于印发《统计上大中小微型企业划分办法 （2017）》的通知</w:t>
      </w:r>
      <w:bookmarkEnd w:id="90"/>
      <w:bookmarkEnd w:id="91"/>
      <w: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pPr>
      <w:bookmarkStart w:id="92" w:name="_Toc110410387"/>
      <w:bookmarkStart w:id="93" w:name="_Toc73610165"/>
      <w:r>
        <w:rPr>
          <w:rFonts w:hint="eastAsia"/>
        </w:rPr>
        <w:t>四、</w:t>
      </w:r>
      <w:r>
        <w:t>财政部 民政部 中国残疾人联合会关于促进残疾人就业 政府采购政策的通知</w:t>
      </w:r>
      <w:bookmarkEnd w:id="92"/>
      <w:bookmarkEnd w:id="93"/>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1"/>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华文仿宋"/>
    <w:panose1 w:val="00000000000000000000"/>
    <w:charset w:val="86"/>
    <w:family w:val="auto"/>
    <w:pitch w:val="default"/>
    <w:sig w:usb0="00000000" w:usb1="00000000" w:usb2="0000001E"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Wingdings 2">
    <w:panose1 w:val="05020102010507070707"/>
    <w:charset w:val="00"/>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2</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pPr>
    <w:r>
      <w:rPr>
        <w:rFonts w:hint="eastAsia"/>
      </w:rPr>
      <w:t>项目名称：</w:t>
    </w:r>
    <w:r>
      <w:rPr>
        <w:rFonts w:hint="eastAsia" w:asciiTheme="minorEastAsia" w:hAnsiTheme="minorEastAsia" w:eastAsiaTheme="minorEastAsia"/>
        <w:lang w:eastAsia="zh-CN"/>
      </w:rPr>
      <w:t>心理健康宣教服务项目（第二次）</w:t>
    </w:r>
    <w:r>
      <w:rPr>
        <w:rFonts w:hint="eastAsia" w:asciiTheme="minorEastAsia" w:hAnsiTheme="minorEastAsia" w:eastAsiaTheme="minorEastAsia"/>
      </w:rPr>
      <w:t xml:space="preserve">       </w:t>
    </w:r>
    <w:r>
      <w:rPr>
        <w:rFonts w:hint="eastAsia"/>
      </w:rPr>
      <w:t xml:space="preserve">                               </w:t>
    </w:r>
    <w:r>
      <w:rPr>
        <w:rFonts w:hint="eastAsia"/>
        <w:lang w:val="en-US" w:eastAsia="zh-CN"/>
      </w:rPr>
      <w:t xml:space="preserve">    </w:t>
    </w:r>
    <w:r>
      <w:rPr>
        <w:rFonts w:hint="eastAsia"/>
      </w:rPr>
      <w:t>项目编号：</w:t>
    </w:r>
    <w:r>
      <w:rPr>
        <w:rFonts w:hint="eastAsia" w:asciiTheme="minorEastAsia" w:hAnsiTheme="minorEastAsia" w:eastAsiaTheme="minorEastAsia"/>
      </w:rPr>
      <w:t>SZZZ2022-QC0495</w:t>
    </w:r>
    <w:r>
      <w:tab/>
    </w:r>
  </w:p>
  <w:p>
    <w:pPr>
      <w:pStyle w:val="32"/>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7"/>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9"/>
      <w:lvlText w:val="%6."/>
      <w:lvlJc w:val="right"/>
      <w:pPr>
        <w:tabs>
          <w:tab w:val="left" w:pos="2531"/>
        </w:tabs>
        <w:ind w:left="2531" w:hanging="420"/>
      </w:pPr>
    </w:lvl>
    <w:lvl w:ilvl="6" w:tentative="0">
      <w:start w:val="1"/>
      <w:numFmt w:val="decimal"/>
      <w:pStyle w:val="10"/>
      <w:lvlText w:val="%7."/>
      <w:lvlJc w:val="left"/>
      <w:pPr>
        <w:tabs>
          <w:tab w:val="left" w:pos="2951"/>
        </w:tabs>
        <w:ind w:left="2951" w:hanging="420"/>
      </w:pPr>
    </w:lvl>
    <w:lvl w:ilvl="7" w:tentative="0">
      <w:start w:val="1"/>
      <w:numFmt w:val="lowerLetter"/>
      <w:pStyle w:val="11"/>
      <w:lvlText w:val="%8)"/>
      <w:lvlJc w:val="left"/>
      <w:pPr>
        <w:tabs>
          <w:tab w:val="left" w:pos="3371"/>
        </w:tabs>
        <w:ind w:left="3371" w:hanging="420"/>
      </w:pPr>
    </w:lvl>
    <w:lvl w:ilvl="8" w:tentative="0">
      <w:start w:val="1"/>
      <w:numFmt w:val="lowerRoman"/>
      <w:pStyle w:val="12"/>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lN2M1OWY0NWI1NDk1NTgyMmRmOTEyYTEzMzkyZTMifQ=="/>
  </w:docVars>
  <w:rsids>
    <w:rsidRoot w:val="00172A27"/>
    <w:rsid w:val="0000134D"/>
    <w:rsid w:val="00001F1C"/>
    <w:rsid w:val="000036D6"/>
    <w:rsid w:val="00003A46"/>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DBB"/>
    <w:rsid w:val="00015940"/>
    <w:rsid w:val="00015AF5"/>
    <w:rsid w:val="00016458"/>
    <w:rsid w:val="000165EF"/>
    <w:rsid w:val="00016FC3"/>
    <w:rsid w:val="0001728F"/>
    <w:rsid w:val="00017340"/>
    <w:rsid w:val="000208F8"/>
    <w:rsid w:val="00021304"/>
    <w:rsid w:val="0002197F"/>
    <w:rsid w:val="00022C27"/>
    <w:rsid w:val="00022F4F"/>
    <w:rsid w:val="00022FA9"/>
    <w:rsid w:val="000237EE"/>
    <w:rsid w:val="000243D2"/>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0DA4"/>
    <w:rsid w:val="00042758"/>
    <w:rsid w:val="00043D2B"/>
    <w:rsid w:val="000442CB"/>
    <w:rsid w:val="000447F6"/>
    <w:rsid w:val="00045923"/>
    <w:rsid w:val="00045EB5"/>
    <w:rsid w:val="00046595"/>
    <w:rsid w:val="00046998"/>
    <w:rsid w:val="0004741F"/>
    <w:rsid w:val="00047612"/>
    <w:rsid w:val="00047852"/>
    <w:rsid w:val="00050F73"/>
    <w:rsid w:val="00051378"/>
    <w:rsid w:val="0005271F"/>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5967"/>
    <w:rsid w:val="00066813"/>
    <w:rsid w:val="000668F4"/>
    <w:rsid w:val="0006745C"/>
    <w:rsid w:val="00067D3F"/>
    <w:rsid w:val="00067DC4"/>
    <w:rsid w:val="000700C5"/>
    <w:rsid w:val="00070384"/>
    <w:rsid w:val="00071507"/>
    <w:rsid w:val="0007211D"/>
    <w:rsid w:val="00072BD7"/>
    <w:rsid w:val="000730F3"/>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0910"/>
    <w:rsid w:val="000B10D9"/>
    <w:rsid w:val="000B1ED2"/>
    <w:rsid w:val="000B20FC"/>
    <w:rsid w:val="000B22EA"/>
    <w:rsid w:val="000B3202"/>
    <w:rsid w:val="000B493E"/>
    <w:rsid w:val="000B4F60"/>
    <w:rsid w:val="000B5B6D"/>
    <w:rsid w:val="000B5CC8"/>
    <w:rsid w:val="000B5DFC"/>
    <w:rsid w:val="000B5E52"/>
    <w:rsid w:val="000B61BF"/>
    <w:rsid w:val="000B620E"/>
    <w:rsid w:val="000B67E1"/>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09C"/>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2BF0"/>
    <w:rsid w:val="000E3219"/>
    <w:rsid w:val="000E321B"/>
    <w:rsid w:val="000E3D76"/>
    <w:rsid w:val="000E4186"/>
    <w:rsid w:val="000E52FA"/>
    <w:rsid w:val="000E6437"/>
    <w:rsid w:val="000E64F6"/>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A82"/>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3ECB"/>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510"/>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3F8"/>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4BC"/>
    <w:rsid w:val="00187B3E"/>
    <w:rsid w:val="0019153B"/>
    <w:rsid w:val="001915A3"/>
    <w:rsid w:val="001919EB"/>
    <w:rsid w:val="00191B94"/>
    <w:rsid w:val="00191D89"/>
    <w:rsid w:val="0019227B"/>
    <w:rsid w:val="00192D08"/>
    <w:rsid w:val="0019368B"/>
    <w:rsid w:val="001938D2"/>
    <w:rsid w:val="00193917"/>
    <w:rsid w:val="001941C8"/>
    <w:rsid w:val="00194D59"/>
    <w:rsid w:val="00195B8B"/>
    <w:rsid w:val="00195DCB"/>
    <w:rsid w:val="00195F14"/>
    <w:rsid w:val="001961A2"/>
    <w:rsid w:val="00196787"/>
    <w:rsid w:val="00196B4C"/>
    <w:rsid w:val="001970AD"/>
    <w:rsid w:val="00197204"/>
    <w:rsid w:val="001A173C"/>
    <w:rsid w:val="001A1844"/>
    <w:rsid w:val="001A1998"/>
    <w:rsid w:val="001A1BE9"/>
    <w:rsid w:val="001A20CA"/>
    <w:rsid w:val="001A290D"/>
    <w:rsid w:val="001A2B9F"/>
    <w:rsid w:val="001A3B13"/>
    <w:rsid w:val="001A3CF6"/>
    <w:rsid w:val="001A3EE7"/>
    <w:rsid w:val="001A4360"/>
    <w:rsid w:val="001A4420"/>
    <w:rsid w:val="001A46B5"/>
    <w:rsid w:val="001A46F2"/>
    <w:rsid w:val="001A68EC"/>
    <w:rsid w:val="001A6C49"/>
    <w:rsid w:val="001A7C91"/>
    <w:rsid w:val="001B0220"/>
    <w:rsid w:val="001B0850"/>
    <w:rsid w:val="001B1281"/>
    <w:rsid w:val="001B1D39"/>
    <w:rsid w:val="001B2126"/>
    <w:rsid w:val="001B2329"/>
    <w:rsid w:val="001B23F5"/>
    <w:rsid w:val="001B2666"/>
    <w:rsid w:val="001B2909"/>
    <w:rsid w:val="001B2A31"/>
    <w:rsid w:val="001B2D49"/>
    <w:rsid w:val="001B2E91"/>
    <w:rsid w:val="001B5B42"/>
    <w:rsid w:val="001B606A"/>
    <w:rsid w:val="001B6DDB"/>
    <w:rsid w:val="001B7078"/>
    <w:rsid w:val="001B7491"/>
    <w:rsid w:val="001B75CF"/>
    <w:rsid w:val="001B7A8D"/>
    <w:rsid w:val="001B7EBE"/>
    <w:rsid w:val="001C06C0"/>
    <w:rsid w:val="001C0AC9"/>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43B"/>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1C18"/>
    <w:rsid w:val="001E208F"/>
    <w:rsid w:val="001E233C"/>
    <w:rsid w:val="001E4950"/>
    <w:rsid w:val="001E5014"/>
    <w:rsid w:val="001E630A"/>
    <w:rsid w:val="001E7838"/>
    <w:rsid w:val="001E7A22"/>
    <w:rsid w:val="001E7D19"/>
    <w:rsid w:val="001F0C50"/>
    <w:rsid w:val="001F0CFA"/>
    <w:rsid w:val="001F1464"/>
    <w:rsid w:val="001F1897"/>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1348"/>
    <w:rsid w:val="00201A4E"/>
    <w:rsid w:val="00201B37"/>
    <w:rsid w:val="00201C8A"/>
    <w:rsid w:val="00202525"/>
    <w:rsid w:val="00202B43"/>
    <w:rsid w:val="002035A2"/>
    <w:rsid w:val="00203787"/>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3FB6"/>
    <w:rsid w:val="0022435D"/>
    <w:rsid w:val="0022442C"/>
    <w:rsid w:val="002245B1"/>
    <w:rsid w:val="00224A1D"/>
    <w:rsid w:val="00224BA5"/>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6F7"/>
    <w:rsid w:val="0023573C"/>
    <w:rsid w:val="00235CCD"/>
    <w:rsid w:val="0023602F"/>
    <w:rsid w:val="00236048"/>
    <w:rsid w:val="002362ED"/>
    <w:rsid w:val="00237036"/>
    <w:rsid w:val="002372AC"/>
    <w:rsid w:val="002375DA"/>
    <w:rsid w:val="00237A33"/>
    <w:rsid w:val="00237F7F"/>
    <w:rsid w:val="002402E8"/>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506EE"/>
    <w:rsid w:val="00250E42"/>
    <w:rsid w:val="00250E89"/>
    <w:rsid w:val="0025197E"/>
    <w:rsid w:val="00252912"/>
    <w:rsid w:val="00252D49"/>
    <w:rsid w:val="00253956"/>
    <w:rsid w:val="00253C51"/>
    <w:rsid w:val="002548D3"/>
    <w:rsid w:val="00254E85"/>
    <w:rsid w:val="0025568B"/>
    <w:rsid w:val="002561B7"/>
    <w:rsid w:val="002562F6"/>
    <w:rsid w:val="00256EDB"/>
    <w:rsid w:val="00256FEA"/>
    <w:rsid w:val="00257131"/>
    <w:rsid w:val="0025733E"/>
    <w:rsid w:val="00257F6B"/>
    <w:rsid w:val="0026110D"/>
    <w:rsid w:val="00261B4C"/>
    <w:rsid w:val="00261C50"/>
    <w:rsid w:val="00261C71"/>
    <w:rsid w:val="00261E06"/>
    <w:rsid w:val="0026249A"/>
    <w:rsid w:val="002625B4"/>
    <w:rsid w:val="00263090"/>
    <w:rsid w:val="00263146"/>
    <w:rsid w:val="00264D98"/>
    <w:rsid w:val="00265054"/>
    <w:rsid w:val="0026523F"/>
    <w:rsid w:val="00265EBC"/>
    <w:rsid w:val="0026696D"/>
    <w:rsid w:val="00266BE6"/>
    <w:rsid w:val="00267127"/>
    <w:rsid w:val="00267325"/>
    <w:rsid w:val="002674F1"/>
    <w:rsid w:val="00267935"/>
    <w:rsid w:val="00270B8F"/>
    <w:rsid w:val="00271B39"/>
    <w:rsid w:val="00271C92"/>
    <w:rsid w:val="0027280E"/>
    <w:rsid w:val="0027293A"/>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D45"/>
    <w:rsid w:val="00283253"/>
    <w:rsid w:val="002836C6"/>
    <w:rsid w:val="0028615B"/>
    <w:rsid w:val="00286DFC"/>
    <w:rsid w:val="00287102"/>
    <w:rsid w:val="00290002"/>
    <w:rsid w:val="0029069C"/>
    <w:rsid w:val="0029244F"/>
    <w:rsid w:val="00293B82"/>
    <w:rsid w:val="00293DA4"/>
    <w:rsid w:val="002965D8"/>
    <w:rsid w:val="0029715E"/>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411"/>
    <w:rsid w:val="002C55AB"/>
    <w:rsid w:val="002C588A"/>
    <w:rsid w:val="002C5EEF"/>
    <w:rsid w:val="002C6527"/>
    <w:rsid w:val="002D0724"/>
    <w:rsid w:val="002D13DF"/>
    <w:rsid w:val="002D3B6B"/>
    <w:rsid w:val="002D41A4"/>
    <w:rsid w:val="002D603D"/>
    <w:rsid w:val="002D62E1"/>
    <w:rsid w:val="002E00AD"/>
    <w:rsid w:val="002E032F"/>
    <w:rsid w:val="002E075F"/>
    <w:rsid w:val="002E08C1"/>
    <w:rsid w:val="002E0B56"/>
    <w:rsid w:val="002E0B5D"/>
    <w:rsid w:val="002E1192"/>
    <w:rsid w:val="002E1650"/>
    <w:rsid w:val="002E1DA6"/>
    <w:rsid w:val="002E1FD4"/>
    <w:rsid w:val="002E2087"/>
    <w:rsid w:val="002E214F"/>
    <w:rsid w:val="002E24BD"/>
    <w:rsid w:val="002E3C98"/>
    <w:rsid w:val="002E4681"/>
    <w:rsid w:val="002E4D51"/>
    <w:rsid w:val="002E5619"/>
    <w:rsid w:val="002E57C9"/>
    <w:rsid w:val="002E6136"/>
    <w:rsid w:val="002E6371"/>
    <w:rsid w:val="002E6A58"/>
    <w:rsid w:val="002E6D98"/>
    <w:rsid w:val="002E7881"/>
    <w:rsid w:val="002E7975"/>
    <w:rsid w:val="002E7A31"/>
    <w:rsid w:val="002F01F2"/>
    <w:rsid w:val="002F068A"/>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BF3"/>
    <w:rsid w:val="00321CC1"/>
    <w:rsid w:val="0032244E"/>
    <w:rsid w:val="00323373"/>
    <w:rsid w:val="003242E5"/>
    <w:rsid w:val="00324DD8"/>
    <w:rsid w:val="00324EC6"/>
    <w:rsid w:val="003256E0"/>
    <w:rsid w:val="00325E6C"/>
    <w:rsid w:val="003261AE"/>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514C0"/>
    <w:rsid w:val="00351F42"/>
    <w:rsid w:val="00352BC1"/>
    <w:rsid w:val="00352F19"/>
    <w:rsid w:val="003536EE"/>
    <w:rsid w:val="00353939"/>
    <w:rsid w:val="00354FA4"/>
    <w:rsid w:val="00355855"/>
    <w:rsid w:val="0035600D"/>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9D1"/>
    <w:rsid w:val="00366FA8"/>
    <w:rsid w:val="003675A2"/>
    <w:rsid w:val="0037017C"/>
    <w:rsid w:val="003703D0"/>
    <w:rsid w:val="003706B3"/>
    <w:rsid w:val="003709F9"/>
    <w:rsid w:val="00372447"/>
    <w:rsid w:val="00372522"/>
    <w:rsid w:val="003728C9"/>
    <w:rsid w:val="00373353"/>
    <w:rsid w:val="00373923"/>
    <w:rsid w:val="003744B5"/>
    <w:rsid w:val="003745F2"/>
    <w:rsid w:val="00374BA5"/>
    <w:rsid w:val="003756AA"/>
    <w:rsid w:val="00376309"/>
    <w:rsid w:val="00376E0D"/>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19DA"/>
    <w:rsid w:val="00391BFD"/>
    <w:rsid w:val="00392999"/>
    <w:rsid w:val="00392B88"/>
    <w:rsid w:val="00392CF1"/>
    <w:rsid w:val="00393028"/>
    <w:rsid w:val="0039313E"/>
    <w:rsid w:val="003934F9"/>
    <w:rsid w:val="00393AB1"/>
    <w:rsid w:val="00394848"/>
    <w:rsid w:val="00394A73"/>
    <w:rsid w:val="00394CBF"/>
    <w:rsid w:val="00394D1B"/>
    <w:rsid w:val="00394EA1"/>
    <w:rsid w:val="00395AE1"/>
    <w:rsid w:val="00395F33"/>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B7D23"/>
    <w:rsid w:val="003C0C16"/>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7A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3C4"/>
    <w:rsid w:val="00410BE7"/>
    <w:rsid w:val="00410D26"/>
    <w:rsid w:val="0041105B"/>
    <w:rsid w:val="004110C4"/>
    <w:rsid w:val="004124E8"/>
    <w:rsid w:val="00412773"/>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BEB"/>
    <w:rsid w:val="00425DDC"/>
    <w:rsid w:val="00426433"/>
    <w:rsid w:val="00426BE7"/>
    <w:rsid w:val="00427383"/>
    <w:rsid w:val="00427BF1"/>
    <w:rsid w:val="004304D3"/>
    <w:rsid w:val="00430640"/>
    <w:rsid w:val="00430E30"/>
    <w:rsid w:val="00431315"/>
    <w:rsid w:val="00431CAB"/>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C8A"/>
    <w:rsid w:val="00443DFB"/>
    <w:rsid w:val="0044493B"/>
    <w:rsid w:val="00444C0A"/>
    <w:rsid w:val="00444CD2"/>
    <w:rsid w:val="0044510F"/>
    <w:rsid w:val="00445FD0"/>
    <w:rsid w:val="00446573"/>
    <w:rsid w:val="0044696A"/>
    <w:rsid w:val="004470D3"/>
    <w:rsid w:val="00447DF7"/>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5E39"/>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67D61"/>
    <w:rsid w:val="00470261"/>
    <w:rsid w:val="00470367"/>
    <w:rsid w:val="004705C5"/>
    <w:rsid w:val="0047062C"/>
    <w:rsid w:val="00470934"/>
    <w:rsid w:val="00470AE5"/>
    <w:rsid w:val="0047124D"/>
    <w:rsid w:val="00471CC8"/>
    <w:rsid w:val="00471EE7"/>
    <w:rsid w:val="0047365F"/>
    <w:rsid w:val="00474CD6"/>
    <w:rsid w:val="00474D62"/>
    <w:rsid w:val="004751E7"/>
    <w:rsid w:val="0047562B"/>
    <w:rsid w:val="00475D1D"/>
    <w:rsid w:val="00477276"/>
    <w:rsid w:val="004776B9"/>
    <w:rsid w:val="00477C17"/>
    <w:rsid w:val="00480837"/>
    <w:rsid w:val="004813C6"/>
    <w:rsid w:val="00481B7C"/>
    <w:rsid w:val="00482480"/>
    <w:rsid w:val="00482C64"/>
    <w:rsid w:val="00482DF6"/>
    <w:rsid w:val="00485168"/>
    <w:rsid w:val="0048578C"/>
    <w:rsid w:val="00485872"/>
    <w:rsid w:val="00485915"/>
    <w:rsid w:val="00485EA4"/>
    <w:rsid w:val="00486C08"/>
    <w:rsid w:val="0048757E"/>
    <w:rsid w:val="00487C54"/>
    <w:rsid w:val="00487F2E"/>
    <w:rsid w:val="00490561"/>
    <w:rsid w:val="0049059F"/>
    <w:rsid w:val="00490F6B"/>
    <w:rsid w:val="00492CA8"/>
    <w:rsid w:val="004932D3"/>
    <w:rsid w:val="0049351A"/>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1447"/>
    <w:rsid w:val="004C15CD"/>
    <w:rsid w:val="004C166F"/>
    <w:rsid w:val="004C262D"/>
    <w:rsid w:val="004C2758"/>
    <w:rsid w:val="004C3CB6"/>
    <w:rsid w:val="004C4B56"/>
    <w:rsid w:val="004C57D7"/>
    <w:rsid w:val="004C586A"/>
    <w:rsid w:val="004C6802"/>
    <w:rsid w:val="004C6F5B"/>
    <w:rsid w:val="004C7132"/>
    <w:rsid w:val="004C725E"/>
    <w:rsid w:val="004C7285"/>
    <w:rsid w:val="004C73AB"/>
    <w:rsid w:val="004C77BC"/>
    <w:rsid w:val="004D032D"/>
    <w:rsid w:val="004D03B3"/>
    <w:rsid w:val="004D05E3"/>
    <w:rsid w:val="004D0729"/>
    <w:rsid w:val="004D10AE"/>
    <w:rsid w:val="004D13DA"/>
    <w:rsid w:val="004D176E"/>
    <w:rsid w:val="004D241E"/>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3EB"/>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8C6"/>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ABD"/>
    <w:rsid w:val="00507FA4"/>
    <w:rsid w:val="005100BF"/>
    <w:rsid w:val="00510424"/>
    <w:rsid w:val="00510505"/>
    <w:rsid w:val="00510D49"/>
    <w:rsid w:val="0051105A"/>
    <w:rsid w:val="00511D21"/>
    <w:rsid w:val="00512690"/>
    <w:rsid w:val="00512B7A"/>
    <w:rsid w:val="00512CCA"/>
    <w:rsid w:val="00512EFD"/>
    <w:rsid w:val="00513220"/>
    <w:rsid w:val="005134DC"/>
    <w:rsid w:val="0051352C"/>
    <w:rsid w:val="00513896"/>
    <w:rsid w:val="00513998"/>
    <w:rsid w:val="00514214"/>
    <w:rsid w:val="0051453F"/>
    <w:rsid w:val="005146B7"/>
    <w:rsid w:val="00514823"/>
    <w:rsid w:val="00514C0A"/>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8E4"/>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0C01"/>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20D7"/>
    <w:rsid w:val="005531EF"/>
    <w:rsid w:val="00553C8A"/>
    <w:rsid w:val="00553F48"/>
    <w:rsid w:val="0055408C"/>
    <w:rsid w:val="00555289"/>
    <w:rsid w:val="00557BE8"/>
    <w:rsid w:val="00560452"/>
    <w:rsid w:val="0056097F"/>
    <w:rsid w:val="00560E39"/>
    <w:rsid w:val="00560F12"/>
    <w:rsid w:val="00562076"/>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E68"/>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4E20"/>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58B"/>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0AF"/>
    <w:rsid w:val="005F3287"/>
    <w:rsid w:val="005F354D"/>
    <w:rsid w:val="005F36B8"/>
    <w:rsid w:val="005F41E6"/>
    <w:rsid w:val="005F4F63"/>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2EB"/>
    <w:rsid w:val="00605593"/>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FF5"/>
    <w:rsid w:val="00647366"/>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3E9E"/>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207"/>
    <w:rsid w:val="006935B9"/>
    <w:rsid w:val="00694848"/>
    <w:rsid w:val="00695224"/>
    <w:rsid w:val="00695AF5"/>
    <w:rsid w:val="00696667"/>
    <w:rsid w:val="00696EA4"/>
    <w:rsid w:val="00697A24"/>
    <w:rsid w:val="00697C1D"/>
    <w:rsid w:val="006A0902"/>
    <w:rsid w:val="006A0BAC"/>
    <w:rsid w:val="006A0DC0"/>
    <w:rsid w:val="006A1022"/>
    <w:rsid w:val="006A104A"/>
    <w:rsid w:val="006A158C"/>
    <w:rsid w:val="006A189A"/>
    <w:rsid w:val="006A1938"/>
    <w:rsid w:val="006A1BD9"/>
    <w:rsid w:val="006A1CEB"/>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0BA"/>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923"/>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0FCC"/>
    <w:rsid w:val="006E1450"/>
    <w:rsid w:val="006E28B4"/>
    <w:rsid w:val="006E42A9"/>
    <w:rsid w:val="006E4C76"/>
    <w:rsid w:val="006E556E"/>
    <w:rsid w:val="006E5C0D"/>
    <w:rsid w:val="006E67A9"/>
    <w:rsid w:val="006E6FF8"/>
    <w:rsid w:val="006E7584"/>
    <w:rsid w:val="006F0B48"/>
    <w:rsid w:val="006F1D0E"/>
    <w:rsid w:val="006F1F52"/>
    <w:rsid w:val="006F2368"/>
    <w:rsid w:val="006F2601"/>
    <w:rsid w:val="006F2B93"/>
    <w:rsid w:val="006F2C93"/>
    <w:rsid w:val="006F4258"/>
    <w:rsid w:val="006F45A3"/>
    <w:rsid w:val="006F4A3B"/>
    <w:rsid w:val="006F4DE0"/>
    <w:rsid w:val="006F525D"/>
    <w:rsid w:val="006F6278"/>
    <w:rsid w:val="006F7BB8"/>
    <w:rsid w:val="006F7F58"/>
    <w:rsid w:val="00700FC6"/>
    <w:rsid w:val="00701022"/>
    <w:rsid w:val="00701092"/>
    <w:rsid w:val="007016CB"/>
    <w:rsid w:val="0070184D"/>
    <w:rsid w:val="00701876"/>
    <w:rsid w:val="00701DDF"/>
    <w:rsid w:val="00702247"/>
    <w:rsid w:val="007033F1"/>
    <w:rsid w:val="00704B50"/>
    <w:rsid w:val="00704CBD"/>
    <w:rsid w:val="0070597A"/>
    <w:rsid w:val="007059E9"/>
    <w:rsid w:val="00705DC2"/>
    <w:rsid w:val="0070655B"/>
    <w:rsid w:val="00707536"/>
    <w:rsid w:val="00707856"/>
    <w:rsid w:val="00707DE3"/>
    <w:rsid w:val="00710292"/>
    <w:rsid w:val="00713474"/>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30F1"/>
    <w:rsid w:val="00733153"/>
    <w:rsid w:val="00733B22"/>
    <w:rsid w:val="00734D7F"/>
    <w:rsid w:val="00734F3D"/>
    <w:rsid w:val="007356DE"/>
    <w:rsid w:val="00735C72"/>
    <w:rsid w:val="007362C7"/>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C60"/>
    <w:rsid w:val="00746F94"/>
    <w:rsid w:val="00746FB8"/>
    <w:rsid w:val="00747235"/>
    <w:rsid w:val="00747C97"/>
    <w:rsid w:val="00747CEF"/>
    <w:rsid w:val="0075028B"/>
    <w:rsid w:val="00750D85"/>
    <w:rsid w:val="00750D90"/>
    <w:rsid w:val="00751041"/>
    <w:rsid w:val="00751196"/>
    <w:rsid w:val="00752B74"/>
    <w:rsid w:val="00752DC9"/>
    <w:rsid w:val="00752E07"/>
    <w:rsid w:val="00752FEA"/>
    <w:rsid w:val="00753B52"/>
    <w:rsid w:val="00753BD5"/>
    <w:rsid w:val="0075457C"/>
    <w:rsid w:val="00755213"/>
    <w:rsid w:val="0075523F"/>
    <w:rsid w:val="00755E79"/>
    <w:rsid w:val="00756916"/>
    <w:rsid w:val="00756A61"/>
    <w:rsid w:val="00756F86"/>
    <w:rsid w:val="0075735D"/>
    <w:rsid w:val="0075777A"/>
    <w:rsid w:val="0076013E"/>
    <w:rsid w:val="00760921"/>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51CA"/>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530D"/>
    <w:rsid w:val="00825530"/>
    <w:rsid w:val="00827280"/>
    <w:rsid w:val="008275A6"/>
    <w:rsid w:val="00827773"/>
    <w:rsid w:val="00827B06"/>
    <w:rsid w:val="00827E2A"/>
    <w:rsid w:val="00830148"/>
    <w:rsid w:val="00830AF2"/>
    <w:rsid w:val="00830BFC"/>
    <w:rsid w:val="00830D20"/>
    <w:rsid w:val="00830EAB"/>
    <w:rsid w:val="008310D2"/>
    <w:rsid w:val="00831F24"/>
    <w:rsid w:val="00832458"/>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2D"/>
    <w:rsid w:val="008568C5"/>
    <w:rsid w:val="00856B2E"/>
    <w:rsid w:val="008576E8"/>
    <w:rsid w:val="008610C6"/>
    <w:rsid w:val="00861804"/>
    <w:rsid w:val="00862584"/>
    <w:rsid w:val="00862D18"/>
    <w:rsid w:val="008632E4"/>
    <w:rsid w:val="008637BB"/>
    <w:rsid w:val="008638FB"/>
    <w:rsid w:val="008641A3"/>
    <w:rsid w:val="00864BA7"/>
    <w:rsid w:val="00864FA0"/>
    <w:rsid w:val="00864FD5"/>
    <w:rsid w:val="008650CB"/>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4C88"/>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3F4C"/>
    <w:rsid w:val="008940AA"/>
    <w:rsid w:val="00894579"/>
    <w:rsid w:val="00894649"/>
    <w:rsid w:val="00895364"/>
    <w:rsid w:val="008959FD"/>
    <w:rsid w:val="00895C6B"/>
    <w:rsid w:val="00895F61"/>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94E"/>
    <w:rsid w:val="008C7B9B"/>
    <w:rsid w:val="008D0D6B"/>
    <w:rsid w:val="008D0E73"/>
    <w:rsid w:val="008D14B9"/>
    <w:rsid w:val="008D1648"/>
    <w:rsid w:val="008D16DD"/>
    <w:rsid w:val="008D2745"/>
    <w:rsid w:val="008D2A84"/>
    <w:rsid w:val="008D4D1D"/>
    <w:rsid w:val="008D50BF"/>
    <w:rsid w:val="008D5D67"/>
    <w:rsid w:val="008D5F2F"/>
    <w:rsid w:val="008D6448"/>
    <w:rsid w:val="008D66D8"/>
    <w:rsid w:val="008D682A"/>
    <w:rsid w:val="008D751E"/>
    <w:rsid w:val="008D7E7E"/>
    <w:rsid w:val="008E02A6"/>
    <w:rsid w:val="008E02FA"/>
    <w:rsid w:val="008E1751"/>
    <w:rsid w:val="008E1922"/>
    <w:rsid w:val="008E1CD3"/>
    <w:rsid w:val="008E1F25"/>
    <w:rsid w:val="008E27CB"/>
    <w:rsid w:val="008E2AE3"/>
    <w:rsid w:val="008E449D"/>
    <w:rsid w:val="008E5072"/>
    <w:rsid w:val="008E57B4"/>
    <w:rsid w:val="008E58A8"/>
    <w:rsid w:val="008E6374"/>
    <w:rsid w:val="008E6791"/>
    <w:rsid w:val="008E72A7"/>
    <w:rsid w:val="008E7C43"/>
    <w:rsid w:val="008F0232"/>
    <w:rsid w:val="008F04AE"/>
    <w:rsid w:val="008F0682"/>
    <w:rsid w:val="008F06E3"/>
    <w:rsid w:val="008F23FE"/>
    <w:rsid w:val="008F279E"/>
    <w:rsid w:val="008F2C96"/>
    <w:rsid w:val="008F3767"/>
    <w:rsid w:val="008F3AB4"/>
    <w:rsid w:val="008F432B"/>
    <w:rsid w:val="008F43F9"/>
    <w:rsid w:val="008F4452"/>
    <w:rsid w:val="008F4F69"/>
    <w:rsid w:val="008F4FFD"/>
    <w:rsid w:val="008F53DF"/>
    <w:rsid w:val="008F54DD"/>
    <w:rsid w:val="008F6E39"/>
    <w:rsid w:val="00900473"/>
    <w:rsid w:val="009007BB"/>
    <w:rsid w:val="00900ED9"/>
    <w:rsid w:val="009013F6"/>
    <w:rsid w:val="00901880"/>
    <w:rsid w:val="009018CE"/>
    <w:rsid w:val="00901D16"/>
    <w:rsid w:val="00901EB2"/>
    <w:rsid w:val="00902AA5"/>
    <w:rsid w:val="00904000"/>
    <w:rsid w:val="00904F14"/>
    <w:rsid w:val="0090562E"/>
    <w:rsid w:val="00905A66"/>
    <w:rsid w:val="00905DB4"/>
    <w:rsid w:val="00905F41"/>
    <w:rsid w:val="00906446"/>
    <w:rsid w:val="00906459"/>
    <w:rsid w:val="009068B9"/>
    <w:rsid w:val="00906C94"/>
    <w:rsid w:val="009071BB"/>
    <w:rsid w:val="00910402"/>
    <w:rsid w:val="00911100"/>
    <w:rsid w:val="00911F3B"/>
    <w:rsid w:val="009130F8"/>
    <w:rsid w:val="00913249"/>
    <w:rsid w:val="00913494"/>
    <w:rsid w:val="00913699"/>
    <w:rsid w:val="00913C46"/>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57E0"/>
    <w:rsid w:val="009269BD"/>
    <w:rsid w:val="00926AA3"/>
    <w:rsid w:val="00926E00"/>
    <w:rsid w:val="00926E34"/>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4D8E"/>
    <w:rsid w:val="00956153"/>
    <w:rsid w:val="009561B4"/>
    <w:rsid w:val="009565AE"/>
    <w:rsid w:val="00956AA3"/>
    <w:rsid w:val="009574B7"/>
    <w:rsid w:val="009605F6"/>
    <w:rsid w:val="00960662"/>
    <w:rsid w:val="00960BD9"/>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219F"/>
    <w:rsid w:val="00973DF4"/>
    <w:rsid w:val="00974624"/>
    <w:rsid w:val="00975087"/>
    <w:rsid w:val="00975C59"/>
    <w:rsid w:val="009760F9"/>
    <w:rsid w:val="00976215"/>
    <w:rsid w:val="00976309"/>
    <w:rsid w:val="009773D6"/>
    <w:rsid w:val="00977491"/>
    <w:rsid w:val="00977C0C"/>
    <w:rsid w:val="00980588"/>
    <w:rsid w:val="00980C2C"/>
    <w:rsid w:val="00982626"/>
    <w:rsid w:val="00982A19"/>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D80"/>
    <w:rsid w:val="00991EA5"/>
    <w:rsid w:val="009920AC"/>
    <w:rsid w:val="00992863"/>
    <w:rsid w:val="00992AD4"/>
    <w:rsid w:val="00992B33"/>
    <w:rsid w:val="00992B8E"/>
    <w:rsid w:val="009945E8"/>
    <w:rsid w:val="00994FC7"/>
    <w:rsid w:val="009959BD"/>
    <w:rsid w:val="00996363"/>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C0631"/>
    <w:rsid w:val="009C0C86"/>
    <w:rsid w:val="009C1008"/>
    <w:rsid w:val="009C1809"/>
    <w:rsid w:val="009C1AFF"/>
    <w:rsid w:val="009C218C"/>
    <w:rsid w:val="009C21E3"/>
    <w:rsid w:val="009C222F"/>
    <w:rsid w:val="009C25F1"/>
    <w:rsid w:val="009C2C60"/>
    <w:rsid w:val="009C372E"/>
    <w:rsid w:val="009C3B12"/>
    <w:rsid w:val="009C3DBD"/>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E04"/>
    <w:rsid w:val="009E1FF9"/>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CDD"/>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285"/>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51"/>
    <w:rsid w:val="00A13A89"/>
    <w:rsid w:val="00A13AA8"/>
    <w:rsid w:val="00A13FE3"/>
    <w:rsid w:val="00A14158"/>
    <w:rsid w:val="00A14256"/>
    <w:rsid w:val="00A146AA"/>
    <w:rsid w:val="00A14BAC"/>
    <w:rsid w:val="00A14D5C"/>
    <w:rsid w:val="00A153D0"/>
    <w:rsid w:val="00A154F9"/>
    <w:rsid w:val="00A158CC"/>
    <w:rsid w:val="00A15D6B"/>
    <w:rsid w:val="00A16271"/>
    <w:rsid w:val="00A1666B"/>
    <w:rsid w:val="00A16954"/>
    <w:rsid w:val="00A17BA4"/>
    <w:rsid w:val="00A207DC"/>
    <w:rsid w:val="00A20CEB"/>
    <w:rsid w:val="00A21118"/>
    <w:rsid w:val="00A21F8C"/>
    <w:rsid w:val="00A22977"/>
    <w:rsid w:val="00A23A82"/>
    <w:rsid w:val="00A23B89"/>
    <w:rsid w:val="00A241F9"/>
    <w:rsid w:val="00A24437"/>
    <w:rsid w:val="00A252B6"/>
    <w:rsid w:val="00A2544C"/>
    <w:rsid w:val="00A25FFF"/>
    <w:rsid w:val="00A2607B"/>
    <w:rsid w:val="00A26CCB"/>
    <w:rsid w:val="00A27980"/>
    <w:rsid w:val="00A27A38"/>
    <w:rsid w:val="00A27B3B"/>
    <w:rsid w:val="00A27C3C"/>
    <w:rsid w:val="00A27D03"/>
    <w:rsid w:val="00A27DB4"/>
    <w:rsid w:val="00A30E89"/>
    <w:rsid w:val="00A314A0"/>
    <w:rsid w:val="00A31598"/>
    <w:rsid w:val="00A31ADE"/>
    <w:rsid w:val="00A31C7D"/>
    <w:rsid w:val="00A320DB"/>
    <w:rsid w:val="00A3249C"/>
    <w:rsid w:val="00A32A75"/>
    <w:rsid w:val="00A33C93"/>
    <w:rsid w:val="00A3410E"/>
    <w:rsid w:val="00A35ACD"/>
    <w:rsid w:val="00A35AFF"/>
    <w:rsid w:val="00A36A84"/>
    <w:rsid w:val="00A370B4"/>
    <w:rsid w:val="00A37836"/>
    <w:rsid w:val="00A40288"/>
    <w:rsid w:val="00A406E6"/>
    <w:rsid w:val="00A409A3"/>
    <w:rsid w:val="00A41771"/>
    <w:rsid w:val="00A41B17"/>
    <w:rsid w:val="00A421B2"/>
    <w:rsid w:val="00A4292D"/>
    <w:rsid w:val="00A42E17"/>
    <w:rsid w:val="00A4329A"/>
    <w:rsid w:val="00A4334A"/>
    <w:rsid w:val="00A43DB0"/>
    <w:rsid w:val="00A43F59"/>
    <w:rsid w:val="00A443E2"/>
    <w:rsid w:val="00A44D4F"/>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DFD"/>
    <w:rsid w:val="00A95EE0"/>
    <w:rsid w:val="00A96EF6"/>
    <w:rsid w:val="00AA0925"/>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3D0"/>
    <w:rsid w:val="00AA75CE"/>
    <w:rsid w:val="00AB023A"/>
    <w:rsid w:val="00AB0C43"/>
    <w:rsid w:val="00AB1082"/>
    <w:rsid w:val="00AB1098"/>
    <w:rsid w:val="00AB1102"/>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030"/>
    <w:rsid w:val="00AC1A14"/>
    <w:rsid w:val="00AC2A94"/>
    <w:rsid w:val="00AC322C"/>
    <w:rsid w:val="00AC33E2"/>
    <w:rsid w:val="00AC3674"/>
    <w:rsid w:val="00AC3F97"/>
    <w:rsid w:val="00AC4466"/>
    <w:rsid w:val="00AC4A20"/>
    <w:rsid w:val="00AC4FEA"/>
    <w:rsid w:val="00AC5213"/>
    <w:rsid w:val="00AC53F3"/>
    <w:rsid w:val="00AC584E"/>
    <w:rsid w:val="00AC5B6E"/>
    <w:rsid w:val="00AC5E1A"/>
    <w:rsid w:val="00AC7B80"/>
    <w:rsid w:val="00AC7D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CD"/>
    <w:rsid w:val="00AE43F4"/>
    <w:rsid w:val="00AE5099"/>
    <w:rsid w:val="00AE50D3"/>
    <w:rsid w:val="00AE606A"/>
    <w:rsid w:val="00AF013B"/>
    <w:rsid w:val="00AF0A66"/>
    <w:rsid w:val="00AF0CF8"/>
    <w:rsid w:val="00AF1658"/>
    <w:rsid w:val="00AF262C"/>
    <w:rsid w:val="00AF2A5A"/>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2F04"/>
    <w:rsid w:val="00B13082"/>
    <w:rsid w:val="00B134E7"/>
    <w:rsid w:val="00B13A79"/>
    <w:rsid w:val="00B14075"/>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3B4"/>
    <w:rsid w:val="00B50892"/>
    <w:rsid w:val="00B50D91"/>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2E27"/>
    <w:rsid w:val="00B64774"/>
    <w:rsid w:val="00B64E06"/>
    <w:rsid w:val="00B65A6A"/>
    <w:rsid w:val="00B65CB5"/>
    <w:rsid w:val="00B65D4A"/>
    <w:rsid w:val="00B65E12"/>
    <w:rsid w:val="00B668FC"/>
    <w:rsid w:val="00B66B65"/>
    <w:rsid w:val="00B67E57"/>
    <w:rsid w:val="00B7024C"/>
    <w:rsid w:val="00B70EBF"/>
    <w:rsid w:val="00B70EF2"/>
    <w:rsid w:val="00B70F06"/>
    <w:rsid w:val="00B7145B"/>
    <w:rsid w:val="00B71881"/>
    <w:rsid w:val="00B71DBE"/>
    <w:rsid w:val="00B72FA4"/>
    <w:rsid w:val="00B7347B"/>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607"/>
    <w:rsid w:val="00B81787"/>
    <w:rsid w:val="00B81E23"/>
    <w:rsid w:val="00B8280A"/>
    <w:rsid w:val="00B83280"/>
    <w:rsid w:val="00B83638"/>
    <w:rsid w:val="00B838AA"/>
    <w:rsid w:val="00B839BC"/>
    <w:rsid w:val="00B84738"/>
    <w:rsid w:val="00B84B83"/>
    <w:rsid w:val="00B85057"/>
    <w:rsid w:val="00B85087"/>
    <w:rsid w:val="00B853F9"/>
    <w:rsid w:val="00B860D7"/>
    <w:rsid w:val="00B868DC"/>
    <w:rsid w:val="00B87B8A"/>
    <w:rsid w:val="00B9190B"/>
    <w:rsid w:val="00B92342"/>
    <w:rsid w:val="00B92412"/>
    <w:rsid w:val="00B92971"/>
    <w:rsid w:val="00B92D1A"/>
    <w:rsid w:val="00B93445"/>
    <w:rsid w:val="00B939A1"/>
    <w:rsid w:val="00B93B87"/>
    <w:rsid w:val="00B9431E"/>
    <w:rsid w:val="00B9465D"/>
    <w:rsid w:val="00B9473D"/>
    <w:rsid w:val="00B94881"/>
    <w:rsid w:val="00B94C4F"/>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D41"/>
    <w:rsid w:val="00BA58BB"/>
    <w:rsid w:val="00BA67FC"/>
    <w:rsid w:val="00BA6B8E"/>
    <w:rsid w:val="00BA7285"/>
    <w:rsid w:val="00BA7BE8"/>
    <w:rsid w:val="00BB01AF"/>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6E0"/>
    <w:rsid w:val="00BC69C6"/>
    <w:rsid w:val="00BC7775"/>
    <w:rsid w:val="00BC7956"/>
    <w:rsid w:val="00BD02E6"/>
    <w:rsid w:val="00BD065D"/>
    <w:rsid w:val="00BD0CF8"/>
    <w:rsid w:val="00BD0DDA"/>
    <w:rsid w:val="00BD1252"/>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C08"/>
    <w:rsid w:val="00BD7247"/>
    <w:rsid w:val="00BD72A6"/>
    <w:rsid w:val="00BD762F"/>
    <w:rsid w:val="00BD7D70"/>
    <w:rsid w:val="00BE087F"/>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2673"/>
    <w:rsid w:val="00BF324E"/>
    <w:rsid w:val="00BF329F"/>
    <w:rsid w:val="00BF3693"/>
    <w:rsid w:val="00BF45A7"/>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3D79"/>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5A9"/>
    <w:rsid w:val="00C077A9"/>
    <w:rsid w:val="00C10C63"/>
    <w:rsid w:val="00C10D34"/>
    <w:rsid w:val="00C10DB6"/>
    <w:rsid w:val="00C11612"/>
    <w:rsid w:val="00C11B8C"/>
    <w:rsid w:val="00C12101"/>
    <w:rsid w:val="00C1230F"/>
    <w:rsid w:val="00C12EC3"/>
    <w:rsid w:val="00C137E0"/>
    <w:rsid w:val="00C13810"/>
    <w:rsid w:val="00C13934"/>
    <w:rsid w:val="00C13B21"/>
    <w:rsid w:val="00C13BCE"/>
    <w:rsid w:val="00C14234"/>
    <w:rsid w:val="00C14C9F"/>
    <w:rsid w:val="00C155CC"/>
    <w:rsid w:val="00C15941"/>
    <w:rsid w:val="00C160D1"/>
    <w:rsid w:val="00C168BD"/>
    <w:rsid w:val="00C16B20"/>
    <w:rsid w:val="00C16E20"/>
    <w:rsid w:val="00C170CD"/>
    <w:rsid w:val="00C175D6"/>
    <w:rsid w:val="00C17EE4"/>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D5"/>
    <w:rsid w:val="00C31BF8"/>
    <w:rsid w:val="00C3273C"/>
    <w:rsid w:val="00C32EC2"/>
    <w:rsid w:val="00C3307F"/>
    <w:rsid w:val="00C3319F"/>
    <w:rsid w:val="00C33F77"/>
    <w:rsid w:val="00C348FF"/>
    <w:rsid w:val="00C34CC3"/>
    <w:rsid w:val="00C34F30"/>
    <w:rsid w:val="00C363E7"/>
    <w:rsid w:val="00C3640A"/>
    <w:rsid w:val="00C36F96"/>
    <w:rsid w:val="00C3796D"/>
    <w:rsid w:val="00C4006C"/>
    <w:rsid w:val="00C4057F"/>
    <w:rsid w:val="00C40753"/>
    <w:rsid w:val="00C40815"/>
    <w:rsid w:val="00C40B89"/>
    <w:rsid w:val="00C40B90"/>
    <w:rsid w:val="00C41BEB"/>
    <w:rsid w:val="00C427A2"/>
    <w:rsid w:val="00C42E64"/>
    <w:rsid w:val="00C42FF6"/>
    <w:rsid w:val="00C43C61"/>
    <w:rsid w:val="00C43F21"/>
    <w:rsid w:val="00C441C2"/>
    <w:rsid w:val="00C4421D"/>
    <w:rsid w:val="00C46397"/>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A7A"/>
    <w:rsid w:val="00C56BC5"/>
    <w:rsid w:val="00C56DB7"/>
    <w:rsid w:val="00C572FF"/>
    <w:rsid w:val="00C57991"/>
    <w:rsid w:val="00C60B64"/>
    <w:rsid w:val="00C60D23"/>
    <w:rsid w:val="00C6101E"/>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632"/>
    <w:rsid w:val="00CC1DED"/>
    <w:rsid w:val="00CC319E"/>
    <w:rsid w:val="00CC336D"/>
    <w:rsid w:val="00CC340A"/>
    <w:rsid w:val="00CC36E9"/>
    <w:rsid w:val="00CC5AA0"/>
    <w:rsid w:val="00CC669A"/>
    <w:rsid w:val="00CC69B1"/>
    <w:rsid w:val="00CC75B6"/>
    <w:rsid w:val="00CC779B"/>
    <w:rsid w:val="00CD28B2"/>
    <w:rsid w:val="00CD2DD0"/>
    <w:rsid w:val="00CD33EE"/>
    <w:rsid w:val="00CD3776"/>
    <w:rsid w:val="00CD4D65"/>
    <w:rsid w:val="00CD55B1"/>
    <w:rsid w:val="00CD5680"/>
    <w:rsid w:val="00CD57E1"/>
    <w:rsid w:val="00CD648D"/>
    <w:rsid w:val="00CD6B80"/>
    <w:rsid w:val="00CD7616"/>
    <w:rsid w:val="00CD775A"/>
    <w:rsid w:val="00CE01B5"/>
    <w:rsid w:val="00CE021F"/>
    <w:rsid w:val="00CE0B98"/>
    <w:rsid w:val="00CE1CD1"/>
    <w:rsid w:val="00CE2312"/>
    <w:rsid w:val="00CE2620"/>
    <w:rsid w:val="00CE336E"/>
    <w:rsid w:val="00CE374F"/>
    <w:rsid w:val="00CE384F"/>
    <w:rsid w:val="00CE3CDF"/>
    <w:rsid w:val="00CE3D08"/>
    <w:rsid w:val="00CE3E07"/>
    <w:rsid w:val="00CE3FEE"/>
    <w:rsid w:val="00CE455E"/>
    <w:rsid w:val="00CE47B3"/>
    <w:rsid w:val="00CE6768"/>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666"/>
    <w:rsid w:val="00D13CB3"/>
    <w:rsid w:val="00D14D12"/>
    <w:rsid w:val="00D14EF2"/>
    <w:rsid w:val="00D15411"/>
    <w:rsid w:val="00D171C8"/>
    <w:rsid w:val="00D17C55"/>
    <w:rsid w:val="00D20137"/>
    <w:rsid w:val="00D208E6"/>
    <w:rsid w:val="00D20B09"/>
    <w:rsid w:val="00D21A55"/>
    <w:rsid w:val="00D224AD"/>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B22"/>
    <w:rsid w:val="00D3511A"/>
    <w:rsid w:val="00D35F28"/>
    <w:rsid w:val="00D3672A"/>
    <w:rsid w:val="00D368A2"/>
    <w:rsid w:val="00D368FF"/>
    <w:rsid w:val="00D36D8E"/>
    <w:rsid w:val="00D372A0"/>
    <w:rsid w:val="00D374D1"/>
    <w:rsid w:val="00D37596"/>
    <w:rsid w:val="00D37899"/>
    <w:rsid w:val="00D37FCE"/>
    <w:rsid w:val="00D40238"/>
    <w:rsid w:val="00D40D79"/>
    <w:rsid w:val="00D4117C"/>
    <w:rsid w:val="00D41258"/>
    <w:rsid w:val="00D43430"/>
    <w:rsid w:val="00D43441"/>
    <w:rsid w:val="00D439C3"/>
    <w:rsid w:val="00D43B8C"/>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1EF"/>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7FE"/>
    <w:rsid w:val="00D859D8"/>
    <w:rsid w:val="00D8686B"/>
    <w:rsid w:val="00D86F69"/>
    <w:rsid w:val="00D86F82"/>
    <w:rsid w:val="00D87458"/>
    <w:rsid w:val="00D87A74"/>
    <w:rsid w:val="00D901F7"/>
    <w:rsid w:val="00D90311"/>
    <w:rsid w:val="00D907F2"/>
    <w:rsid w:val="00D910E2"/>
    <w:rsid w:val="00D913F3"/>
    <w:rsid w:val="00D915FF"/>
    <w:rsid w:val="00D91CC6"/>
    <w:rsid w:val="00D92BBF"/>
    <w:rsid w:val="00D933F6"/>
    <w:rsid w:val="00D9398B"/>
    <w:rsid w:val="00D93F68"/>
    <w:rsid w:val="00D94010"/>
    <w:rsid w:val="00D948C4"/>
    <w:rsid w:val="00D94A97"/>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2AEF"/>
    <w:rsid w:val="00DB2B51"/>
    <w:rsid w:val="00DB341C"/>
    <w:rsid w:val="00DB382B"/>
    <w:rsid w:val="00DB40CF"/>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6E62"/>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357"/>
    <w:rsid w:val="00E0667E"/>
    <w:rsid w:val="00E06F09"/>
    <w:rsid w:val="00E06FAA"/>
    <w:rsid w:val="00E073FE"/>
    <w:rsid w:val="00E07916"/>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FAE"/>
    <w:rsid w:val="00E248F0"/>
    <w:rsid w:val="00E254BE"/>
    <w:rsid w:val="00E25A83"/>
    <w:rsid w:val="00E2796A"/>
    <w:rsid w:val="00E30003"/>
    <w:rsid w:val="00E313CE"/>
    <w:rsid w:val="00E31F09"/>
    <w:rsid w:val="00E320DB"/>
    <w:rsid w:val="00E32340"/>
    <w:rsid w:val="00E32733"/>
    <w:rsid w:val="00E331D5"/>
    <w:rsid w:val="00E33AB2"/>
    <w:rsid w:val="00E33B65"/>
    <w:rsid w:val="00E33E69"/>
    <w:rsid w:val="00E3497F"/>
    <w:rsid w:val="00E34E6A"/>
    <w:rsid w:val="00E34F1E"/>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33F1"/>
    <w:rsid w:val="00E4443F"/>
    <w:rsid w:val="00E44935"/>
    <w:rsid w:val="00E4496D"/>
    <w:rsid w:val="00E4579A"/>
    <w:rsid w:val="00E46771"/>
    <w:rsid w:val="00E46958"/>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6596"/>
    <w:rsid w:val="00E77E32"/>
    <w:rsid w:val="00E809C8"/>
    <w:rsid w:val="00E8173D"/>
    <w:rsid w:val="00E81A7E"/>
    <w:rsid w:val="00E81B11"/>
    <w:rsid w:val="00E82FC8"/>
    <w:rsid w:val="00E83069"/>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81C"/>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3AA0"/>
    <w:rsid w:val="00EC4D53"/>
    <w:rsid w:val="00EC5347"/>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0AF"/>
    <w:rsid w:val="00EF5363"/>
    <w:rsid w:val="00EF59B1"/>
    <w:rsid w:val="00EF59F2"/>
    <w:rsid w:val="00EF6176"/>
    <w:rsid w:val="00EF6E4E"/>
    <w:rsid w:val="00EF713B"/>
    <w:rsid w:val="00EF71AB"/>
    <w:rsid w:val="00EF74E7"/>
    <w:rsid w:val="00EF780A"/>
    <w:rsid w:val="00EF7B3E"/>
    <w:rsid w:val="00F0069B"/>
    <w:rsid w:val="00F01C37"/>
    <w:rsid w:val="00F01D44"/>
    <w:rsid w:val="00F01F24"/>
    <w:rsid w:val="00F020FB"/>
    <w:rsid w:val="00F02BF0"/>
    <w:rsid w:val="00F03C49"/>
    <w:rsid w:val="00F03F33"/>
    <w:rsid w:val="00F0432C"/>
    <w:rsid w:val="00F04516"/>
    <w:rsid w:val="00F06034"/>
    <w:rsid w:val="00F0780D"/>
    <w:rsid w:val="00F07A6D"/>
    <w:rsid w:val="00F100D2"/>
    <w:rsid w:val="00F1097C"/>
    <w:rsid w:val="00F121F0"/>
    <w:rsid w:val="00F123F4"/>
    <w:rsid w:val="00F12DCF"/>
    <w:rsid w:val="00F12DE2"/>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14B1"/>
    <w:rsid w:val="00F2227C"/>
    <w:rsid w:val="00F23548"/>
    <w:rsid w:val="00F2359A"/>
    <w:rsid w:val="00F2404C"/>
    <w:rsid w:val="00F2429E"/>
    <w:rsid w:val="00F25371"/>
    <w:rsid w:val="00F25545"/>
    <w:rsid w:val="00F2614B"/>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C8A"/>
    <w:rsid w:val="00F46D54"/>
    <w:rsid w:val="00F46DBE"/>
    <w:rsid w:val="00F50DC4"/>
    <w:rsid w:val="00F524C0"/>
    <w:rsid w:val="00F52A72"/>
    <w:rsid w:val="00F53483"/>
    <w:rsid w:val="00F53548"/>
    <w:rsid w:val="00F540CB"/>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5EED"/>
    <w:rsid w:val="00F76257"/>
    <w:rsid w:val="00F7685E"/>
    <w:rsid w:val="00F76B38"/>
    <w:rsid w:val="00F76CA0"/>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7BB"/>
    <w:rsid w:val="00F96E84"/>
    <w:rsid w:val="00F97914"/>
    <w:rsid w:val="00FA01D4"/>
    <w:rsid w:val="00FA2BD7"/>
    <w:rsid w:val="00FA3BAD"/>
    <w:rsid w:val="00FA3F06"/>
    <w:rsid w:val="00FA4744"/>
    <w:rsid w:val="00FA6DE6"/>
    <w:rsid w:val="00FA6F37"/>
    <w:rsid w:val="00FA6FA7"/>
    <w:rsid w:val="00FA77CA"/>
    <w:rsid w:val="00FB0862"/>
    <w:rsid w:val="00FB119A"/>
    <w:rsid w:val="00FB141F"/>
    <w:rsid w:val="00FB1431"/>
    <w:rsid w:val="00FB162D"/>
    <w:rsid w:val="00FB181F"/>
    <w:rsid w:val="00FB1918"/>
    <w:rsid w:val="00FB1AE8"/>
    <w:rsid w:val="00FB1D7A"/>
    <w:rsid w:val="00FB24C0"/>
    <w:rsid w:val="00FB2671"/>
    <w:rsid w:val="00FB286E"/>
    <w:rsid w:val="00FB29B4"/>
    <w:rsid w:val="00FB2A18"/>
    <w:rsid w:val="00FB3D9E"/>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608"/>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1BF"/>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F07DB"/>
    <w:rsid w:val="00FF3DBD"/>
    <w:rsid w:val="00FF4204"/>
    <w:rsid w:val="00FF4314"/>
    <w:rsid w:val="00FF456E"/>
    <w:rsid w:val="00FF4A19"/>
    <w:rsid w:val="00FF4CE2"/>
    <w:rsid w:val="00FF5D14"/>
    <w:rsid w:val="00FF7533"/>
    <w:rsid w:val="01F0299B"/>
    <w:rsid w:val="026E4F91"/>
    <w:rsid w:val="041D095D"/>
    <w:rsid w:val="05C87DB9"/>
    <w:rsid w:val="05DE1D42"/>
    <w:rsid w:val="05E41A4E"/>
    <w:rsid w:val="0961739E"/>
    <w:rsid w:val="098E6083"/>
    <w:rsid w:val="0B205B2B"/>
    <w:rsid w:val="0B782559"/>
    <w:rsid w:val="0B81654F"/>
    <w:rsid w:val="0BC3029E"/>
    <w:rsid w:val="0D566BC9"/>
    <w:rsid w:val="0E180322"/>
    <w:rsid w:val="0E8C4995"/>
    <w:rsid w:val="0ECE5049"/>
    <w:rsid w:val="0EF27BFB"/>
    <w:rsid w:val="0FBC50EF"/>
    <w:rsid w:val="10965AFF"/>
    <w:rsid w:val="115F3FD7"/>
    <w:rsid w:val="11A259DD"/>
    <w:rsid w:val="120474A0"/>
    <w:rsid w:val="13102ABE"/>
    <w:rsid w:val="144B713C"/>
    <w:rsid w:val="167D280D"/>
    <w:rsid w:val="17047766"/>
    <w:rsid w:val="17935895"/>
    <w:rsid w:val="17F52C18"/>
    <w:rsid w:val="184530EF"/>
    <w:rsid w:val="19227A4B"/>
    <w:rsid w:val="1A7718FF"/>
    <w:rsid w:val="1A9B1F67"/>
    <w:rsid w:val="1B3E182A"/>
    <w:rsid w:val="1B4B5195"/>
    <w:rsid w:val="1B7C29DA"/>
    <w:rsid w:val="1C174C6F"/>
    <w:rsid w:val="1C7C020D"/>
    <w:rsid w:val="1C8F78BA"/>
    <w:rsid w:val="1C946C54"/>
    <w:rsid w:val="1C9B0D84"/>
    <w:rsid w:val="1CDD3F3B"/>
    <w:rsid w:val="1D4D6869"/>
    <w:rsid w:val="1DAD6772"/>
    <w:rsid w:val="1DF14A65"/>
    <w:rsid w:val="1F502EE4"/>
    <w:rsid w:val="20A80A6E"/>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7160EE4"/>
    <w:rsid w:val="29207916"/>
    <w:rsid w:val="2AD85037"/>
    <w:rsid w:val="2BD0253B"/>
    <w:rsid w:val="2C4209CD"/>
    <w:rsid w:val="2C444480"/>
    <w:rsid w:val="2C564DC3"/>
    <w:rsid w:val="2D6C141D"/>
    <w:rsid w:val="2EB64B4B"/>
    <w:rsid w:val="2EDB590A"/>
    <w:rsid w:val="2F0A29E3"/>
    <w:rsid w:val="30817D6A"/>
    <w:rsid w:val="3157114E"/>
    <w:rsid w:val="31F2037F"/>
    <w:rsid w:val="329B11F6"/>
    <w:rsid w:val="336E087E"/>
    <w:rsid w:val="33C3087D"/>
    <w:rsid w:val="35961B12"/>
    <w:rsid w:val="364523AD"/>
    <w:rsid w:val="365914E3"/>
    <w:rsid w:val="36700D38"/>
    <w:rsid w:val="36C4673D"/>
    <w:rsid w:val="37B10B63"/>
    <w:rsid w:val="37D17C49"/>
    <w:rsid w:val="38950836"/>
    <w:rsid w:val="390721D7"/>
    <w:rsid w:val="393B510C"/>
    <w:rsid w:val="393F4767"/>
    <w:rsid w:val="398D6E51"/>
    <w:rsid w:val="3997579F"/>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BA60948"/>
    <w:rsid w:val="4F0F6A19"/>
    <w:rsid w:val="51D10A66"/>
    <w:rsid w:val="528A390F"/>
    <w:rsid w:val="528C6991"/>
    <w:rsid w:val="52C3297B"/>
    <w:rsid w:val="54054633"/>
    <w:rsid w:val="540605E4"/>
    <w:rsid w:val="547F0032"/>
    <w:rsid w:val="54A02A20"/>
    <w:rsid w:val="55C87B3E"/>
    <w:rsid w:val="57C9597B"/>
    <w:rsid w:val="58D67D8C"/>
    <w:rsid w:val="58E10577"/>
    <w:rsid w:val="59165EF7"/>
    <w:rsid w:val="59702A12"/>
    <w:rsid w:val="5AE170FE"/>
    <w:rsid w:val="5AED2A9C"/>
    <w:rsid w:val="5BC746C9"/>
    <w:rsid w:val="5CC61F72"/>
    <w:rsid w:val="5CF206F7"/>
    <w:rsid w:val="5D775E79"/>
    <w:rsid w:val="5EA0340D"/>
    <w:rsid w:val="5ED66C3C"/>
    <w:rsid w:val="5FDD643B"/>
    <w:rsid w:val="60BA3E42"/>
    <w:rsid w:val="6194383B"/>
    <w:rsid w:val="61BE61D7"/>
    <w:rsid w:val="61CB5375"/>
    <w:rsid w:val="623348CA"/>
    <w:rsid w:val="63733D7C"/>
    <w:rsid w:val="651421FF"/>
    <w:rsid w:val="65CA685B"/>
    <w:rsid w:val="65CF34A7"/>
    <w:rsid w:val="65F660EF"/>
    <w:rsid w:val="6673798C"/>
    <w:rsid w:val="673905B6"/>
    <w:rsid w:val="681C3942"/>
    <w:rsid w:val="68460AAC"/>
    <w:rsid w:val="68AC1CFE"/>
    <w:rsid w:val="6BCD1DE6"/>
    <w:rsid w:val="6C505023"/>
    <w:rsid w:val="6D14299F"/>
    <w:rsid w:val="6D672A1E"/>
    <w:rsid w:val="6DC237D1"/>
    <w:rsid w:val="6F3E67F6"/>
    <w:rsid w:val="6F40725E"/>
    <w:rsid w:val="6F4C2770"/>
    <w:rsid w:val="703D233B"/>
    <w:rsid w:val="708741CD"/>
    <w:rsid w:val="70CE29CF"/>
    <w:rsid w:val="711172CF"/>
    <w:rsid w:val="71946BA2"/>
    <w:rsid w:val="71FD54DD"/>
    <w:rsid w:val="739A7F5B"/>
    <w:rsid w:val="7410294D"/>
    <w:rsid w:val="76D71644"/>
    <w:rsid w:val="776C2FB6"/>
    <w:rsid w:val="77A92619"/>
    <w:rsid w:val="795A5FDB"/>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0"/>
    <w:qFormat/>
    <w:uiPriority w:val="0"/>
    <w:pPr>
      <w:spacing w:before="340" w:after="330" w:line="360" w:lineRule="auto"/>
      <w:jc w:val="center"/>
      <w:outlineLvl w:val="0"/>
    </w:pPr>
    <w:rPr>
      <w:rFonts w:eastAsiaTheme="minorEastAsia"/>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5">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4"/>
    <w:qFormat/>
    <w:uiPriority w:val="0"/>
    <w:pPr>
      <w:keepNext/>
      <w:keepLines/>
      <w:numPr>
        <w:ilvl w:val="4"/>
        <w:numId w:val="1"/>
      </w:numPr>
      <w:tabs>
        <w:tab w:val="left" w:pos="371"/>
      </w:tabs>
      <w:spacing w:before="280" w:after="290" w:line="374" w:lineRule="auto"/>
      <w:outlineLvl w:val="4"/>
    </w:pPr>
    <w:rPr>
      <w:b/>
      <w:sz w:val="28"/>
    </w:rPr>
  </w:style>
  <w:style w:type="paragraph" w:styleId="9">
    <w:name w:val="heading 6"/>
    <w:basedOn w:val="1"/>
    <w:next w:val="8"/>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10">
    <w:name w:val="heading 7"/>
    <w:basedOn w:val="1"/>
    <w:next w:val="8"/>
    <w:link w:val="66"/>
    <w:qFormat/>
    <w:uiPriority w:val="9"/>
    <w:pPr>
      <w:keepNext/>
      <w:keepLines/>
      <w:numPr>
        <w:ilvl w:val="6"/>
        <w:numId w:val="1"/>
      </w:numPr>
      <w:spacing w:before="240" w:after="64" w:line="319" w:lineRule="auto"/>
      <w:outlineLvl w:val="6"/>
    </w:pPr>
    <w:rPr>
      <w:b/>
      <w:sz w:val="24"/>
    </w:rPr>
  </w:style>
  <w:style w:type="paragraph" w:styleId="11">
    <w:name w:val="heading 8"/>
    <w:basedOn w:val="1"/>
    <w:next w:val="8"/>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8"/>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1"/>
    <w:qFormat/>
    <w:uiPriority w:val="0"/>
    <w:pPr>
      <w:spacing w:after="120"/>
    </w:pPr>
  </w:style>
  <w:style w:type="paragraph" w:styleId="8">
    <w:name w:val="Normal Indent"/>
    <w:basedOn w:val="1"/>
    <w:next w:val="1"/>
    <w:link w:val="63"/>
    <w:qFormat/>
    <w:uiPriority w:val="0"/>
    <w:pPr>
      <w:ind w:firstLine="420" w:firstLineChars="200"/>
    </w:pPr>
  </w:style>
  <w:style w:type="paragraph" w:styleId="13">
    <w:name w:val="toc 7"/>
    <w:basedOn w:val="1"/>
    <w:next w:val="1"/>
    <w:qFormat/>
    <w:uiPriority w:val="0"/>
    <w:pPr>
      <w:ind w:left="1260"/>
      <w:jc w:val="left"/>
    </w:pPr>
    <w:rPr>
      <w:szCs w:val="21"/>
    </w:rPr>
  </w:style>
  <w:style w:type="paragraph" w:styleId="14">
    <w:name w:val="List Number 2"/>
    <w:basedOn w:val="1"/>
    <w:qFormat/>
    <w:uiPriority w:val="0"/>
    <w:pPr>
      <w:tabs>
        <w:tab w:val="left" w:pos="780"/>
      </w:tabs>
      <w:ind w:left="780" w:hanging="360"/>
    </w:pPr>
    <w:rPr>
      <w:szCs w:val="20"/>
    </w:rPr>
  </w:style>
  <w:style w:type="paragraph" w:styleId="15">
    <w:name w:val="List Bullet 4"/>
    <w:basedOn w:val="1"/>
    <w:qFormat/>
    <w:uiPriority w:val="0"/>
    <w:pPr>
      <w:tabs>
        <w:tab w:val="left" w:pos="425"/>
        <w:tab w:val="left" w:pos="1620"/>
      </w:tabs>
      <w:ind w:left="425" w:hanging="425"/>
    </w:pPr>
    <w:rPr>
      <w:szCs w:val="20"/>
    </w:rPr>
  </w:style>
  <w:style w:type="paragraph" w:styleId="16">
    <w:name w:val="caption"/>
    <w:basedOn w:val="1"/>
    <w:next w:val="1"/>
    <w:link w:val="297"/>
    <w:qFormat/>
    <w:uiPriority w:val="0"/>
    <w:rPr>
      <w:rFonts w:ascii="Cambria" w:hAnsi="Cambria" w:eastAsia="黑体"/>
    </w:rPr>
  </w:style>
  <w:style w:type="paragraph" w:styleId="17">
    <w:name w:val="List Bullet"/>
    <w:basedOn w:val="1"/>
    <w:qFormat/>
    <w:uiPriority w:val="0"/>
    <w:pPr>
      <w:numPr>
        <w:ilvl w:val="0"/>
        <w:numId w:val="1"/>
      </w:numPr>
      <w:tabs>
        <w:tab w:val="left" w:pos="360"/>
        <w:tab w:val="clear" w:pos="371"/>
      </w:tabs>
    </w:pPr>
    <w:rPr>
      <w:szCs w:val="20"/>
    </w:rPr>
  </w:style>
  <w:style w:type="paragraph" w:styleId="18">
    <w:name w:val="Document Map"/>
    <w:basedOn w:val="1"/>
    <w:link w:val="73"/>
    <w:qFormat/>
    <w:uiPriority w:val="0"/>
    <w:pPr>
      <w:shd w:val="clear" w:color="auto" w:fill="000080"/>
    </w:pPr>
  </w:style>
  <w:style w:type="paragraph" w:styleId="19">
    <w:name w:val="annotation text"/>
    <w:basedOn w:val="1"/>
    <w:link w:val="69"/>
    <w:qFormat/>
    <w:uiPriority w:val="99"/>
    <w:pPr>
      <w:jc w:val="left"/>
    </w:pPr>
  </w:style>
  <w:style w:type="paragraph" w:styleId="20">
    <w:name w:val="Body Text 3"/>
    <w:basedOn w:val="1"/>
    <w:link w:val="458"/>
    <w:unhideWhenUsed/>
    <w:qFormat/>
    <w:uiPriority w:val="0"/>
    <w:pPr>
      <w:spacing w:after="120"/>
    </w:pPr>
    <w:rPr>
      <w:sz w:val="16"/>
      <w:szCs w:val="16"/>
    </w:r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81"/>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9"/>
    <w:next w:val="19"/>
    <w:link w:val="70"/>
    <w:qFormat/>
    <w:uiPriority w:val="0"/>
    <w:rPr>
      <w:b/>
      <w:bCs/>
    </w:rPr>
  </w:style>
  <w:style w:type="paragraph" w:styleId="48">
    <w:name w:val="Body Text First Indent"/>
    <w:basedOn w:val="2"/>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customStyle="1" w:styleId="59">
    <w:name w:val="标题 3 Char"/>
    <w:basedOn w:val="52"/>
    <w:link w:val="5"/>
    <w:qFormat/>
    <w:uiPriority w:val="0"/>
    <w:rPr>
      <w:b/>
      <w:bCs/>
      <w:kern w:val="2"/>
      <w:sz w:val="24"/>
      <w:szCs w:val="32"/>
    </w:rPr>
  </w:style>
  <w:style w:type="character" w:customStyle="1" w:styleId="60">
    <w:name w:val="标题 1 Char"/>
    <w:basedOn w:val="52"/>
    <w:link w:val="3"/>
    <w:qFormat/>
    <w:uiPriority w:val="0"/>
    <w:rPr>
      <w:rFonts w:eastAsiaTheme="minorEastAsia"/>
      <w:b/>
      <w:kern w:val="44"/>
      <w:sz w:val="44"/>
      <w:szCs w:val="28"/>
    </w:rPr>
  </w:style>
  <w:style w:type="character" w:customStyle="1" w:styleId="61">
    <w:name w:val="标题 2 Char"/>
    <w:basedOn w:val="52"/>
    <w:link w:val="4"/>
    <w:qFormat/>
    <w:uiPriority w:val="0"/>
    <w:rPr>
      <w:rFonts w:ascii="Arial" w:hAnsi="Arial" w:eastAsiaTheme="minorEastAsia"/>
      <w:b/>
      <w:bCs/>
      <w:kern w:val="2"/>
      <w:sz w:val="28"/>
      <w:szCs w:val="32"/>
    </w:rPr>
  </w:style>
  <w:style w:type="character" w:customStyle="1" w:styleId="62">
    <w:name w:val="标题 4 Char1"/>
    <w:basedOn w:val="52"/>
    <w:link w:val="6"/>
    <w:qFormat/>
    <w:uiPriority w:val="99"/>
    <w:rPr>
      <w:rFonts w:ascii="Arial" w:hAnsi="Arial" w:eastAsia="黑体"/>
      <w:b/>
      <w:bCs/>
      <w:kern w:val="2"/>
      <w:sz w:val="28"/>
      <w:szCs w:val="28"/>
    </w:rPr>
  </w:style>
  <w:style w:type="character" w:customStyle="1" w:styleId="63">
    <w:name w:val="正文缩进 Char"/>
    <w:link w:val="8"/>
    <w:qFormat/>
    <w:uiPriority w:val="0"/>
    <w:rPr>
      <w:rFonts w:eastAsia="宋体"/>
      <w:kern w:val="2"/>
      <w:sz w:val="21"/>
      <w:szCs w:val="24"/>
      <w:lang w:val="en-US" w:eastAsia="zh-CN" w:bidi="ar-SA"/>
    </w:rPr>
  </w:style>
  <w:style w:type="character" w:customStyle="1" w:styleId="64">
    <w:name w:val="标题 5 Char1"/>
    <w:basedOn w:val="52"/>
    <w:link w:val="7"/>
    <w:qFormat/>
    <w:uiPriority w:val="0"/>
    <w:rPr>
      <w:b/>
      <w:kern w:val="2"/>
      <w:sz w:val="28"/>
      <w:szCs w:val="24"/>
    </w:rPr>
  </w:style>
  <w:style w:type="character" w:customStyle="1" w:styleId="65">
    <w:name w:val="标题 6 Char1"/>
    <w:basedOn w:val="52"/>
    <w:link w:val="9"/>
    <w:qFormat/>
    <w:uiPriority w:val="9"/>
    <w:rPr>
      <w:rFonts w:ascii="Arial" w:hAnsi="Arial" w:eastAsia="黑体"/>
      <w:b/>
      <w:kern w:val="2"/>
      <w:sz w:val="24"/>
      <w:szCs w:val="24"/>
    </w:rPr>
  </w:style>
  <w:style w:type="character" w:customStyle="1" w:styleId="66">
    <w:name w:val="标题 7 Char1"/>
    <w:basedOn w:val="52"/>
    <w:link w:val="10"/>
    <w:qFormat/>
    <w:uiPriority w:val="9"/>
    <w:rPr>
      <w:b/>
      <w:kern w:val="2"/>
      <w:sz w:val="24"/>
      <w:szCs w:val="24"/>
    </w:rPr>
  </w:style>
  <w:style w:type="character" w:customStyle="1" w:styleId="67">
    <w:name w:val="标题 8 Char1"/>
    <w:basedOn w:val="52"/>
    <w:link w:val="11"/>
    <w:qFormat/>
    <w:uiPriority w:val="9"/>
    <w:rPr>
      <w:rFonts w:ascii="Arial" w:hAnsi="Arial" w:eastAsia="黑体"/>
      <w:kern w:val="2"/>
      <w:sz w:val="24"/>
      <w:szCs w:val="24"/>
    </w:rPr>
  </w:style>
  <w:style w:type="character" w:customStyle="1" w:styleId="68">
    <w:name w:val="标题 9 Char1"/>
    <w:basedOn w:val="52"/>
    <w:link w:val="12"/>
    <w:qFormat/>
    <w:uiPriority w:val="0"/>
    <w:rPr>
      <w:rFonts w:ascii="Arial" w:hAnsi="Arial" w:eastAsia="黑体"/>
      <w:kern w:val="2"/>
      <w:sz w:val="21"/>
      <w:szCs w:val="24"/>
    </w:rPr>
  </w:style>
  <w:style w:type="character" w:customStyle="1" w:styleId="69">
    <w:name w:val="批注文字 Char"/>
    <w:link w:val="19"/>
    <w:qFormat/>
    <w:uiPriority w:val="99"/>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8"/>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5"/>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6"/>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6"/>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7"/>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6"/>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20"/>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link w:val="38"/>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Ｒ07-正!!文 Char Char"/>
    <w:link w:val="506"/>
    <w:qFormat/>
    <w:uiPriority w:val="0"/>
    <w:rPr>
      <w:rFonts w:ascii="宋体" w:hAnsi="宋体" w:cs="宋体"/>
      <w:snapToGrid w:val="0"/>
      <w:spacing w:val="4"/>
      <w:kern w:val="2"/>
      <w:sz w:val="24"/>
      <w:szCs w:val="24"/>
    </w:rPr>
  </w:style>
  <w:style w:type="paragraph" w:customStyle="1" w:styleId="506">
    <w:name w:val="Ｒ07-正!!文"/>
    <w:link w:val="505"/>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qFormat/>
    <w:uiPriority w:val="0"/>
    <w:rPr>
      <w:rFonts w:ascii="宋体" w:hAnsi="宋体" w:cs="宋体"/>
      <w:snapToGrid w:val="0"/>
      <w:spacing w:val="8"/>
      <w:kern w:val="2"/>
      <w:sz w:val="24"/>
      <w:szCs w:val="24"/>
    </w:rPr>
  </w:style>
  <w:style w:type="paragraph" w:customStyle="1" w:styleId="508">
    <w:name w:val="Ｒ07-!正!"/>
    <w:link w:val="507"/>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90736D-21F2-4AAA-8AE3-FB026078326B}">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71</Pages>
  <Words>42728</Words>
  <Characters>45903</Characters>
  <Lines>364</Lines>
  <Paragraphs>102</Paragraphs>
  <TotalTime>10</TotalTime>
  <ScaleCrop>false</ScaleCrop>
  <LinksUpToDate>false</LinksUpToDate>
  <CharactersWithSpaces>48143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Faith</cp:lastModifiedBy>
  <cp:lastPrinted>2020-05-26T01:03:00Z</cp:lastPrinted>
  <dcterms:modified xsi:type="dcterms:W3CDTF">2023-01-06T08:54:22Z</dcterms:modified>
  <dc:title>招标编号：UHO2010-G0029</dc:title>
  <cp:revision>582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9BADD67C81B5472FB541E8F5EC891F4E</vt:lpwstr>
  </property>
</Properties>
</file>