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深圳市宝安区通过污水监测  毒情项目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项目编号：SZZZ2022-QC0265</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
    <w:p/>
    <w:p>
      <w:pPr>
        <w:pStyle w:val="28"/>
        <w:adjustRightInd w:val="0"/>
        <w:snapToGrid w:val="0"/>
        <w:spacing w:line="300" w:lineRule="auto"/>
        <w:ind w:hanging="835"/>
        <w:jc w:val="center"/>
        <w:rPr>
          <w:rFonts w:asciiTheme="minorEastAsia" w:hAnsiTheme="minorEastAsia" w:eastAsiaTheme="minorEastAsia"/>
          <w:b/>
          <w:bCs/>
          <w:szCs w:val="21"/>
        </w:rPr>
      </w:pPr>
      <w:r>
        <w:rPr>
          <w:rFonts w:hint="eastAsia"/>
          <w:b/>
          <w:snapToGrid w:val="0"/>
          <w:sz w:val="30"/>
        </w:rPr>
        <w:t>二〇二二年八月</w:t>
      </w:r>
      <w:r>
        <w:rPr>
          <w:b/>
          <w:kern w:val="0"/>
          <w:sz w:val="28"/>
          <w:szCs w:val="28"/>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pPr>
      <w:r>
        <w:rPr>
          <w:rFonts w:hint="eastAsia" w:ascii="仿宋_GB2312" w:eastAsia="仿宋_GB2312" w:hAnsiTheme="minorEastAsia"/>
          <w:b/>
          <w:color w:val="FF0000"/>
          <w:sz w:val="24"/>
        </w:rPr>
        <w:t>投标供应商涉嫌存在串通投标等违法行为的，将书面报告财政主管部门依法处理。</w:t>
      </w:r>
      <w:r>
        <w:br w:type="page"/>
      </w:r>
    </w:p>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"_Toc110420234"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_Toc110420234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"_Toc110420235"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_Toc110420235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"_Toc110420236"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_Toc110420236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"_Toc110420237"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_Toc110420237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"_Toc110420238"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_Toc110420238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"_Toc110420239"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_Toc110420239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"_Toc110420240"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_Toc110420240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"_Toc110420241"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_Toc110420241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"_Toc110420242"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"_Toc110420243"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_Toc110420243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"_Toc110420244"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_Toc110420244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"_Toc110420245"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"_Toc110420246"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_Toc110420246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"_Toc110420247"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_Toc110420247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"_Toc110420248"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_Toc110420248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"_Toc110420249"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_Toc110420249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"_Toc110420250"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_Toc110420250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"_Toc110420251"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_Toc110420251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"_Toc110420252"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_Toc110420252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"_Toc110420253"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_Toc110420253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"_Toc110420254"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_Toc110420254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"_Toc110420255"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_Toc110420255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"_Toc110420256"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_Toc110420256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"_Toc110420257"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_Toc110420257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"_Toc110420258"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_Toc110420258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"_Toc110420259"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_Toc110420259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"_Toc110420260"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_Toc110420260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"_Toc110420261"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_Toc110420261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"_Toc110420262"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_Toc110420262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widowControl/>
        <w:jc w:val="left"/>
      </w:pPr>
      <w:r>
        <w:br w:type="page"/>
      </w:r>
    </w:p>
    <w:p/>
    <w:p>
      <w:pPr>
        <w:pStyle w:val="2"/>
      </w:pPr>
      <w:bookmarkStart w:id="0" w:name="_Toc110420234"/>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深圳市宝安区通过污水监测毒情项目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SZZZ2022-QC0265</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2、项目名称：深圳市宝安区通过污水监测毒情项目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81"/>
        <w:gridCol w:w="837"/>
        <w:gridCol w:w="81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481" w:type="dxa"/>
            <w:shd w:val="clear" w:color="auto" w:fill="ABCDEF"/>
            <w:vAlign w:val="center"/>
          </w:tcPr>
          <w:p>
            <w:pPr>
              <w:pStyle w:val="45"/>
              <w:spacing w:line="360" w:lineRule="auto"/>
              <w:jc w:val="center"/>
              <w:rPr>
                <w:sz w:val="21"/>
              </w:rPr>
            </w:pPr>
            <w:r>
              <w:rPr>
                <w:sz w:val="21"/>
              </w:rPr>
              <w:t>标的名称</w:t>
            </w:r>
          </w:p>
        </w:tc>
        <w:tc>
          <w:tcPr>
            <w:tcW w:w="837"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1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481"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深圳市宝安区通过污水监测毒情项目</w:t>
            </w:r>
          </w:p>
        </w:tc>
        <w:tc>
          <w:tcPr>
            <w:tcW w:w="837"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81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left="210" w:leftChars="100" w:firstLine="212" w:firstLineChars="101"/>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名称：深圳市公安局宝安分局</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地址：深圳市宝安区湖滨东路3号</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联系方式：袁先生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联系方式：罗小姐，0755-83026699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项目联系人：罗小姐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2022年</w:t>
      </w:r>
      <w:r>
        <w:rPr>
          <w:rFonts w:hint="eastAsia" w:ascii="宋体" w:hAnsi="宋体"/>
          <w:snapToGrid w:val="0"/>
          <w:kern w:val="0"/>
          <w:sz w:val="24"/>
          <w:lang w:val="en-US" w:eastAsia="zh-CN"/>
        </w:rPr>
        <w:t>8</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p>
      <w:pPr>
        <w:widowControl/>
        <w:jc w:val="left"/>
      </w:pPr>
      <w:r>
        <w:br w:type="page"/>
      </w:r>
    </w:p>
    <w:p/>
    <w:p>
      <w:pPr>
        <w:pStyle w:val="2"/>
      </w:pPr>
      <w:bookmarkStart w:id="1" w:name="_Toc110420235"/>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深圳市宝安区通过污水监测毒情项目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600,000.00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pStyle w:val="506"/>
        <w:wordWrap/>
        <w:spacing w:afterLines="0" w:line="360" w:lineRule="auto"/>
        <w:ind w:firstLine="420"/>
        <w:rPr>
          <w:rFonts w:cs="Times New Roman"/>
          <w:snapToGrid/>
          <w:spacing w:val="0"/>
          <w:sz w:val="21"/>
          <w:szCs w:val="21"/>
        </w:rPr>
      </w:pPr>
    </w:p>
    <w:p>
      <w:pPr>
        <w:pStyle w:val="321"/>
        <w:ind w:firstLine="0" w:firstLineChars="0"/>
        <w:rPr>
          <w:b/>
        </w:rPr>
      </w:pPr>
      <w:r>
        <w:rPr>
          <w:rFonts w:hint="eastAsia"/>
          <w:b/>
        </w:rPr>
        <w:t>二、项目服务要求</w:t>
      </w:r>
    </w:p>
    <w:p>
      <w:pPr>
        <w:pStyle w:val="506"/>
        <w:wordWrap/>
        <w:spacing w:afterLines="0" w:line="360" w:lineRule="auto"/>
        <w:ind w:firstLine="0" w:firstLineChars="0"/>
        <w:rPr>
          <w:rFonts w:cs="Times New Roman"/>
          <w:b/>
          <w:bCs/>
          <w:snapToGrid/>
          <w:spacing w:val="0"/>
          <w:sz w:val="21"/>
          <w:szCs w:val="21"/>
        </w:rPr>
      </w:pPr>
      <w:r>
        <w:rPr>
          <w:rFonts w:hint="eastAsia" w:cs="Times New Roman"/>
          <w:b/>
          <w:bCs/>
          <w:snapToGrid/>
          <w:spacing w:val="0"/>
          <w:sz w:val="21"/>
          <w:szCs w:val="21"/>
        </w:rPr>
        <w:t>（一）服务内容、技术标准、工作质量要求：</w:t>
      </w:r>
    </w:p>
    <w:p>
      <w:pPr>
        <w:pStyle w:val="321"/>
        <w:ind w:firstLine="420"/>
        <w:rPr>
          <w:bCs/>
          <w:sz w:val="21"/>
          <w:szCs w:val="21"/>
        </w:rPr>
      </w:pPr>
      <w:r>
        <w:rPr>
          <w:rFonts w:hint="eastAsia"/>
          <w:bCs/>
          <w:sz w:val="21"/>
          <w:szCs w:val="21"/>
        </w:rPr>
        <w:t>（1）在宝安下辖的六个污水厂，每个月开展一次为期三天的监测，共72个样品。溯源监测和机动点监测预计228个样品。全年合计监测300个样品。在工作总量不变的前提下，上述采样点也可以根据采购人的实际需求和初期监测结果，调整用于异常情况（存在聚众吸毒或制毒嫌疑）的溯源监测。采集后的污水样品由中标供应商进行检测分析，并出具分析评估报告。</w:t>
      </w:r>
    </w:p>
    <w:p>
      <w:pPr>
        <w:pStyle w:val="321"/>
        <w:ind w:firstLine="420"/>
        <w:rPr>
          <w:bCs/>
          <w:sz w:val="21"/>
          <w:szCs w:val="21"/>
        </w:rPr>
      </w:pPr>
      <w:r>
        <w:rPr>
          <w:rFonts w:hint="eastAsia"/>
          <w:bCs/>
          <w:sz w:val="21"/>
          <w:szCs w:val="21"/>
        </w:rPr>
        <w:t>（2）分析的物质包括常见的毒品及其代谢产物和新精神活性物质等，包括但不限于甲基苯丙胺、苯丙胺、氯胺酮、去甲氯胺酮、吗啡、6-乙酰吗啡、可待因、甲卡西酮、可卡因、苯甲酰厄告宁、美沙酮、2-亚乙基-1,5-二甲基-3,3-二苯基吡络烷酮、3,4－亚甲基二氧甲基苯丙胺、3,4－亚甲基二氧基苯丙胺、四氢大麻酸，卡西酮、亚甲基二氧吡咯戊酮（MDPV，丧尸浴盐）、对甲氧基甲基苯丙胺（PMMA）、2-甲基氨基-1-(3,4-亚甲二氧苯基)-1-丙酮（methylone）、甲氧麻黄酮（喵喵）、1-(3-三氟甲基苯基)哌嗪（TFMPP）、1-(3-氯苯基)哌嗪（mCPP）、苄基哌嗪（BZP）、合成大麻素2C-D、2C-I、芬太尼、苯乙基芬太尼（芬太尼代谢产物）、氟硝西泮（蓝精灵）、氟胺酮并检测标志物可替宁。</w:t>
      </w:r>
    </w:p>
    <w:p>
      <w:pPr>
        <w:pStyle w:val="321"/>
        <w:ind w:firstLine="420"/>
        <w:rPr>
          <w:bCs/>
          <w:sz w:val="21"/>
          <w:szCs w:val="21"/>
        </w:rPr>
      </w:pPr>
      <w:r>
        <w:rPr>
          <w:rFonts w:hint="eastAsia"/>
          <w:bCs/>
          <w:sz w:val="21"/>
          <w:szCs w:val="21"/>
        </w:rPr>
        <w:t>（3）样品的前处理需采用过滤、固相萃取、氮吹、复溶等一系列实验专用技术对目标物进行净化、浓缩并使用LC-MS/MS进行样品分析。</w:t>
      </w:r>
    </w:p>
    <w:p>
      <w:pPr>
        <w:pStyle w:val="321"/>
        <w:ind w:firstLine="420"/>
        <w:rPr>
          <w:bCs/>
          <w:sz w:val="21"/>
          <w:szCs w:val="21"/>
        </w:rPr>
      </w:pPr>
      <w:r>
        <w:rPr>
          <w:rFonts w:hint="eastAsia"/>
          <w:bCs/>
          <w:sz w:val="21"/>
          <w:szCs w:val="21"/>
        </w:rPr>
        <w:t>（4）根据每次监测的分析结果撰写深圳市宝安区基于生活污水监测的毒品滥用评估报告，明确深圳市宝安区存在主要毒品的种类、各监测区域毒品滥用的相对程度、各类毒品滥用的总体水平、各类毒品滥用水平的季节特征。</w:t>
      </w:r>
    </w:p>
    <w:p>
      <w:pPr>
        <w:pStyle w:val="321"/>
        <w:ind w:firstLine="420"/>
        <w:rPr>
          <w:bCs/>
          <w:sz w:val="21"/>
          <w:szCs w:val="21"/>
        </w:rPr>
      </w:pPr>
      <w:r>
        <w:rPr>
          <w:rFonts w:hint="eastAsia"/>
          <w:bCs/>
          <w:sz w:val="21"/>
          <w:szCs w:val="21"/>
        </w:rPr>
        <w:t>（5）根据分析结果为深圳市宝安区公安分局提供各监测点位覆盖区域是否存在制毒窝点的线索。</w:t>
      </w:r>
    </w:p>
    <w:p>
      <w:pPr>
        <w:pStyle w:val="321"/>
        <w:ind w:firstLine="420"/>
        <w:rPr>
          <w:sz w:val="21"/>
          <w:szCs w:val="21"/>
        </w:rPr>
      </w:pPr>
      <w:r>
        <w:rPr>
          <w:rFonts w:hint="eastAsia"/>
          <w:bCs/>
          <w:sz w:val="21"/>
          <w:szCs w:val="21"/>
        </w:rPr>
        <w:t>（6）对分析报告进行解读，由采购人组织解读会，由中标供应商回答相关疑问。</w:t>
      </w:r>
      <w:r>
        <w:rPr>
          <w:rFonts w:hint="eastAsia"/>
          <w:sz w:val="21"/>
          <w:szCs w:val="21"/>
        </w:rPr>
        <w:br w:type="textWrapping"/>
      </w:r>
      <w:r>
        <w:rPr>
          <w:rFonts w:hint="eastAsia"/>
          <w:b/>
          <w:bCs/>
          <w:sz w:val="21"/>
          <w:szCs w:val="21"/>
        </w:rPr>
        <w:t>（二）人员要求（岗位要求、数量）：</w:t>
      </w:r>
      <w:r>
        <w:rPr>
          <w:rFonts w:hint="eastAsia"/>
          <w:sz w:val="21"/>
          <w:szCs w:val="21"/>
        </w:rPr>
        <w:br w:type="textWrapping"/>
      </w:r>
      <w:r>
        <w:rPr>
          <w:rFonts w:hint="eastAsia"/>
          <w:sz w:val="21"/>
          <w:szCs w:val="21"/>
        </w:rPr>
        <w:t xml:space="preserve">    配备3名人员具有污水验毒项目经验（污水验毒项目经验是指配置的人员曾参与城市污水检测评估毒情的项目，需提供参与上述人员参与项目的项目名称、项目合同扫描件及其近三个月内任意一个月的个人社保证明，如供应商为新成立单位且成立时间不足一个月的，可提供加盖公章的情况说明</w:t>
      </w:r>
      <w:r>
        <w:rPr>
          <w:rFonts w:hint="eastAsia"/>
          <w:szCs w:val="21"/>
        </w:rPr>
        <w:t>。</w:t>
      </w:r>
      <w:r>
        <w:rPr>
          <w:rFonts w:hint="eastAsia"/>
          <w:sz w:val="21"/>
          <w:szCs w:val="21"/>
        </w:rPr>
        <w:t>项目团队中需配备2名专业为环境或化学专业的技术人员。</w:t>
      </w:r>
      <w:r>
        <w:rPr>
          <w:rFonts w:hint="eastAsia"/>
          <w:sz w:val="21"/>
          <w:szCs w:val="21"/>
        </w:rPr>
        <w:br w:type="textWrapping"/>
      </w:r>
      <w:r>
        <w:rPr>
          <w:rFonts w:hint="eastAsia"/>
          <w:b/>
          <w:bCs/>
          <w:sz w:val="21"/>
          <w:szCs w:val="21"/>
        </w:rPr>
        <w:t>（三）设备要求（设备名称、数量）：</w:t>
      </w:r>
      <w:r>
        <w:rPr>
          <w:rFonts w:hint="eastAsia"/>
          <w:sz w:val="21"/>
          <w:szCs w:val="21"/>
        </w:rPr>
        <w:br w:type="textWrapping"/>
      </w:r>
      <w:r>
        <w:rPr>
          <w:rFonts w:hint="eastAsia"/>
          <w:sz w:val="21"/>
          <w:szCs w:val="21"/>
        </w:rPr>
        <w:t xml:space="preserve">    拟投入本项目的专业仪器、设备至少包括液相色谱串联质谱仪（液质联用系统）、固相萃取装置（至少12孔）、氮吹仪（至少24位）等三种设备（要求提供设备购置发票或租赁合同及实验室仪器图片）。</w:t>
      </w:r>
    </w:p>
    <w:p>
      <w:pPr>
        <w:pStyle w:val="321"/>
        <w:ind w:firstLine="420"/>
        <w:rPr>
          <w:bCs/>
          <w:sz w:val="21"/>
          <w:szCs w:val="21"/>
        </w:rPr>
      </w:pPr>
    </w:p>
    <w:p>
      <w:pPr>
        <w:pStyle w:val="321"/>
        <w:ind w:firstLine="0" w:firstLineChars="0"/>
        <w:rPr>
          <w:b/>
        </w:rPr>
      </w:pPr>
    </w:p>
    <w:p>
      <w:pPr>
        <w:pStyle w:val="321"/>
        <w:ind w:firstLine="0" w:firstLineChars="0"/>
        <w:rPr>
          <w:b/>
        </w:rPr>
      </w:pPr>
      <w:r>
        <w:rPr>
          <w:rFonts w:hint="eastAsia"/>
          <w:b/>
        </w:rPr>
        <w:t>三、项目商务要求</w:t>
      </w:r>
    </w:p>
    <w:p>
      <w:pPr>
        <w:pStyle w:val="18"/>
        <w:spacing w:line="360" w:lineRule="auto"/>
        <w:rPr>
          <w:bCs/>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自合同签订之日起一年。本项目为长期服务项目，合同累计履行期限最长不得超过三十六个月。服务期满后采购人可根据履约情况续签合同，最多续签两次，合同一年一签。如采购人对履约情况不满意或者中标人在合同履行期间因违法行为被禁止参与政府采购活动或者存在其他重大违法行为的，采购人不再续约。</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r>
        <w:rPr>
          <w:rFonts w:hint="eastAsia" w:asciiTheme="minorEastAsia" w:hAnsiTheme="minorEastAsia" w:eastAsiaTheme="minorEastAsia"/>
          <w:bCs/>
        </w:rPr>
        <w:t>深圳市宝安区</w:t>
      </w:r>
      <w:r>
        <w:rPr>
          <w:rFonts w:hint="eastAsia" w:asciiTheme="minorEastAsia" w:hAnsiTheme="minorEastAsia" w:eastAsiaTheme="minorEastAsia"/>
          <w:b/>
        </w:rPr>
        <w:br w:type="textWrapping"/>
      </w: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本次报价须为人民币报价，包含：人工费、服务费用、监测费用、试剂、耗材、管理、保险、利润、税金、政策性文件规定及合同包含的所有风险、责任等各项应有费用。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ascii="宋体" w:hAnsi="宋体"/>
          <w:szCs w:val="21"/>
        </w:rPr>
      </w:pPr>
      <w:r>
        <w:rPr>
          <w:rFonts w:hint="eastAsia" w:ascii="宋体" w:hAnsi="宋体"/>
          <w:szCs w:val="21"/>
        </w:rPr>
        <w:t>合同签订生效后两周内，甲方向乙方支付合同额的50%，完成项目第二次采样并出具评估报告，经甲方验收合格后两周内甲方向乙方支付合同额的40%，完成项目合同规定的所有服务内容并经甲方验收合格后两周内，甲方向乙方支付合同额的10%。</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（五）后续服务要求：</w:t>
      </w:r>
    </w:p>
    <w:p>
      <w:pPr>
        <w:snapToGrid w:val="0"/>
        <w:spacing w:line="360" w:lineRule="auto"/>
        <w:ind w:firstLine="630" w:firstLineChars="300"/>
        <w:rPr>
          <w:rFonts w:ascii="宋体" w:hAnsi="宋体" w:cs="宋体"/>
          <w:kern w:val="0"/>
          <w:szCs w:val="21"/>
        </w:rPr>
      </w:pPr>
      <w:r>
        <w:rPr>
          <w:rFonts w:hint="eastAsia" w:ascii="宋体" w:hAnsi="宋体" w:cs="宋体"/>
          <w:szCs w:val="21"/>
        </w:rPr>
        <w:t>考核办法/验收方式:</w:t>
      </w:r>
      <w:r>
        <w:rPr>
          <w:rFonts w:hint="eastAsia" w:ascii="宋体" w:hAnsi="宋体" w:cs="宋体"/>
          <w:kern w:val="0"/>
          <w:szCs w:val="21"/>
        </w:rPr>
        <w:t xml:space="preserve"> </w:t>
      </w:r>
    </w:p>
    <w:p>
      <w:pPr>
        <w:snapToGrid w:val="0"/>
        <w:spacing w:line="360" w:lineRule="auto"/>
        <w:ind w:firstLine="420" w:firstLineChars="200"/>
        <w:rPr>
          <w:rFonts w:ascii="宋体" w:hAnsi="宋体" w:cs="宋体"/>
          <w:szCs w:val="21"/>
        </w:rPr>
      </w:pPr>
      <w:r>
        <w:rPr>
          <w:rFonts w:hint="eastAsia" w:ascii="宋体" w:hAnsi="宋体" w:cs="宋体"/>
          <w:szCs w:val="21"/>
        </w:rPr>
        <w:t>（1）监测完成并出具评估报告征询意见稿后。</w:t>
      </w:r>
    </w:p>
    <w:p>
      <w:pPr>
        <w:snapToGrid w:val="0"/>
        <w:spacing w:line="360" w:lineRule="auto"/>
        <w:ind w:firstLine="420" w:firstLineChars="200"/>
        <w:rPr>
          <w:rFonts w:ascii="宋体" w:hAnsi="宋体" w:cs="宋体"/>
          <w:szCs w:val="21"/>
        </w:rPr>
      </w:pPr>
      <w:r>
        <w:rPr>
          <w:rFonts w:hint="eastAsia" w:ascii="宋体" w:hAnsi="宋体" w:cs="宋体"/>
          <w:szCs w:val="21"/>
        </w:rPr>
        <w:t>（2）乙方提供验收报告、报表、验收意见表等相关材料。</w:t>
      </w:r>
    </w:p>
    <w:p>
      <w:pPr>
        <w:snapToGrid w:val="0"/>
        <w:spacing w:line="360" w:lineRule="auto"/>
        <w:ind w:left="630" w:leftChars="200" w:hanging="210" w:hangingChars="100"/>
        <w:rPr>
          <w:rFonts w:ascii="宋体" w:hAnsi="宋体" w:cs="宋体"/>
          <w:szCs w:val="21"/>
        </w:rPr>
      </w:pPr>
      <w:r>
        <w:rPr>
          <w:rFonts w:hint="eastAsia" w:ascii="宋体" w:hAnsi="宋体" w:cs="宋体"/>
          <w:szCs w:val="21"/>
        </w:rPr>
        <w:t>（3）验收过程中，乙方须对项目实施时间、地点、完成情况、结果与结论等问题进行系统汇报。</w:t>
      </w:r>
    </w:p>
    <w:p>
      <w:pPr>
        <w:snapToGrid w:val="0"/>
        <w:spacing w:line="360" w:lineRule="auto"/>
        <w:ind w:left="630" w:leftChars="200" w:hanging="210" w:hangingChars="100"/>
        <w:rPr>
          <w:rFonts w:ascii="宋体" w:hAnsi="宋体" w:cs="宋体"/>
          <w:szCs w:val="21"/>
        </w:rPr>
      </w:pPr>
      <w:r>
        <w:rPr>
          <w:rFonts w:hint="eastAsia" w:ascii="宋体" w:hAnsi="宋体" w:cs="宋体"/>
          <w:szCs w:val="21"/>
        </w:rPr>
        <w:t>（4）乙方须根据验收意见，对评估报告的修订和提交。</w:t>
      </w:r>
    </w:p>
    <w:p>
      <w:pPr>
        <w:snapToGrid w:val="0"/>
        <w:spacing w:line="360" w:lineRule="auto"/>
        <w:rPr>
          <w:b/>
          <w:bCs/>
          <w:szCs w:val="21"/>
        </w:rPr>
      </w:pPr>
      <w:r>
        <w:rPr>
          <w:rFonts w:hint="eastAsia"/>
          <w:b/>
          <w:bCs/>
          <w:szCs w:val="21"/>
        </w:rPr>
        <w:t>（六）其他需说明的事项：</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（1）管理要求：遵守国家有关法律、法规的规定，严格履行法定职责，没有违法、违规记录；具有健全的组织结构和内部管理制度，能独立完成整个项目。</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（2）保密要求：本项目所有分析数据应严格保密，未经采购人允许不得以任何方式向第三方透露。</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）中标供应商不得将所收到的污水样品提供给第三方使用。</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）中标供应商若需利用污水样品作本采购需求以外的其他用途，必须事先征得采购人的同意。</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）中标供应商需具备现场采样、测定、数据整理、分析能力。</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）中标供应商需具备分析水体中痕量有机物的能力，拥有相应的水样前处理设备和分析仪器。</w:t>
      </w:r>
    </w:p>
    <w:p>
      <w:pPr>
        <w:snapToGrid w:val="0"/>
        <w:spacing w:line="360" w:lineRule="auto"/>
        <w:ind w:firstLine="420" w:firstLineChars="200"/>
        <w:rPr>
          <w:rFonts w:ascii="宋体" w:hAnsi="宋体" w:cs="宋体"/>
          <w:kern w:val="0"/>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）中标供应商应有较强的科研能力。</w:t>
      </w:r>
      <w:r>
        <w:rPr>
          <w:szCs w:val="21"/>
        </w:rPr>
        <w:br w:type="page"/>
      </w:r>
    </w:p>
    <w:p>
      <w:pPr>
        <w:pStyle w:val="456"/>
        <w:spacing w:before="0" w:beforeAutospacing="0" w:after="0" w:afterAutospacing="0" w:line="360" w:lineRule="auto"/>
        <w:rPr>
          <w:sz w:val="21"/>
          <w:szCs w:val="21"/>
        </w:rPr>
      </w:pPr>
    </w:p>
    <w:p>
      <w:pPr>
        <w:pStyle w:val="2"/>
      </w:pPr>
      <w:bookmarkStart w:id="2" w:name="_Toc110420236"/>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2"/>
        <w:spacing w:after="0"/>
      </w:pPr>
      <w:bookmarkStart w:id="3" w:name="_Toc110420237"/>
      <w:r>
        <w:rPr>
          <w:rFonts w:hint="eastAsia"/>
        </w:rPr>
        <w:t>第四章  评标方法和标准</w:t>
      </w:r>
      <w:bookmarkEnd w:id="3"/>
    </w:p>
    <w:p/>
    <w:p>
      <w:pPr>
        <w:pStyle w:val="4"/>
        <w:spacing w:before="0" w:after="0"/>
      </w:pPr>
      <w:bookmarkStart w:id="4" w:name="_Toc44690702"/>
      <w:bookmarkStart w:id="5" w:name="_Toc44690429"/>
      <w:bookmarkStart w:id="6" w:name="_Toc44691161"/>
      <w:bookmarkStart w:id="7" w:name="_Toc110420238"/>
      <w:bookmarkStart w:id="8" w:name="_Toc44691393"/>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10420239"/>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olor w:val="000000"/>
              </w:rPr>
              <w:t>分析结果周期</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color w:val="000000"/>
              </w:rPr>
              <w:t>根据投标人对本项目出具评估报告的周期进行综合评定：</w:t>
            </w:r>
            <w:r>
              <w:rPr>
                <w:rFonts w:hint="eastAsia" w:ascii="宋体" w:hAnsi="宋体"/>
                <w:color w:val="000000"/>
              </w:rPr>
              <w:br w:type="textWrapping"/>
            </w:r>
            <w:r>
              <w:rPr>
                <w:rFonts w:hint="eastAsia" w:ascii="宋体" w:hAnsi="宋体"/>
                <w:color w:val="000000"/>
              </w:rPr>
              <w:t>投标人在收到样品后，承诺20个工作日内出具分析报告的得2分；25个工作日内出具评估报告的得1.5分；30个工作日内出具评估报告的得1分。未做说明的不得分。</w:t>
            </w:r>
            <w:r>
              <w:rPr>
                <w:rFonts w:hint="eastAsia" w:ascii="宋体" w:hAnsi="宋体"/>
                <w:color w:val="000000"/>
              </w:rPr>
              <w:br w:type="textWrapping"/>
            </w:r>
            <w:r>
              <w:rPr>
                <w:rFonts w:hint="eastAsia" w:ascii="宋体" w:hAnsi="宋体"/>
                <w:kern w:val="0"/>
                <w:szCs w:val="21"/>
              </w:rPr>
              <w:t>（二）评分依据：</w:t>
            </w:r>
          </w:p>
          <w:p>
            <w:pPr>
              <w:pStyle w:val="94"/>
              <w:spacing w:line="360" w:lineRule="exact"/>
              <w:ind w:firstLine="0" w:firstLineChars="0"/>
              <w:rPr>
                <w:rFonts w:ascii="宋体" w:hAnsi="宋体"/>
                <w:kern w:val="0"/>
                <w:szCs w:val="21"/>
              </w:rPr>
            </w:pPr>
            <w:r>
              <w:rPr>
                <w:rFonts w:hint="eastAsia" w:ascii="宋体" w:hAnsi="宋体"/>
                <w:color w:val="000000"/>
              </w:rPr>
              <w:t>（需提供相应的《承诺函》格式自拟，并加盖投标人公章作为得分依据，</w:t>
            </w:r>
            <w:r>
              <w:rPr>
                <w:rFonts w:hint="eastAsia" w:ascii="宋体" w:hAnsi="宋体"/>
                <w:szCs w:val="21"/>
              </w:rPr>
              <w:t>未提供承诺或承诺内容不满足要求不得分</w:t>
            </w:r>
            <w:r>
              <w:rPr>
                <w:rFonts w:hint="eastAsia" w:ascii="宋体" w:hAnsi="宋体"/>
                <w:color w:val="000000"/>
              </w:rPr>
              <w:t>）。</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color w:val="000000"/>
              </w:rPr>
              <w:t>项目分析能力</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cs="宋体"/>
                <w:szCs w:val="21"/>
              </w:rPr>
            </w:pPr>
            <w:r>
              <w:rPr>
                <w:rFonts w:hint="eastAsia" w:ascii="宋体" w:hAnsi="宋体"/>
                <w:color w:val="000000"/>
                <w:szCs w:val="21"/>
              </w:rPr>
              <w:t>根据投标人对本项目的测试目标物质的分析能力进行综合评定，</w:t>
            </w:r>
            <w:bookmarkStart w:id="10" w:name="_Hlk109851777"/>
            <w:r>
              <w:rPr>
                <w:rFonts w:hint="eastAsia" w:ascii="宋体" w:hAnsi="宋体"/>
                <w:color w:val="000000"/>
                <w:szCs w:val="21"/>
              </w:rPr>
              <w:t>检测目标物质包含以下51种：</w:t>
            </w:r>
            <w:r>
              <w:rPr>
                <w:rFonts w:hint="eastAsia" w:ascii="宋体" w:hAnsi="宋体"/>
                <w:color w:val="000000"/>
                <w:szCs w:val="21"/>
              </w:rPr>
              <w:br w:type="textWrapping"/>
            </w:r>
            <w:r>
              <w:rPr>
                <w:rFonts w:hint="eastAsia" w:ascii="宋体" w:hAnsi="宋体"/>
                <w:b/>
                <w:bCs/>
                <w:color w:val="000000"/>
                <w:szCs w:val="21"/>
              </w:rPr>
              <w:t>苯丙胺类（8种）</w:t>
            </w:r>
            <w:r>
              <w:rPr>
                <w:rFonts w:hint="eastAsia" w:ascii="宋体" w:hAnsi="宋体"/>
                <w:color w:val="000000"/>
                <w:szCs w:val="21"/>
              </w:rPr>
              <w:t>① 冰毒（甲基苯丙胺）；② p-羟基甲基苯丙胺（冰毒的代谢产物）；③ 苯丙胺（来源复杂，可作为毒品单独滥用，也是冰毒的人体代谢产物以及冰毒的合成副产物）；④ 麻黄碱（有合法的来源，例如感冒药。是合成冰毒的前体化合物）；⑤ 伪麻黄碱（来源复杂，有合法的来源，例如感冒药。是合成冰毒的前体化合物）；⑥ 摇头丸（3,4-二甲氧基甲基苯丙胺，MDMA）；⑦ 4-甲氧基甲基苯丙胺（PMMA，苯丙胺类兴奋剂的一种）；⑧ 3,4-二甲氧基苯丙胺（MDA）；</w:t>
            </w:r>
            <w:r>
              <w:rPr>
                <w:rFonts w:hint="eastAsia" w:ascii="宋体" w:hAnsi="宋体"/>
                <w:color w:val="000000"/>
                <w:szCs w:val="21"/>
              </w:rPr>
              <w:br w:type="textWrapping"/>
            </w:r>
            <w:r>
              <w:rPr>
                <w:rFonts w:hint="eastAsia" w:ascii="宋体" w:hAnsi="宋体"/>
                <w:b/>
                <w:bCs/>
                <w:color w:val="000000"/>
                <w:szCs w:val="21"/>
              </w:rPr>
              <w:t>氯胺酮类（3种）</w:t>
            </w:r>
            <w:r>
              <w:rPr>
                <w:rFonts w:hint="eastAsia" w:ascii="宋体" w:hAnsi="宋体"/>
                <w:color w:val="000000"/>
                <w:szCs w:val="21"/>
              </w:rPr>
              <w:t>① K粉（氯胺酮）；② 去甲氯胺酮（K粉的代谢产物）；③ 氟胺酮；</w:t>
            </w:r>
            <w:r>
              <w:rPr>
                <w:rFonts w:hint="eastAsia" w:ascii="宋体" w:hAnsi="宋体"/>
                <w:color w:val="000000"/>
                <w:szCs w:val="21"/>
              </w:rPr>
              <w:br w:type="textWrapping"/>
            </w:r>
            <w:r>
              <w:rPr>
                <w:rFonts w:hint="eastAsia" w:ascii="宋体" w:hAnsi="宋体"/>
                <w:b/>
                <w:bCs/>
                <w:color w:val="000000"/>
                <w:szCs w:val="21"/>
              </w:rPr>
              <w:t>阿片类（6种）</w:t>
            </w:r>
            <w:r>
              <w:rPr>
                <w:rFonts w:hint="eastAsia" w:ascii="宋体" w:hAnsi="宋体"/>
                <w:color w:val="000000"/>
                <w:szCs w:val="21"/>
              </w:rPr>
              <w:t>① 海洛因；② 6-乙酰吗啡（只来源于海洛因的人体代谢）；③ 吗啡（海洛因、可待因的人体代谢物，也可作为药物单独使用）；④ 可待因（有合法来源，例如止咳水等）；⑤ 美沙酮（海洛因替代物）；⑥ EDDP（美沙酮的人体代谢产物）；</w:t>
            </w:r>
            <w:r>
              <w:rPr>
                <w:rFonts w:hint="eastAsia" w:ascii="宋体" w:hAnsi="宋体"/>
                <w:color w:val="000000"/>
                <w:szCs w:val="21"/>
              </w:rPr>
              <w:br w:type="textWrapping"/>
            </w:r>
            <w:r>
              <w:rPr>
                <w:rFonts w:hint="eastAsia" w:ascii="宋体" w:hAnsi="宋体"/>
                <w:b/>
                <w:bCs/>
                <w:color w:val="000000"/>
                <w:szCs w:val="21"/>
              </w:rPr>
              <w:t>芬太尼类（10种）</w:t>
            </w:r>
            <w:r>
              <w:rPr>
                <w:rFonts w:hint="eastAsia" w:ascii="宋体" w:hAnsi="宋体"/>
                <w:color w:val="000000"/>
                <w:szCs w:val="21"/>
              </w:rPr>
              <w:t>① 芬太尼；② 乙酰芬太尼；③ 奥芬太尼；④ 丙烯酰芬太尼；⑤ 呋喃芬太尼；⑥ 异丁酰芬太尼；⑦ 4-氟丁酰芬太尼；⑧ 戊酰芬太尼；⑨去甲芬太尼；⑩去甲乙酰芬太尼；</w:t>
            </w:r>
            <w:r>
              <w:rPr>
                <w:rFonts w:hint="eastAsia" w:ascii="宋体" w:hAnsi="宋体"/>
                <w:color w:val="000000"/>
                <w:szCs w:val="21"/>
              </w:rPr>
              <w:br w:type="textWrapping"/>
            </w:r>
            <w:r>
              <w:rPr>
                <w:rFonts w:hint="eastAsia" w:ascii="宋体" w:hAnsi="宋体"/>
                <w:b/>
                <w:bCs/>
                <w:color w:val="000000"/>
                <w:szCs w:val="21"/>
              </w:rPr>
              <w:t>可卡因类（2种）</w:t>
            </w:r>
            <w:r>
              <w:rPr>
                <w:rFonts w:hint="eastAsia" w:ascii="宋体" w:hAnsi="宋体"/>
                <w:color w:val="000000"/>
                <w:szCs w:val="21"/>
              </w:rPr>
              <w:t>① 可卡因；② 苯甲酰爱康宁（可卡因的人体代谢产物）；</w:t>
            </w:r>
            <w:r>
              <w:rPr>
                <w:rFonts w:hint="eastAsia" w:ascii="宋体" w:hAnsi="宋体"/>
                <w:color w:val="000000"/>
                <w:szCs w:val="21"/>
              </w:rPr>
              <w:br w:type="textWrapping"/>
            </w:r>
            <w:r>
              <w:rPr>
                <w:rFonts w:hint="eastAsia" w:ascii="宋体" w:hAnsi="宋体"/>
                <w:b/>
                <w:bCs/>
                <w:color w:val="000000"/>
                <w:szCs w:val="21"/>
              </w:rPr>
              <w:t>大麻类（2种）</w:t>
            </w:r>
            <w:r>
              <w:rPr>
                <w:rFonts w:hint="eastAsia" w:ascii="宋体" w:hAnsi="宋体"/>
                <w:color w:val="000000"/>
                <w:szCs w:val="21"/>
              </w:rPr>
              <w:t>① 四氢大麻酚；② 四氢大麻酸；</w:t>
            </w:r>
            <w:r>
              <w:rPr>
                <w:rFonts w:hint="eastAsia" w:ascii="宋体" w:hAnsi="宋体"/>
                <w:color w:val="000000"/>
                <w:szCs w:val="21"/>
              </w:rPr>
              <w:br w:type="textWrapping"/>
            </w:r>
            <w:r>
              <w:rPr>
                <w:rFonts w:hint="eastAsia" w:ascii="宋体" w:hAnsi="宋体"/>
                <w:b/>
                <w:bCs/>
                <w:color w:val="000000"/>
                <w:szCs w:val="21"/>
              </w:rPr>
              <w:t>卡西酮类（5种）</w:t>
            </w:r>
            <w:r>
              <w:rPr>
                <w:rFonts w:hint="eastAsia" w:ascii="宋体" w:hAnsi="宋体"/>
                <w:color w:val="000000"/>
                <w:szCs w:val="21"/>
              </w:rPr>
              <w:t>① 卡西酮（恰特草的活性成分）；② 甲卡西酮（俗称丧尸药、可来源于麻黄碱以及伪麻黄碱的转化）；③ 乙卡西酮；④ 4-甲基甲卡西酮；⑤ 4-甲基乙卡西酮；</w:t>
            </w:r>
            <w:r>
              <w:rPr>
                <w:rFonts w:hint="eastAsia" w:ascii="宋体" w:hAnsi="宋体"/>
                <w:color w:val="000000"/>
                <w:szCs w:val="21"/>
              </w:rPr>
              <w:br w:type="textWrapping"/>
            </w:r>
            <w:r>
              <w:rPr>
                <w:rFonts w:hint="eastAsia" w:ascii="宋体" w:hAnsi="宋体"/>
                <w:b/>
                <w:bCs/>
                <w:color w:val="000000"/>
                <w:szCs w:val="21"/>
              </w:rPr>
              <w:t>苯二氮卓类（6种）</w:t>
            </w:r>
            <w:r>
              <w:rPr>
                <w:rFonts w:hint="eastAsia" w:ascii="宋体" w:hAnsi="宋体"/>
                <w:color w:val="000000"/>
                <w:szCs w:val="21"/>
              </w:rPr>
              <w:t>①地西泮；②氟硝西泮；③阿普唑仑；④三唑仑；⑤艾司唑仑；⑥尼美西泮；</w:t>
            </w:r>
            <w:r>
              <w:rPr>
                <w:rFonts w:hint="eastAsia" w:ascii="宋体" w:hAnsi="宋体"/>
                <w:color w:val="000000"/>
                <w:szCs w:val="21"/>
              </w:rPr>
              <w:br w:type="textWrapping"/>
            </w:r>
            <w:r>
              <w:rPr>
                <w:rFonts w:hint="eastAsia" w:ascii="宋体" w:hAnsi="宋体"/>
                <w:b/>
                <w:bCs/>
                <w:color w:val="000000"/>
                <w:szCs w:val="21"/>
              </w:rPr>
              <w:t>其他（9种）</w:t>
            </w:r>
            <w:r>
              <w:rPr>
                <w:rFonts w:hint="eastAsia" w:ascii="宋体" w:hAnsi="宋体"/>
                <w:color w:val="000000"/>
                <w:szCs w:val="21"/>
              </w:rPr>
              <w:t>①安眠酮；②哌替啶；③哌醋甲酯；④哌替啶；⑤曲马多；⑥右美沙芬；⑦苄基哌嗪；⑧4F-MDMB-BUTINACA（合成大麻素）；⑨ 5F-MDMB-PICA（合成大麻素）</w:t>
            </w:r>
            <w:bookmarkEnd w:id="10"/>
            <w:r>
              <w:rPr>
                <w:rFonts w:hint="eastAsia" w:ascii="宋体" w:hAnsi="宋体"/>
                <w:color w:val="000000"/>
                <w:szCs w:val="21"/>
              </w:rPr>
              <w:t>。</w:t>
            </w:r>
            <w:r>
              <w:rPr>
                <w:rFonts w:hint="eastAsia" w:ascii="宋体" w:hAnsi="宋体"/>
                <w:color w:val="000000"/>
                <w:szCs w:val="21"/>
              </w:rPr>
              <w:br w:type="textWrapping"/>
            </w:r>
            <w:r>
              <w:rPr>
                <w:rFonts w:hint="eastAsia" w:ascii="宋体" w:hAnsi="宋体"/>
                <w:kern w:val="0"/>
                <w:szCs w:val="21"/>
              </w:rPr>
              <w:t>（二）评分依据：</w:t>
            </w:r>
            <w:r>
              <w:rPr>
                <w:rFonts w:hint="eastAsia" w:ascii="宋体" w:hAnsi="宋体"/>
                <w:kern w:val="0"/>
                <w:szCs w:val="21"/>
              </w:rPr>
              <w:br w:type="textWrapping"/>
            </w:r>
            <w:r>
              <w:rPr>
                <w:rFonts w:hint="eastAsia" w:ascii="宋体" w:hAnsi="宋体"/>
                <w:color w:val="000000"/>
                <w:szCs w:val="21"/>
              </w:rPr>
              <w:t>投标人承诺所能检测的物质包含上述全部的得6分，投标人承诺所能检测的物质包含上述物质中的25~50种的得3分，投标人承诺所能检测的物质包含上述物质中的10~24种的得1分，投标人所能检测的物质包含上述物质中10种（但不包含10种）以下的不得分。</w:t>
            </w:r>
            <w:r>
              <w:rPr>
                <w:rFonts w:hint="eastAsia" w:ascii="宋体" w:hAnsi="宋体"/>
                <w:color w:val="000000"/>
                <w:szCs w:val="21"/>
              </w:rPr>
              <w:br w:type="textWrapping"/>
            </w:r>
            <w:r>
              <w:rPr>
                <w:rFonts w:hint="eastAsia" w:ascii="宋体" w:hAnsi="宋体"/>
                <w:color w:val="000000"/>
                <w:szCs w:val="21"/>
              </w:rPr>
              <w:t>（需提供相应的《承诺函》格式自拟，并加盖投标人公章</w:t>
            </w:r>
            <w:r>
              <w:rPr>
                <w:rFonts w:hint="eastAsia" w:ascii="宋体" w:hAnsi="宋体"/>
                <w:color w:val="000000"/>
              </w:rPr>
              <w:t>作为得分依据，</w:t>
            </w:r>
            <w:r>
              <w:rPr>
                <w:rFonts w:hint="eastAsia" w:ascii="宋体" w:hAnsi="宋体"/>
                <w:szCs w:val="21"/>
              </w:rPr>
              <w:t>未提供承诺或承诺内容不满足要求不得分。</w:t>
            </w:r>
            <w:r>
              <w:rPr>
                <w:rFonts w:hint="eastAsia" w:ascii="宋体" w:hAnsi="宋体"/>
                <w:color w:val="000000"/>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3"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color w:val="000000"/>
              </w:rPr>
              <w:t>项目服务方案</w:t>
            </w:r>
          </w:p>
        </w:tc>
        <w:tc>
          <w:tcPr>
            <w:tcW w:w="709" w:type="dxa"/>
            <w:vAlign w:val="center"/>
          </w:tcPr>
          <w:p>
            <w:pPr>
              <w:widowControl/>
              <w:spacing w:line="360" w:lineRule="exact"/>
              <w:jc w:val="center"/>
              <w:rPr>
                <w:rFonts w:ascii="宋体" w:hAnsi="宋体"/>
                <w:kern w:val="0"/>
                <w:szCs w:val="21"/>
                <w:highlight w:val="none"/>
              </w:rPr>
            </w:pPr>
            <w:r>
              <w:rPr>
                <w:rFonts w:hint="eastAsia" w:ascii="宋体" w:hAnsi="宋体"/>
                <w:kern w:val="0"/>
                <w:szCs w:val="21"/>
                <w:highlight w:val="none"/>
              </w:rPr>
              <w:t>12</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（一）评分内容：</w:t>
            </w:r>
          </w:p>
          <w:p>
            <w:pPr>
              <w:widowControl/>
              <w:snapToGrid w:val="0"/>
              <w:spacing w:line="360" w:lineRule="exact"/>
              <w:jc w:val="left"/>
              <w:rPr>
                <w:rFonts w:ascii="宋体" w:hAnsi="宋体"/>
                <w:kern w:val="0"/>
                <w:szCs w:val="21"/>
                <w:highlight w:val="none"/>
              </w:rPr>
            </w:pPr>
            <w:r>
              <w:rPr>
                <w:rFonts w:hint="eastAsia" w:ascii="宋体" w:hAnsi="宋体"/>
                <w:highlight w:val="none"/>
              </w:rPr>
              <w:t>根据投标人提供服务方案进行评审：</w:t>
            </w:r>
            <w:r>
              <w:rPr>
                <w:rFonts w:hint="eastAsia" w:ascii="宋体" w:hAnsi="宋体"/>
                <w:highlight w:val="none"/>
              </w:rPr>
              <w:br w:type="textWrapping"/>
            </w:r>
            <w:r>
              <w:rPr>
                <w:rFonts w:hint="eastAsia" w:ascii="宋体" w:hAnsi="宋体"/>
                <w:kern w:val="0"/>
                <w:szCs w:val="21"/>
                <w:highlight w:val="none"/>
              </w:rPr>
              <w:t>（二）评分标准：</w:t>
            </w:r>
            <w:r>
              <w:rPr>
                <w:rFonts w:hint="eastAsia" w:ascii="宋体" w:hAnsi="宋体"/>
                <w:kern w:val="0"/>
                <w:szCs w:val="21"/>
                <w:highlight w:val="none"/>
              </w:rPr>
              <w:br w:type="textWrapping"/>
            </w:r>
            <w:r>
              <w:rPr>
                <w:rFonts w:hint="eastAsia" w:ascii="宋体" w:hAnsi="宋体"/>
                <w:highlight w:val="none"/>
              </w:rPr>
              <w:t>①方案具备采样点分布图（分布图以街镇为单位进行划分片区、分布图能提现每个片区的的代表采样点位，点位可以是污水厂、泵站、主管网、以及能体现各片区主管道污水流向）；</w:t>
            </w:r>
            <w:r>
              <w:rPr>
                <w:rFonts w:hint="eastAsia" w:ascii="宋体" w:hAnsi="宋体"/>
                <w:highlight w:val="none"/>
              </w:rPr>
              <w:br w:type="textWrapping"/>
            </w:r>
            <w:r>
              <w:rPr>
                <w:rFonts w:hint="eastAsia" w:ascii="宋体" w:hAnsi="宋体"/>
                <w:highlight w:val="none"/>
              </w:rPr>
              <w:t>②污水现场快速检测方案（包含产品照片、案例说明、省级科研立项项目证明或发明专利证明）；</w:t>
            </w:r>
            <w:r>
              <w:rPr>
                <w:rFonts w:hint="eastAsia" w:ascii="宋体" w:hAnsi="宋体"/>
                <w:highlight w:val="none"/>
              </w:rPr>
              <w:br w:type="textWrapping"/>
            </w:r>
            <w:r>
              <w:rPr>
                <w:rFonts w:hint="eastAsia" w:ascii="宋体" w:hAnsi="宋体"/>
                <w:highlight w:val="none"/>
              </w:rPr>
              <w:t>③异常情况处理方案（需提供污水监测结果出现异常高值时的同步溯源和事后溯源方案）；</w:t>
            </w:r>
            <w:r>
              <w:rPr>
                <w:rFonts w:hint="eastAsia" w:ascii="宋体" w:hAnsi="宋体"/>
                <w:highlight w:val="none"/>
              </w:rPr>
              <w:br w:type="textWrapping"/>
            </w:r>
            <w:r>
              <w:rPr>
                <w:rFonts w:hint="eastAsia" w:ascii="宋体" w:hAnsi="宋体"/>
                <w:highlight w:val="none"/>
              </w:rPr>
              <w:t>④质量保证措施。</w:t>
            </w:r>
          </w:p>
          <w:p>
            <w:pPr>
              <w:widowControl/>
              <w:snapToGrid w:val="0"/>
              <w:spacing w:line="360" w:lineRule="exact"/>
              <w:jc w:val="left"/>
              <w:rPr>
                <w:rFonts w:ascii="宋体" w:hAnsi="宋体"/>
                <w:kern w:val="0"/>
                <w:szCs w:val="21"/>
                <w:highlight w:val="none"/>
              </w:rPr>
            </w:pPr>
            <w:r>
              <w:rPr>
                <w:rFonts w:hint="eastAsia"/>
                <w:highlight w:val="none"/>
              </w:rPr>
              <w:t>满足以</w:t>
            </w:r>
            <w:r>
              <w:rPr>
                <w:rFonts w:hint="eastAsia" w:asciiTheme="minorEastAsia" w:hAnsiTheme="minorEastAsia" w:eastAsiaTheme="minorEastAsia"/>
                <w:highlight w:val="none"/>
              </w:rPr>
              <w:t>上四项要求的得12分，满足其中三项要求的得10分，满足其中二项要求的得8分，满足其中一项要求的得6分，其他情况不得分。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olor w:val="000000"/>
              </w:rPr>
              <w:t>拟投入本项目的专业检测仪器、设备</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cs="宋体"/>
                <w:szCs w:val="21"/>
              </w:rPr>
            </w:pPr>
            <w:r>
              <w:rPr>
                <w:rFonts w:hint="eastAsia" w:ascii="宋体" w:hAnsi="宋体"/>
                <w:color w:val="000000"/>
              </w:rPr>
              <w:t>根据投标人拟投入本项目的专业仪器进行评审：</w:t>
            </w:r>
            <w:r>
              <w:rPr>
                <w:rFonts w:hint="eastAsia" w:ascii="宋体" w:hAnsi="宋体"/>
                <w:color w:val="000000"/>
              </w:rPr>
              <w:br w:type="textWrapping"/>
            </w:r>
            <w:r>
              <w:rPr>
                <w:rFonts w:hint="eastAsia" w:ascii="宋体" w:hAnsi="宋体"/>
                <w:color w:val="000000"/>
              </w:rPr>
              <w:t>1.设备至少包括液相色谱串联质谱仪（液质联用系统）、固相萃取装置（至少12孔）、氮吹仪（至少24位），三种设备齐全的得4分；</w:t>
            </w:r>
            <w:r>
              <w:rPr>
                <w:rFonts w:hint="eastAsia" w:ascii="宋体" w:hAnsi="宋体"/>
                <w:color w:val="000000"/>
              </w:rPr>
              <w:br w:type="textWrapping"/>
            </w:r>
            <w:r>
              <w:rPr>
                <w:rFonts w:hint="eastAsia" w:ascii="宋体" w:hAnsi="宋体"/>
                <w:color w:val="000000"/>
              </w:rPr>
              <w:t>2.投入的专业仪器、设备不包含液相色谱串联质谱仪的不得分；3.缺少除液相色谱串联质谱仪外的仪器，每缺少一项扣2分，扣完为止。</w:t>
            </w:r>
            <w:r>
              <w:rPr>
                <w:rFonts w:hint="eastAsia" w:ascii="宋体" w:hAnsi="宋体"/>
                <w:color w:val="000000"/>
              </w:rPr>
              <w:br w:type="textWrapping"/>
            </w:r>
            <w:r>
              <w:rPr>
                <w:rFonts w:hint="eastAsia" w:ascii="宋体" w:hAnsi="宋体"/>
                <w:kern w:val="0"/>
                <w:szCs w:val="21"/>
              </w:rPr>
              <w:t>（二）评分依据：</w:t>
            </w:r>
            <w:r>
              <w:rPr>
                <w:rFonts w:hint="eastAsia" w:ascii="宋体" w:hAnsi="宋体"/>
                <w:kern w:val="0"/>
                <w:szCs w:val="21"/>
              </w:rPr>
              <w:br w:type="textWrapping"/>
            </w:r>
            <w:r>
              <w:rPr>
                <w:rFonts w:hint="eastAsia" w:ascii="宋体" w:hAnsi="宋体"/>
                <w:color w:val="000000"/>
              </w:rPr>
              <w:t>（要求提供设备购置发票或租赁合同复印件或扫描件，及实验室仪器图片，未提供有效证明文件或提供不清晰导致评委无法识别的，不计得分。）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color w:val="000000"/>
              </w:rPr>
              <w:t>拟投入本项目的污水溯源采样设备</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5953" w:type="dxa"/>
            <w:vAlign w:val="center"/>
          </w:tcPr>
          <w:p>
            <w:pPr>
              <w:autoSpaceDE w:val="0"/>
              <w:autoSpaceDN w:val="0"/>
              <w:adjustRightInd w:val="0"/>
              <w:spacing w:line="360" w:lineRule="exact"/>
              <w:rPr>
                <w:rFonts w:ascii="宋体" w:hAnsi="宋体" w:cs="宋体"/>
                <w:szCs w:val="21"/>
              </w:rPr>
            </w:pPr>
            <w:r>
              <w:rPr>
                <w:rFonts w:hint="eastAsia" w:ascii="宋体" w:hAnsi="宋体"/>
                <w:szCs w:val="21"/>
              </w:rPr>
              <w:t>（一）</w:t>
            </w:r>
            <w:r>
              <w:rPr>
                <w:rFonts w:hint="eastAsia" w:ascii="宋体" w:hAnsi="宋体" w:cs="宋体"/>
                <w:szCs w:val="21"/>
              </w:rPr>
              <w:t>评审内容：</w:t>
            </w:r>
            <w:r>
              <w:rPr>
                <w:rFonts w:hint="eastAsia" w:ascii="宋体" w:hAnsi="宋体" w:cs="宋体"/>
                <w:szCs w:val="21"/>
              </w:rPr>
              <w:br w:type="textWrapping"/>
            </w:r>
            <w:r>
              <w:rPr>
                <w:rFonts w:hint="eastAsia" w:ascii="宋体" w:hAnsi="宋体" w:cs="宋体"/>
                <w:szCs w:val="21"/>
              </w:rPr>
              <w:t>为了提高采样设备的适用性、准确性以及实用性，投标人的采样设备需具备但不限于以下性能：</w:t>
            </w:r>
          </w:p>
          <w:p>
            <w:pPr>
              <w:autoSpaceDE w:val="0"/>
              <w:autoSpaceDN w:val="0"/>
              <w:adjustRightInd w:val="0"/>
              <w:spacing w:line="360" w:lineRule="exact"/>
              <w:rPr>
                <w:rFonts w:ascii="宋体" w:hAnsi="宋体" w:cs="宋体"/>
                <w:szCs w:val="21"/>
              </w:rPr>
            </w:pPr>
            <w:r>
              <w:rPr>
                <w:rFonts w:hint="eastAsia" w:ascii="宋体" w:hAnsi="宋体" w:cs="宋体"/>
                <w:szCs w:val="21"/>
              </w:rPr>
              <w:t>1.长宽高均不超过50cm；</w:t>
            </w:r>
          </w:p>
          <w:p>
            <w:pPr>
              <w:autoSpaceDE w:val="0"/>
              <w:autoSpaceDN w:val="0"/>
              <w:adjustRightInd w:val="0"/>
              <w:spacing w:line="360" w:lineRule="exact"/>
              <w:rPr>
                <w:rFonts w:ascii="宋体" w:hAnsi="宋体" w:cs="宋体"/>
                <w:szCs w:val="21"/>
              </w:rPr>
            </w:pPr>
            <w:r>
              <w:rPr>
                <w:rFonts w:hint="eastAsia" w:ascii="宋体" w:hAnsi="宋体" w:cs="宋体"/>
                <w:szCs w:val="21"/>
              </w:rPr>
              <w:t>2.采样时间间隔：至少在5~120分钟的范围内可自定义；</w:t>
            </w:r>
          </w:p>
          <w:p>
            <w:pPr>
              <w:autoSpaceDE w:val="0"/>
              <w:autoSpaceDN w:val="0"/>
              <w:adjustRightInd w:val="0"/>
              <w:spacing w:line="360" w:lineRule="exact"/>
              <w:rPr>
                <w:rFonts w:ascii="宋体" w:hAnsi="宋体" w:cs="宋体"/>
                <w:szCs w:val="21"/>
              </w:rPr>
            </w:pPr>
            <w:r>
              <w:rPr>
                <w:rFonts w:hint="eastAsia" w:ascii="宋体" w:hAnsi="宋体" w:cs="宋体"/>
                <w:szCs w:val="21"/>
              </w:rPr>
              <w:t>3.不外接电源，可连续采集时长不低于30天；</w:t>
            </w:r>
          </w:p>
          <w:p>
            <w:pPr>
              <w:autoSpaceDE w:val="0"/>
              <w:autoSpaceDN w:val="0"/>
              <w:adjustRightInd w:val="0"/>
              <w:spacing w:line="360" w:lineRule="exact"/>
              <w:rPr>
                <w:rFonts w:ascii="宋体" w:hAnsi="宋体" w:cs="宋体"/>
                <w:szCs w:val="21"/>
              </w:rPr>
            </w:pPr>
            <w:r>
              <w:rPr>
                <w:rFonts w:hint="eastAsia" w:ascii="宋体" w:hAnsi="宋体" w:cs="宋体"/>
                <w:szCs w:val="21"/>
              </w:rPr>
              <w:t>4.采样器隐秘性强，便于放置，采样器防水性能好，降雨可正常工作。</w:t>
            </w:r>
          </w:p>
          <w:p>
            <w:pPr>
              <w:autoSpaceDE w:val="0"/>
              <w:autoSpaceDN w:val="0"/>
              <w:adjustRightInd w:val="0"/>
              <w:spacing w:line="360" w:lineRule="exact"/>
              <w:rPr>
                <w:rFonts w:ascii="宋体" w:hAnsi="宋体" w:cs="宋体"/>
                <w:szCs w:val="21"/>
              </w:rPr>
            </w:pPr>
            <w:r>
              <w:rPr>
                <w:rFonts w:hint="eastAsia" w:ascii="宋体" w:hAnsi="宋体"/>
                <w:kern w:val="0"/>
                <w:szCs w:val="21"/>
              </w:rPr>
              <w:t>（二）评分依据：</w:t>
            </w:r>
            <w:r>
              <w:rPr>
                <w:rFonts w:hint="eastAsia" w:ascii="宋体" w:hAnsi="宋体" w:cs="宋体"/>
                <w:szCs w:val="21"/>
              </w:rPr>
              <w:br w:type="textWrapping"/>
            </w:r>
            <w:r>
              <w:rPr>
                <w:rFonts w:hint="eastAsia" w:ascii="宋体" w:hAnsi="宋体" w:cs="宋体"/>
                <w:szCs w:val="21"/>
              </w:rPr>
              <w:t>需提供实物图片及尺寸，并承诺保证管网内采样过程中不设置路障阻碍交通并提供《承诺函》（格式自拟）加盖投标人公章，否则本项不得分。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4"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6</w:t>
            </w:r>
          </w:p>
        </w:tc>
        <w:tc>
          <w:tcPr>
            <w:tcW w:w="1143" w:type="dxa"/>
            <w:vAlign w:val="center"/>
          </w:tcPr>
          <w:p>
            <w:pPr>
              <w:widowControl/>
              <w:spacing w:line="360" w:lineRule="exact"/>
              <w:jc w:val="center"/>
              <w:rPr>
                <w:rFonts w:ascii="宋体" w:hAnsi="宋体" w:cs="宋体"/>
                <w:szCs w:val="21"/>
              </w:rPr>
            </w:pPr>
            <w:r>
              <w:rPr>
                <w:rFonts w:hint="eastAsia" w:ascii="宋体" w:hAnsi="宋体"/>
                <w:color w:val="000000"/>
              </w:rPr>
              <w:t>污水毒情溯源成功案例</w:t>
            </w:r>
          </w:p>
        </w:tc>
        <w:tc>
          <w:tcPr>
            <w:tcW w:w="709" w:type="dxa"/>
            <w:vAlign w:val="center"/>
          </w:tcPr>
          <w:p>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5953" w:type="dxa"/>
            <w:vAlign w:val="center"/>
          </w:tcPr>
          <w:p>
            <w:pPr>
              <w:pStyle w:val="94"/>
              <w:spacing w:line="360" w:lineRule="exact"/>
              <w:ind w:firstLine="0" w:firstLineChars="0"/>
              <w:rPr>
                <w:rFonts w:ascii="宋体" w:hAnsi="宋体"/>
                <w:szCs w:val="21"/>
                <w:highlight w:val="none"/>
              </w:rPr>
            </w:pPr>
            <w:r>
              <w:rPr>
                <w:rFonts w:hint="eastAsia" w:ascii="宋体" w:hAnsi="宋体"/>
                <w:szCs w:val="21"/>
                <w:highlight w:val="none"/>
              </w:rPr>
              <w:t>（一）</w:t>
            </w:r>
            <w:r>
              <w:rPr>
                <w:rFonts w:hint="eastAsia" w:ascii="宋体" w:hAnsi="宋体" w:cs="宋体"/>
                <w:szCs w:val="21"/>
                <w:highlight w:val="none"/>
              </w:rPr>
              <w:t>评审内容：</w:t>
            </w:r>
            <w:r>
              <w:rPr>
                <w:rFonts w:hint="eastAsia" w:ascii="宋体" w:hAnsi="宋体" w:cs="宋体"/>
                <w:szCs w:val="21"/>
                <w:highlight w:val="none"/>
              </w:rPr>
              <w:br w:type="textWrapping"/>
            </w:r>
            <w:r>
              <w:rPr>
                <w:rFonts w:hint="eastAsia" w:ascii="宋体" w:hAnsi="宋体"/>
                <w:szCs w:val="21"/>
                <w:highlight w:val="none"/>
              </w:rPr>
              <w:t>根据投标人</w:t>
            </w:r>
            <w:r>
              <w:rPr>
                <w:rFonts w:hint="eastAsia"/>
                <w:highlight w:val="none"/>
              </w:rPr>
              <w:t>2019年1月1日至本项目投标截止日</w:t>
            </w:r>
            <w:r>
              <w:rPr>
                <w:rFonts w:hint="eastAsia" w:ascii="宋体" w:hAnsi="宋体"/>
                <w:szCs w:val="21"/>
                <w:highlight w:val="none"/>
              </w:rPr>
              <w:t>承担过污水毒情溯源成功案例进行评定，每提供1个成功案例得1分，最高得6分。</w:t>
            </w:r>
            <w:r>
              <w:rPr>
                <w:rFonts w:hint="eastAsia" w:ascii="宋体" w:hAnsi="宋体"/>
                <w:szCs w:val="21"/>
                <w:highlight w:val="none"/>
              </w:rPr>
              <w:br w:type="textWrapping"/>
            </w:r>
            <w:r>
              <w:rPr>
                <w:rFonts w:hint="eastAsia" w:ascii="宋体" w:hAnsi="宋体" w:cs="宋体"/>
                <w:szCs w:val="21"/>
                <w:highlight w:val="none"/>
              </w:rPr>
              <w:t>（二）评分依据：</w:t>
            </w:r>
            <w:r>
              <w:rPr>
                <w:rFonts w:hint="eastAsia" w:ascii="宋体" w:hAnsi="宋体" w:cs="宋体"/>
                <w:szCs w:val="21"/>
                <w:highlight w:val="none"/>
              </w:rPr>
              <w:br w:type="textWrapping"/>
            </w:r>
            <w:r>
              <w:rPr>
                <w:rFonts w:hint="eastAsia" w:ascii="宋体" w:hAnsi="宋体"/>
                <w:szCs w:val="21"/>
                <w:highlight w:val="none"/>
              </w:rPr>
              <w:t>需提供用户盖章的证明文件</w:t>
            </w:r>
            <w:r>
              <w:rPr>
                <w:rFonts w:hint="eastAsia"/>
                <w:highlight w:val="none"/>
              </w:rPr>
              <w:t>或合同</w:t>
            </w:r>
            <w:r>
              <w:rPr>
                <w:rFonts w:hint="eastAsia" w:ascii="宋体" w:hAnsi="宋体"/>
                <w:szCs w:val="21"/>
                <w:highlight w:val="none"/>
              </w:rPr>
              <w:t>复印件或扫描件加盖投标人公章，原件备查。</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54" w:type="dxa"/>
            <w:vAlign w:val="center"/>
          </w:tcPr>
          <w:p>
            <w:pPr>
              <w:widowControl/>
              <w:snapToGrid w:val="0"/>
              <w:spacing w:line="360" w:lineRule="exact"/>
              <w:jc w:val="center"/>
              <w:rPr>
                <w:rFonts w:ascii="宋体" w:hAnsi="宋体"/>
                <w:kern w:val="0"/>
                <w:szCs w:val="21"/>
              </w:rPr>
            </w:pPr>
            <w:r>
              <w:rPr>
                <w:rFonts w:hint="eastAsia" w:ascii="宋体" w:hAnsi="宋体"/>
                <w:kern w:val="0"/>
                <w:szCs w:val="21"/>
              </w:rPr>
              <w:t>7</w:t>
            </w:r>
          </w:p>
        </w:tc>
        <w:tc>
          <w:tcPr>
            <w:tcW w:w="1143" w:type="dxa"/>
            <w:vAlign w:val="center"/>
          </w:tcPr>
          <w:p>
            <w:pPr>
              <w:widowControl/>
              <w:spacing w:line="360" w:lineRule="exact"/>
              <w:jc w:val="center"/>
              <w:rPr>
                <w:rFonts w:ascii="宋体" w:hAnsi="宋体" w:cs="宋体"/>
                <w:szCs w:val="21"/>
              </w:rPr>
            </w:pPr>
            <w:r>
              <w:rPr>
                <w:rFonts w:hint="eastAsia" w:ascii="宋体" w:hAnsi="宋体"/>
                <w:color w:val="000000"/>
              </w:rPr>
              <w:t>技术偏离情况</w:t>
            </w:r>
          </w:p>
        </w:tc>
        <w:tc>
          <w:tcPr>
            <w:tcW w:w="709" w:type="dxa"/>
            <w:vAlign w:val="center"/>
          </w:tcPr>
          <w:p>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5953" w:type="dxa"/>
            <w:vAlign w:val="center"/>
          </w:tcPr>
          <w:p>
            <w:pPr>
              <w:autoSpaceDE w:val="0"/>
              <w:autoSpaceDN w:val="0"/>
              <w:adjustRightInd w:val="0"/>
              <w:spacing w:line="360" w:lineRule="exact"/>
              <w:rPr>
                <w:rFonts w:ascii="宋体" w:hAnsi="宋体" w:cs="宋体"/>
                <w:szCs w:val="21"/>
                <w:highlight w:val="none"/>
              </w:rPr>
            </w:pPr>
            <w:r>
              <w:rPr>
                <w:rFonts w:hint="eastAsia" w:ascii="宋体" w:hAnsi="宋体" w:cs="宋体"/>
                <w:szCs w:val="21"/>
                <w:highlight w:val="none"/>
              </w:rPr>
              <w:t>（一）评审内容：</w:t>
            </w:r>
          </w:p>
          <w:p>
            <w:pPr>
              <w:autoSpaceDE w:val="0"/>
              <w:autoSpaceDN w:val="0"/>
              <w:adjustRightInd w:val="0"/>
              <w:spacing w:line="360" w:lineRule="exact"/>
              <w:rPr>
                <w:rFonts w:ascii="宋体" w:hAnsi="宋体"/>
                <w:szCs w:val="21"/>
                <w:highlight w:val="none"/>
              </w:rPr>
            </w:pPr>
            <w:r>
              <w:rPr>
                <w:rFonts w:hint="eastAsia" w:ascii="宋体" w:hAnsi="宋体" w:cs="宋体"/>
                <w:szCs w:val="21"/>
                <w:highlight w:val="none"/>
              </w:rPr>
              <w:t>投标人应如实填写《技术</w:t>
            </w:r>
            <w:r>
              <w:rPr>
                <w:rFonts w:hint="eastAsia"/>
                <w:highlight w:val="none"/>
              </w:rPr>
              <w:t>要求</w:t>
            </w:r>
            <w:r>
              <w:rPr>
                <w:rFonts w:hint="eastAsia" w:ascii="宋体" w:hAnsi="宋体" w:cs="宋体"/>
                <w:szCs w:val="21"/>
                <w:highlight w:val="none"/>
              </w:rPr>
              <w:t>偏离表》，评审委员会根据“项目服务要求”中的条款响应情况进行打分，每负偏离一项扣0.5分，扣完为止。</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hint="eastAsia" w:ascii="宋体" w:hAnsi="宋体"/>
                <w:color w:val="000000"/>
              </w:rPr>
              <w:t>项目人员配置</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5</w:t>
            </w:r>
          </w:p>
        </w:tc>
        <w:tc>
          <w:tcPr>
            <w:tcW w:w="5953" w:type="dxa"/>
            <w:vAlign w:val="center"/>
          </w:tcPr>
          <w:p>
            <w:pPr>
              <w:autoSpaceDE w:val="0"/>
              <w:autoSpaceDN w:val="0"/>
              <w:adjustRightInd w:val="0"/>
              <w:spacing w:line="360" w:lineRule="exact"/>
              <w:jc w:val="left"/>
              <w:rPr>
                <w:rFonts w:ascii="宋体" w:hAnsi="宋体"/>
                <w:kern w:val="0"/>
                <w:szCs w:val="21"/>
              </w:rPr>
            </w:pPr>
            <w:r>
              <w:rPr>
                <w:rFonts w:hint="eastAsia" w:ascii="宋体" w:hAnsi="宋体" w:cs="宋体"/>
                <w:szCs w:val="21"/>
              </w:rPr>
              <w:t>（一）评审内容：</w:t>
            </w:r>
            <w:r>
              <w:rPr>
                <w:rFonts w:hint="eastAsia" w:ascii="宋体" w:hAnsi="宋体" w:cs="宋体"/>
                <w:szCs w:val="21"/>
              </w:rPr>
              <w:br w:type="textWrapping"/>
            </w:r>
            <w:r>
              <w:rPr>
                <w:rFonts w:hint="eastAsia" w:ascii="宋体" w:hAnsi="宋体" w:cs="宋体"/>
                <w:szCs w:val="21"/>
              </w:rPr>
              <w:t>1.</w:t>
            </w:r>
            <w:r>
              <w:rPr>
                <w:rFonts w:hint="eastAsia" w:ascii="宋体" w:hAnsi="宋体"/>
                <w:kern w:val="0"/>
                <w:szCs w:val="21"/>
              </w:rPr>
              <w:t>项目团队中配备3名或以上具有污水验毒项目经验的人员得3分，否则不得分（污水验毒项目经验是指配置的人员曾参与的城市污水检测评估毒情的项目）</w:t>
            </w:r>
            <w:r>
              <w:rPr>
                <w:rFonts w:hint="eastAsia" w:ascii="宋体" w:hAnsi="宋体"/>
                <w:kern w:val="0"/>
                <w:szCs w:val="21"/>
              </w:rPr>
              <w:br w:type="textWrapping"/>
            </w:r>
            <w:r>
              <w:rPr>
                <w:rFonts w:hint="eastAsia" w:ascii="宋体" w:hAnsi="宋体"/>
                <w:kern w:val="0"/>
                <w:szCs w:val="21"/>
              </w:rPr>
              <w:t>证明材料：需提供上述人员参与项目的项目名称、项目合同及</w:t>
            </w:r>
            <w:r>
              <w:rPr>
                <w:rFonts w:hint="eastAsia" w:ascii="宋体" w:hAnsi="宋体"/>
                <w:szCs w:val="21"/>
              </w:rPr>
              <w:t>近三个月内任意一个月的个人社保证明，如供应商为新成立单位且成立时间不足一个月的，可提供加盖公章的情况说明。如为退休返聘人员则提供劳动合同或返聘协议</w:t>
            </w:r>
            <w:r>
              <w:rPr>
                <w:rFonts w:hint="eastAsia" w:ascii="宋体" w:hAnsi="宋体"/>
                <w:kern w:val="0"/>
                <w:szCs w:val="21"/>
              </w:rPr>
              <w:t>的社保缴纳证明复印件或扫描件加盖投标人公章</w:t>
            </w:r>
            <w:r>
              <w:rPr>
                <w:rFonts w:hint="eastAsia" w:ascii="宋体" w:hAnsi="宋体"/>
                <w:szCs w:val="21"/>
              </w:rPr>
              <w:t>，原件备查</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2.项目团队中每配备1名专业为环境或化学专业的技术人员得1分,最高得2分，没有或者未提供得0分。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证明材料：需提供上述人员的</w:t>
            </w:r>
            <w:r>
              <w:rPr>
                <w:rFonts w:hint="eastAsia"/>
              </w:rPr>
              <w:t>学历证书</w:t>
            </w:r>
            <w:r>
              <w:rPr>
                <w:rFonts w:hint="eastAsia" w:ascii="宋体" w:hAnsi="宋体"/>
                <w:kern w:val="0"/>
                <w:szCs w:val="21"/>
              </w:rPr>
              <w:t>复印件或扫描件加盖投标人公章</w:t>
            </w:r>
            <w:r>
              <w:rPr>
                <w:rFonts w:hint="eastAsia" w:ascii="宋体" w:hAnsi="宋体"/>
                <w:szCs w:val="21"/>
              </w:rPr>
              <w:t>，原件备查</w:t>
            </w:r>
            <w:r>
              <w:rPr>
                <w:rFonts w:hint="eastAsia" w:ascii="宋体" w:hAnsi="宋体"/>
                <w:kern w:val="0"/>
                <w:szCs w:val="21"/>
              </w:rPr>
              <w:t>。</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6"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olor w:val="000000"/>
              </w:rPr>
              <w:t>资质认证</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b/>
                <w:bCs/>
                <w:kern w:val="0"/>
                <w:szCs w:val="21"/>
              </w:rPr>
            </w:pPr>
            <w:r>
              <w:rPr>
                <w:rFonts w:hint="eastAsia" w:ascii="宋体" w:hAnsi="宋体"/>
                <w:kern w:val="0"/>
                <w:szCs w:val="21"/>
              </w:rPr>
              <w:t>1.投标人具有</w:t>
            </w:r>
            <w:r>
              <w:rPr>
                <w:rFonts w:hint="eastAsia" w:ascii="宋体" w:hAnsi="宋体"/>
                <w:bCs/>
                <w:szCs w:val="21"/>
              </w:rPr>
              <w:t>ISO9001</w:t>
            </w:r>
            <w:r>
              <w:rPr>
                <w:rFonts w:hint="eastAsia" w:ascii="宋体" w:hAnsi="宋体"/>
                <w:kern w:val="0"/>
                <w:szCs w:val="21"/>
              </w:rPr>
              <w:t>质量管理体系认证证书，得2分；</w:t>
            </w:r>
            <w:r>
              <w:rPr>
                <w:rFonts w:hint="eastAsia" w:ascii="宋体" w:hAnsi="宋体"/>
                <w:kern w:val="0"/>
                <w:szCs w:val="21"/>
              </w:rPr>
              <w:br w:type="textWrapping"/>
            </w:r>
            <w:r>
              <w:rPr>
                <w:rFonts w:hint="eastAsia" w:ascii="宋体" w:hAnsi="宋体"/>
                <w:kern w:val="0"/>
                <w:szCs w:val="21"/>
              </w:rPr>
              <w:t>2.投标人具有</w:t>
            </w:r>
            <w:r>
              <w:rPr>
                <w:rFonts w:ascii="宋体" w:hAnsi="宋体"/>
                <w:kern w:val="0"/>
                <w:szCs w:val="21"/>
              </w:rPr>
              <w:t>ISO14001</w:t>
            </w:r>
            <w:r>
              <w:rPr>
                <w:rFonts w:hint="eastAsia" w:ascii="宋体" w:hAnsi="宋体"/>
                <w:kern w:val="0"/>
                <w:szCs w:val="21"/>
              </w:rPr>
              <w:t>环境管理体系认证证书，得1分；</w:t>
            </w:r>
            <w:r>
              <w:rPr>
                <w:rFonts w:hint="eastAsia" w:ascii="宋体" w:hAnsi="宋体"/>
                <w:kern w:val="0"/>
                <w:szCs w:val="21"/>
              </w:rPr>
              <w:br w:type="textWrapping"/>
            </w:r>
            <w:r>
              <w:rPr>
                <w:rFonts w:hint="eastAsia" w:ascii="宋体" w:hAnsi="宋体"/>
                <w:kern w:val="0"/>
                <w:szCs w:val="21"/>
              </w:rPr>
              <w:t>3.投标人具有ISO45001职业健康安全管理体系认证证书，得1分；</w:t>
            </w:r>
            <w:r>
              <w:rPr>
                <w:rFonts w:hint="eastAsia" w:ascii="宋体" w:hAnsi="宋体"/>
                <w:kern w:val="0"/>
                <w:szCs w:val="21"/>
              </w:rPr>
              <w:br w:type="textWrapping"/>
            </w:r>
            <w:r>
              <w:rPr>
                <w:rFonts w:hint="eastAsia" w:ascii="宋体" w:hAnsi="宋体"/>
                <w:kern w:val="0"/>
                <w:szCs w:val="21"/>
              </w:rPr>
              <w:t>4.投标人具有CMA资质证书，得1分。</w:t>
            </w:r>
            <w:r>
              <w:rPr>
                <w:rFonts w:hint="eastAsia" w:ascii="宋体" w:hAnsi="宋体"/>
                <w:kern w:val="0"/>
                <w:szCs w:val="21"/>
              </w:rPr>
              <w:br w:type="textWrapping"/>
            </w:r>
            <w:r>
              <w:rPr>
                <w:rFonts w:hint="eastAsia" w:ascii="宋体" w:hAnsi="宋体" w:cs="宋体"/>
                <w:szCs w:val="21"/>
              </w:rPr>
              <w:t>（二）</w:t>
            </w:r>
            <w:r>
              <w:rPr>
                <w:rFonts w:hint="eastAsia" w:ascii="宋体" w:hAnsi="宋体"/>
                <w:kern w:val="0"/>
                <w:szCs w:val="21"/>
              </w:rPr>
              <w:t>评分依据：</w:t>
            </w:r>
            <w:r>
              <w:rPr>
                <w:rFonts w:hint="eastAsia" w:ascii="宋体" w:hAnsi="宋体"/>
                <w:kern w:val="0"/>
                <w:szCs w:val="21"/>
              </w:rPr>
              <w:br w:type="textWrapping"/>
            </w:r>
            <w:r>
              <w:rPr>
                <w:rFonts w:hint="eastAsia" w:ascii="宋体" w:hAnsi="宋体"/>
                <w:kern w:val="0"/>
                <w:szCs w:val="21"/>
              </w:rPr>
              <w:t>1.提供有效的证书复印件或扫描件加盖投标人公章，原件备查；注：证书注明年审要求的，必须按规定年审且证书在有效期内的方为有效；如未注明年审要求的，证书必须在有效期内的方为有效。</w:t>
            </w:r>
            <w:r>
              <w:rPr>
                <w:rFonts w:hint="eastAsia" w:ascii="宋体" w:hAnsi="宋体"/>
                <w:kern w:val="0"/>
                <w:szCs w:val="21"/>
              </w:rPr>
              <w:br w:type="textWrapping"/>
            </w:r>
            <w:r>
              <w:rPr>
                <w:rFonts w:hint="eastAsia" w:ascii="宋体" w:hAnsi="宋体"/>
                <w:kern w:val="0"/>
                <w:szCs w:val="21"/>
              </w:rPr>
              <w:t>2.评分中出现无证明资料或专家无法凭所提供资料判断是否得分的情况，一律作不得分处理。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16"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3</w:t>
            </w:r>
          </w:p>
        </w:tc>
        <w:tc>
          <w:tcPr>
            <w:tcW w:w="1143" w:type="dxa"/>
            <w:vAlign w:val="center"/>
          </w:tcPr>
          <w:p>
            <w:pPr>
              <w:spacing w:line="360" w:lineRule="exact"/>
              <w:jc w:val="center"/>
              <w:rPr>
                <w:rFonts w:ascii="宋体" w:hAnsi="宋体" w:cs="仿宋"/>
                <w:szCs w:val="21"/>
              </w:rPr>
            </w:pPr>
            <w:r>
              <w:rPr>
                <w:rFonts w:hint="eastAsia" w:ascii="宋体" w:hAnsi="宋体"/>
                <w:color w:val="000000"/>
                <w:szCs w:val="21"/>
              </w:rPr>
              <w:t>专业能力</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pPr>
              <w:tabs>
                <w:tab w:val="left" w:pos="175"/>
              </w:tabs>
              <w:spacing w:line="360" w:lineRule="exact"/>
              <w:ind w:left="33"/>
              <w:jc w:val="left"/>
              <w:rPr>
                <w:rFonts w:ascii="宋体" w:hAnsi="宋体"/>
                <w:szCs w:val="21"/>
              </w:rPr>
            </w:pPr>
            <w:r>
              <w:rPr>
                <w:rFonts w:hint="eastAsia" w:ascii="宋体" w:hAnsi="宋体"/>
                <w:szCs w:val="21"/>
              </w:rPr>
              <w:t>（一）评审内容：</w:t>
            </w:r>
            <w:r>
              <w:rPr>
                <w:rFonts w:hint="eastAsia" w:ascii="宋体" w:hAnsi="宋体"/>
                <w:szCs w:val="21"/>
              </w:rPr>
              <w:br w:type="textWrapping"/>
            </w:r>
            <w:r>
              <w:rPr>
                <w:rFonts w:hint="eastAsia" w:ascii="宋体" w:hAnsi="宋体"/>
                <w:szCs w:val="21"/>
              </w:rPr>
              <w:t>投标人参与过国家毒品实验室毒品分析技能评比类活动并且通过的，本项得满分，否则不得分。</w:t>
            </w:r>
            <w:r>
              <w:rPr>
                <w:rFonts w:hint="eastAsia" w:ascii="宋体" w:hAnsi="宋体"/>
                <w:szCs w:val="21"/>
              </w:rPr>
              <w:br w:type="textWrapping"/>
            </w:r>
            <w:r>
              <w:rPr>
                <w:rFonts w:hint="eastAsia" w:ascii="宋体" w:hAnsi="宋体" w:cs="宋体"/>
                <w:szCs w:val="21"/>
              </w:rPr>
              <w:t>（二）</w:t>
            </w:r>
            <w:r>
              <w:rPr>
                <w:rFonts w:hint="eastAsia" w:ascii="宋体" w:hAnsi="宋体"/>
                <w:szCs w:val="21"/>
              </w:rPr>
              <w:t>评分依据：</w:t>
            </w:r>
            <w:r>
              <w:rPr>
                <w:rFonts w:hint="eastAsia" w:ascii="宋体" w:hAnsi="宋体"/>
                <w:szCs w:val="21"/>
              </w:rPr>
              <w:br w:type="textWrapping"/>
            </w:r>
            <w:r>
              <w:rPr>
                <w:rFonts w:hint="eastAsia" w:ascii="宋体" w:hAnsi="宋体"/>
                <w:szCs w:val="21"/>
              </w:rPr>
              <w:t>提供证书或官方通知文件复印件或扫描件加盖投标人公章，原件备查。未按要求提供证明材料的的不得分。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0"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4</w:t>
            </w:r>
          </w:p>
        </w:tc>
        <w:tc>
          <w:tcPr>
            <w:tcW w:w="1143" w:type="dxa"/>
            <w:vAlign w:val="center"/>
          </w:tcPr>
          <w:p>
            <w:pPr>
              <w:spacing w:line="360" w:lineRule="exact"/>
              <w:jc w:val="center"/>
              <w:rPr>
                <w:rFonts w:ascii="宋体" w:hAnsi="宋体" w:cs="仿宋"/>
                <w:szCs w:val="21"/>
              </w:rPr>
            </w:pPr>
            <w:r>
              <w:rPr>
                <w:rFonts w:hint="eastAsia" w:ascii="宋体" w:hAnsi="宋体"/>
                <w:color w:val="000000"/>
              </w:rPr>
              <w:t>业绩情况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10</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tabs>
                <w:tab w:val="left" w:pos="175"/>
              </w:tabs>
              <w:spacing w:line="360" w:lineRule="exact"/>
              <w:ind w:left="33"/>
              <w:jc w:val="left"/>
              <w:rPr>
                <w:rFonts w:ascii="宋体" w:hAnsi="宋体"/>
                <w:szCs w:val="21"/>
              </w:rPr>
            </w:pPr>
            <w:r>
              <w:rPr>
                <w:rFonts w:hint="eastAsia" w:ascii="宋体" w:hAnsi="宋体"/>
                <w:szCs w:val="21"/>
              </w:rPr>
              <w:t>根据投标人</w:t>
            </w:r>
            <w:r>
              <w:rPr>
                <w:rFonts w:hint="eastAsia"/>
              </w:rPr>
              <w:t>2019年1月1日至本项目投标截止日</w:t>
            </w:r>
            <w:r>
              <w:rPr>
                <w:rFonts w:hint="eastAsia" w:ascii="宋体" w:hAnsi="宋体" w:cs="宋体"/>
                <w:szCs w:val="21"/>
              </w:rPr>
              <w:t>（以合同签订日期和中标通知书落款为准）</w:t>
            </w:r>
            <w:r>
              <w:rPr>
                <w:rFonts w:hint="eastAsia" w:ascii="宋体" w:hAnsi="宋体"/>
                <w:szCs w:val="21"/>
              </w:rPr>
              <w:t>承担过检测的项目（通过城市生活污水检测评估毒品滥用情况）案例进行评定，每提供1个案例得2分，最高得10分。未提供业绩证明材料的不得分。</w:t>
            </w:r>
            <w:r>
              <w:rPr>
                <w:rFonts w:hint="eastAsia" w:ascii="宋体" w:hAnsi="宋体"/>
                <w:szCs w:val="21"/>
              </w:rPr>
              <w:br w:type="textWrapping"/>
            </w:r>
            <w:r>
              <w:rPr>
                <w:rFonts w:hint="eastAsia" w:ascii="宋体" w:hAnsi="宋体" w:cs="宋体"/>
                <w:szCs w:val="21"/>
              </w:rPr>
              <w:t>（二）</w:t>
            </w:r>
            <w:r>
              <w:rPr>
                <w:rFonts w:hint="eastAsia" w:ascii="宋体" w:hAnsi="宋体"/>
                <w:szCs w:val="21"/>
              </w:rPr>
              <w:t>评分依据：</w:t>
            </w:r>
            <w:r>
              <w:rPr>
                <w:rFonts w:hint="eastAsia" w:ascii="宋体" w:hAnsi="宋体"/>
                <w:szCs w:val="21"/>
              </w:rPr>
              <w:br w:type="textWrapping"/>
            </w:r>
            <w:r>
              <w:rPr>
                <w:rFonts w:hint="eastAsia" w:ascii="宋体" w:hAnsi="宋体"/>
                <w:szCs w:val="21"/>
              </w:rPr>
              <w:t>需提供项目合同及中标通知书复印件或扫描件加盖投标人公章，原件备查。未按要求提供有效证明材料或提供不清晰导致评委无法识别的不计得分。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5</w:t>
            </w:r>
          </w:p>
        </w:tc>
        <w:tc>
          <w:tcPr>
            <w:tcW w:w="1143" w:type="dxa"/>
            <w:vAlign w:val="center"/>
          </w:tcPr>
          <w:p>
            <w:pPr>
              <w:spacing w:line="360" w:lineRule="exact"/>
              <w:jc w:val="center"/>
              <w:rPr>
                <w:rFonts w:ascii="宋体" w:hAnsi="宋体" w:cs="仿宋"/>
                <w:szCs w:val="21"/>
              </w:rPr>
            </w:pPr>
            <w:r>
              <w:rPr>
                <w:rFonts w:hint="eastAsia" w:ascii="宋体" w:hAnsi="宋体"/>
                <w:color w:val="000000"/>
                <w:szCs w:val="21"/>
              </w:rPr>
              <w:t>商务偏离情况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tabs>
                <w:tab w:val="left" w:pos="175"/>
              </w:tabs>
              <w:spacing w:line="360" w:lineRule="exact"/>
              <w:ind w:left="33"/>
              <w:jc w:val="left"/>
              <w:rPr>
                <w:rFonts w:ascii="宋体" w:hAnsi="宋体"/>
                <w:szCs w:val="21"/>
              </w:rPr>
            </w:pPr>
            <w:r>
              <w:rPr>
                <w:rFonts w:hint="eastAsia" w:ascii="宋体" w:hAnsi="宋体" w:cs="微软雅黑"/>
                <w:kern w:val="0"/>
                <w:szCs w:val="21"/>
              </w:rPr>
              <w:t>投标人应如实填写《商务条款偏离</w:t>
            </w:r>
            <w:r>
              <w:rPr>
                <w:rFonts w:hint="eastAsia" w:ascii="宋体" w:hAnsi="宋体" w:cs="仿宋"/>
                <w:szCs w:val="21"/>
              </w:rPr>
              <w:t>表</w:t>
            </w:r>
            <w:r>
              <w:rPr>
                <w:rFonts w:hint="eastAsia" w:ascii="宋体" w:hAnsi="宋体" w:cs="微软雅黑"/>
                <w:kern w:val="0"/>
                <w:szCs w:val="21"/>
              </w:rPr>
              <w:t>》。评审委员会根据</w:t>
            </w:r>
            <w:r>
              <w:rPr>
                <w:rFonts w:hint="eastAsia" w:ascii="宋体" w:hAnsi="宋体" w:cs="仿宋"/>
                <w:szCs w:val="21"/>
              </w:rPr>
              <w:t>商务条款</w:t>
            </w:r>
            <w:r>
              <w:rPr>
                <w:rFonts w:hint="eastAsia" w:ascii="宋体" w:hAnsi="宋体" w:cs="微软雅黑"/>
                <w:kern w:val="0"/>
                <w:szCs w:val="21"/>
              </w:rPr>
              <w:t>响应情况进行打分。</w:t>
            </w:r>
            <w:r>
              <w:rPr>
                <w:rFonts w:hint="eastAsia" w:ascii="宋体" w:hAnsi="宋体" w:cs="仿宋"/>
                <w:szCs w:val="21"/>
              </w:rPr>
              <w:t>全部满足要求的得2分，</w:t>
            </w:r>
            <w:r>
              <w:rPr>
                <w:rFonts w:hint="eastAsia" w:ascii="宋体" w:hAnsi="宋体" w:cs="微软雅黑"/>
                <w:kern w:val="0"/>
                <w:szCs w:val="21"/>
              </w:rPr>
              <w:t>每负偏离一项扣</w:t>
            </w:r>
            <w:r>
              <w:rPr>
                <w:rFonts w:hint="eastAsia" w:ascii="宋体" w:hAnsi="宋体" w:cs="微软雅黑"/>
                <w:kern w:val="0"/>
                <w:szCs w:val="21"/>
                <w:highlight w:val="none"/>
              </w:rPr>
              <w:t>0.5分</w:t>
            </w:r>
            <w:r>
              <w:rPr>
                <w:rFonts w:hint="eastAsia" w:ascii="宋体" w:hAnsi="宋体" w:cs="微软雅黑"/>
                <w:kern w:val="0"/>
                <w:szCs w:val="21"/>
              </w:rPr>
              <w:t>，扣完为止。</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6</w:t>
            </w:r>
          </w:p>
        </w:tc>
        <w:tc>
          <w:tcPr>
            <w:tcW w:w="1143" w:type="dxa"/>
            <w:vAlign w:val="center"/>
          </w:tcPr>
          <w:p>
            <w:pPr>
              <w:spacing w:line="360" w:lineRule="exact"/>
              <w:jc w:val="center"/>
              <w:rPr>
                <w:rFonts w:ascii="宋体" w:hAnsi="宋体" w:cs="仿宋"/>
                <w:szCs w:val="21"/>
              </w:rPr>
            </w:pPr>
            <w:r>
              <w:rPr>
                <w:rFonts w:hint="eastAsia" w:ascii="宋体" w:hAnsi="宋体"/>
                <w:color w:val="000000"/>
                <w:szCs w:val="21"/>
              </w:rPr>
              <w:t>发明专利</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tabs>
                <w:tab w:val="left" w:pos="175"/>
              </w:tabs>
              <w:spacing w:line="360" w:lineRule="exact"/>
              <w:ind w:left="33"/>
              <w:jc w:val="left"/>
              <w:rPr>
                <w:rFonts w:ascii="宋体" w:hAnsi="宋体"/>
                <w:szCs w:val="21"/>
              </w:rPr>
            </w:pPr>
            <w:r>
              <w:rPr>
                <w:rFonts w:hint="eastAsia" w:ascii="宋体" w:hAnsi="宋体"/>
                <w:szCs w:val="21"/>
              </w:rPr>
              <w:t>投标人或其员工具有与项目相关的发明专利，投标人具有使用权的，每提供一个得1分，满分5分，没有不得分。</w:t>
            </w:r>
            <w:r>
              <w:rPr>
                <w:rFonts w:hint="eastAsia" w:ascii="宋体" w:hAnsi="宋体"/>
                <w:szCs w:val="21"/>
              </w:rPr>
              <w:br w:type="textWrapping"/>
            </w:r>
            <w:r>
              <w:rPr>
                <w:rFonts w:hint="eastAsia" w:ascii="宋体" w:hAnsi="宋体" w:cs="宋体"/>
                <w:szCs w:val="21"/>
              </w:rPr>
              <w:t>（二）</w:t>
            </w:r>
            <w:r>
              <w:rPr>
                <w:rFonts w:hint="eastAsia" w:ascii="宋体" w:hAnsi="宋体"/>
                <w:kern w:val="0"/>
                <w:szCs w:val="21"/>
              </w:rPr>
              <w:t>评分依据：</w:t>
            </w:r>
            <w:r>
              <w:rPr>
                <w:rFonts w:hint="eastAsia" w:ascii="宋体" w:hAnsi="宋体"/>
                <w:szCs w:val="21"/>
              </w:rPr>
              <w:br w:type="textWrapping"/>
            </w:r>
            <w:r>
              <w:rPr>
                <w:rFonts w:hint="eastAsia" w:ascii="宋体" w:hAnsi="宋体"/>
                <w:szCs w:val="21"/>
              </w:rPr>
              <w:t>1.提供其员工的劳动合同复印件或扫描件加盖投标人公章，原件备查。</w:t>
            </w:r>
            <w:r>
              <w:rPr>
                <w:rFonts w:hint="eastAsia" w:ascii="宋体" w:hAnsi="宋体"/>
                <w:szCs w:val="21"/>
              </w:rPr>
              <w:br w:type="textWrapping"/>
            </w:r>
            <w:r>
              <w:rPr>
                <w:rFonts w:hint="eastAsia" w:ascii="宋体" w:hAnsi="宋体"/>
                <w:szCs w:val="21"/>
              </w:rPr>
              <w:t>2.需提供相关专利证书复印件或扫描件加盖投标人公章，原件备查。</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7</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1" w:name="_Toc44691394"/>
      <w:bookmarkStart w:id="12" w:name="_Toc44691162"/>
      <w:bookmarkStart w:id="13" w:name="_Toc110420240"/>
      <w:bookmarkStart w:id="14" w:name="_Toc44690703"/>
      <w:bookmarkStart w:id="15" w:name="_Toc44690430"/>
      <w:r>
        <w:rPr>
          <w:rFonts w:hint="eastAsia" w:asciiTheme="minorEastAsia" w:hAnsiTheme="minorEastAsia"/>
          <w:bCs w:val="0"/>
          <w:sz w:val="21"/>
          <w:szCs w:val="21"/>
        </w:rPr>
        <w:t>备注：</w:t>
      </w:r>
      <w:bookmarkEnd w:id="11"/>
      <w:bookmarkEnd w:id="12"/>
      <w:bookmarkEnd w:id="13"/>
      <w:bookmarkEnd w:id="14"/>
      <w:bookmarkEnd w:id="15"/>
    </w:p>
    <w:p>
      <w:pPr>
        <w:pStyle w:val="3"/>
        <w:spacing w:before="0" w:after="0"/>
      </w:pPr>
      <w:bookmarkStart w:id="16" w:name="_Toc110420241"/>
      <w:r>
        <w:rPr>
          <w:rFonts w:hint="eastAsia"/>
        </w:rPr>
        <w:t>1、资质证书有效期</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7" w:name="_Toc110420242"/>
      <w:r>
        <w:rPr>
          <w:rFonts w:hint="eastAsia" w:asciiTheme="minorEastAsia" w:hAnsiTheme="minorEastAsia" w:eastAsiaTheme="minorEastAsia"/>
        </w:rPr>
        <w:t>2、政府采购扶持政策</w:t>
      </w:r>
      <w:bookmarkEnd w:id="17"/>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10%</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6" w:firstLineChars="202"/>
        <w:rPr>
          <w:rFonts w:asciiTheme="minorEastAsia" w:hAnsiTheme="minorEastAsia" w:eastAsiaTheme="minorEastAsia"/>
        </w:rPr>
      </w:pPr>
      <w:r>
        <w:rPr>
          <w:rFonts w:hint="eastAsia" w:asciiTheme="minorEastAsia" w:hAnsiTheme="minorEastAsia" w:eastAsiaTheme="minorEastAsia"/>
          <w:b/>
          <w:highlight w:val="yellow"/>
        </w:rPr>
        <w:t>本项目所属行业为</w:t>
      </w:r>
      <w:r>
        <w:rPr>
          <w:rFonts w:hint="eastAsia" w:asciiTheme="minorEastAsia" w:hAnsiTheme="minorEastAsia" w:eastAsiaTheme="minorEastAsia"/>
          <w:b/>
          <w:highlight w:val="yellow"/>
          <w:u w:val="single"/>
        </w:rPr>
        <w:t xml:space="preserve">  其他未列明行业  </w:t>
      </w:r>
      <w:r>
        <w:rPr>
          <w:rFonts w:hint="eastAsia" w:asciiTheme="minorEastAsia" w:hAnsiTheme="minorEastAsia" w:eastAsiaTheme="minorEastAsia"/>
          <w:b/>
          <w:highlight w:val="yellow"/>
        </w:rPr>
        <w:t>。</w:t>
      </w:r>
      <w:r>
        <w:rPr>
          <w:rFonts w:hint="eastAsia" w:asciiTheme="minorEastAsia" w:hAnsiTheme="minorEastAsia" w:eastAsiaTheme="minorEastAsia"/>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政府采购扶持政策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p>
    <w:p/>
    <w:p>
      <w:pPr>
        <w:widowControl/>
        <w:jc w:val="left"/>
      </w:pPr>
      <w:r>
        <w:br w:type="page"/>
      </w:r>
    </w:p>
    <w:p/>
    <w:p>
      <w:pPr>
        <w:pStyle w:val="2"/>
        <w:spacing w:before="0"/>
      </w:pPr>
      <w:bookmarkStart w:id="18" w:name="_Toc110420243"/>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深圳市宝安区通过污水监测毒情项目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cs="宋体"/>
                <w:szCs w:val="21"/>
                <w:shd w:val="clear" w:color="auto" w:fill="FFFFFF"/>
              </w:rPr>
              <w:t>深圳市公安局宝安分局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8</w:t>
            </w:r>
            <w:r>
              <w:rPr>
                <w:rFonts w:hint="eastAsia" w:hAnsi="宋体"/>
                <w:b/>
                <w:snapToGrid w:val="0"/>
                <w:szCs w:val="18"/>
              </w:rPr>
              <w:t>月</w:t>
            </w:r>
            <w:r>
              <w:rPr>
                <w:rFonts w:hint="eastAsia" w:hAnsi="宋体"/>
                <w:b/>
                <w:snapToGrid w:val="0"/>
                <w:szCs w:val="18"/>
                <w:lang w:val="en-US" w:eastAsia="zh-CN"/>
              </w:rPr>
              <w:t>30</w:t>
            </w:r>
            <w:r>
              <w:rPr>
                <w:rFonts w:hint="eastAsia" w:hAnsi="宋体"/>
                <w:b/>
                <w:snapToGrid w:val="0"/>
                <w:szCs w:val="18"/>
              </w:rPr>
              <w:t>日</w:t>
            </w:r>
            <w:r>
              <w:rPr>
                <w:rFonts w:hint="eastAsia" w:hAnsi="宋体"/>
                <w:b/>
                <w:snapToGrid w:val="0"/>
                <w:szCs w:val="18"/>
                <w:lang w:val="en-US" w:eastAsia="zh-CN"/>
              </w:rPr>
              <w:t>09</w:t>
            </w:r>
            <w:r>
              <w:rPr>
                <w:rFonts w:hint="eastAsia" w:hAnsi="宋体"/>
                <w:b/>
                <w:snapToGrid w:val="0"/>
                <w:szCs w:val="18"/>
              </w:rPr>
              <w:t>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8</w:t>
            </w:r>
            <w:r>
              <w:rPr>
                <w:rFonts w:hint="eastAsia" w:hAnsi="宋体"/>
                <w:b/>
                <w:snapToGrid w:val="0"/>
                <w:szCs w:val="18"/>
              </w:rPr>
              <w:t>月</w:t>
            </w:r>
            <w:r>
              <w:rPr>
                <w:rFonts w:hint="eastAsia" w:hAnsi="宋体"/>
                <w:b/>
                <w:snapToGrid w:val="0"/>
                <w:szCs w:val="18"/>
                <w:lang w:val="en-US" w:eastAsia="zh-CN"/>
              </w:rPr>
              <w:t>30</w:t>
            </w:r>
            <w:r>
              <w:rPr>
                <w:rFonts w:hint="eastAsia" w:hAnsi="宋体"/>
                <w:b/>
                <w:snapToGrid w:val="0"/>
                <w:szCs w:val="18"/>
              </w:rPr>
              <w:t>日</w:t>
            </w:r>
            <w:r>
              <w:rPr>
                <w:rFonts w:hint="eastAsia" w:hAnsi="宋体"/>
                <w:b/>
                <w:snapToGrid w:val="0"/>
                <w:szCs w:val="18"/>
                <w:lang w:val="en-US" w:eastAsia="zh-CN"/>
              </w:rPr>
              <w:t>09</w:t>
            </w:r>
            <w:bookmarkStart w:id="98" w:name="_GoBack"/>
            <w:bookmarkEnd w:id="98"/>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pStyle w:val="2"/>
        <w:spacing w:before="0" w:after="0"/>
        <w:rPr>
          <w:sz w:val="21"/>
          <w:szCs w:val="21"/>
        </w:rPr>
      </w:pPr>
    </w:p>
    <w:p>
      <w:pPr>
        <w:rPr>
          <w:rFonts w:eastAsiaTheme="minorEastAsia"/>
          <w:kern w:val="44"/>
        </w:rPr>
      </w:pPr>
      <w:r>
        <w:rPr>
          <w:szCs w:val="21"/>
        </w:rPr>
        <w:br w:type="page"/>
      </w:r>
    </w:p>
    <w:p>
      <w:pPr>
        <w:pStyle w:val="2"/>
        <w:spacing w:before="0" w:after="0"/>
        <w:rPr>
          <w:sz w:val="21"/>
          <w:szCs w:val="21"/>
        </w:rPr>
      </w:pPr>
    </w:p>
    <w:p>
      <w:pPr>
        <w:pStyle w:val="2"/>
      </w:pPr>
      <w:bookmarkStart w:id="19" w:name="_Toc110420244"/>
      <w:r>
        <w:rPr>
          <w:rFonts w:hint="eastAsia"/>
        </w:rPr>
        <w:t>第六章  投标人须知</w:t>
      </w:r>
      <w:bookmarkEnd w:id="19"/>
    </w:p>
    <w:p>
      <w:pPr>
        <w:pStyle w:val="4"/>
        <w:spacing w:before="0" w:after="0"/>
      </w:pPr>
      <w:bookmarkStart w:id="20" w:name="_Toc110420245"/>
      <w:r>
        <w:rPr>
          <w:rFonts w:hint="eastAsia"/>
        </w:rPr>
        <w:t>一、说</w:t>
      </w:r>
      <w:r>
        <w:t xml:space="preserve">  </w:t>
      </w:r>
      <w:r>
        <w:rPr>
          <w:rFonts w:hint="eastAsia"/>
        </w:rPr>
        <w:t>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4"/>
        <w:spacing w:before="0" w:after="0"/>
      </w:pPr>
      <w:bookmarkStart w:id="22" w:name="_Toc110420246"/>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3" w:name="q6"/>
      <w:bookmarkEnd w:id="23"/>
      <w:bookmarkStart w:id="24" w:name="_Toc110420247"/>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5" w:name="q7"/>
      <w:bookmarkEnd w:id="25"/>
      <w:bookmarkStart w:id="26" w:name="_Toc110420248"/>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8" w:name="q8"/>
      <w:bookmarkEnd w:id="28"/>
      <w:bookmarkStart w:id="29" w:name="_Toc110420249"/>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4"/>
        <w:spacing w:before="0" w:after="0"/>
      </w:pPr>
      <w:bookmarkStart w:id="31" w:name="_Toc110420250"/>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336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233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1312;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0288;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4"/>
        <w:spacing w:before="0" w:after="0"/>
      </w:pPr>
      <w:bookmarkStart w:id="32" w:name="_Toc110420251"/>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3"/>
    </w:p>
    <w:p/>
    <w:p/>
    <w:p/>
    <w:p/>
    <w:p/>
    <w:p/>
    <w:p/>
    <w:p/>
    <w:p/>
    <w:p/>
    <w:p/>
    <w:p/>
    <w:p/>
    <w:p>
      <w:pPr>
        <w:widowControl/>
        <w:jc w:val="left"/>
      </w:pPr>
      <w:r>
        <w:br w:type="page"/>
      </w:r>
    </w:p>
    <w:p/>
    <w:p>
      <w:pPr>
        <w:pStyle w:val="2"/>
      </w:pPr>
      <w:bookmarkStart w:id="35" w:name="_Toc110420252"/>
      <w:r>
        <w:rPr>
          <w:rFonts w:hint="eastAsia"/>
        </w:rPr>
        <w:t>第七章  投标文件格式</w:t>
      </w:r>
      <w:bookmarkEnd w:id="35"/>
    </w:p>
    <w:p>
      <w:pPr>
        <w:jc w:val="center"/>
        <w:rPr>
          <w:b/>
          <w:sz w:val="52"/>
          <w:szCs w:val="52"/>
        </w:rPr>
      </w:pPr>
    </w:p>
    <w:p>
      <w:pPr>
        <w:pStyle w:val="4"/>
        <w:spacing w:line="400" w:lineRule="exact"/>
        <w:rPr>
          <w:rFonts w:ascii="仿宋" w:hAnsi="仿宋" w:eastAsia="仿宋"/>
        </w:rPr>
      </w:pPr>
      <w:bookmarkStart w:id="36" w:name="_Toc44691163"/>
      <w:bookmarkStart w:id="37" w:name="_Toc31468"/>
      <w:bookmarkStart w:id="38" w:name="_Toc110420253"/>
      <w:bookmarkStart w:id="39" w:name="_Toc25194"/>
      <w:bookmarkStart w:id="40" w:name="_Toc44691395"/>
      <w:bookmarkStart w:id="41" w:name="_Toc14934"/>
      <w:bookmarkStart w:id="42" w:name="_Toc44690704"/>
      <w:bookmarkStart w:id="43" w:name="_Toc11772"/>
      <w:bookmarkStart w:id="44" w:name="_Toc44690431"/>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5" w:name="_投标文件格式（第一册）"/>
      <w:bookmarkEnd w:id="45"/>
      <w:bookmarkStart w:id="46"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7" w:name="_Toc110420254"/>
      <w:r>
        <w:rPr>
          <w:rFonts w:hint="eastAsia" w:ascii="仿宋" w:hAnsi="仿宋" w:eastAsia="仿宋"/>
        </w:rPr>
        <w:t>投标文件格式</w:t>
      </w:r>
      <w:bookmarkEnd w:id="47"/>
    </w:p>
    <w:bookmarkEnd w:id="46"/>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注：此表应与“法定代表人（负责人）证明书、法定代表人（负责人）授权委托书”一起密封于一信封，在递交投标文件时单独交与</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pStyle w:val="4"/>
        <w:spacing w:line="400" w:lineRule="exact"/>
        <w:rPr>
          <w:rFonts w:ascii="仿宋" w:hAnsi="仿宋" w:eastAsia="仿宋"/>
        </w:rPr>
      </w:pPr>
      <w:bookmarkStart w:id="48" w:name="_Toc110410380"/>
    </w:p>
    <w:p>
      <w:pPr>
        <w:pStyle w:val="4"/>
        <w:spacing w:line="400" w:lineRule="exact"/>
        <w:rPr>
          <w:rFonts w:ascii="仿宋" w:hAnsi="仿宋" w:eastAsia="仿宋"/>
        </w:rPr>
      </w:pPr>
      <w:bookmarkStart w:id="49" w:name="_Toc110420255"/>
      <w:r>
        <w:rPr>
          <w:rFonts w:hint="eastAsia" w:ascii="仿宋" w:hAnsi="仿宋" w:eastAsia="仿宋"/>
        </w:rPr>
        <w:t>政府采购违法行为风险知悉确认书</w:t>
      </w:r>
      <w:bookmarkEnd w:id="48"/>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adjustRightInd w:val="0"/>
        <w:spacing w:line="300" w:lineRule="auto"/>
        <w:ind w:left="-2"/>
        <w:rPr>
          <w:rFonts w:ascii="宋体" w:hAnsi="宋体"/>
          <w:snapToGrid w:val="0"/>
          <w:kern w:val="0"/>
          <w:szCs w:val="21"/>
        </w:rPr>
      </w:pPr>
      <w:r>
        <w:rPr>
          <w:rFonts w:hint="eastAsia" w:ascii="宋体" w:hAnsi="宋体"/>
          <w:szCs w:val="21"/>
        </w:rPr>
        <w:t xml:space="preserve">    日期：</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50" w:name="_格式1__投标人资格证明文件"/>
      <w:bookmarkEnd w:id="50"/>
      <w:r>
        <w:br w:type="page"/>
      </w:r>
    </w:p>
    <w:p>
      <w:pPr>
        <w:adjustRightInd w:val="0"/>
        <w:snapToGrid w:val="0"/>
        <w:spacing w:line="300" w:lineRule="auto"/>
        <w:jc w:val="center"/>
      </w:pPr>
    </w:p>
    <w:p>
      <w:pPr>
        <w:pStyle w:val="4"/>
        <w:spacing w:line="400" w:lineRule="exact"/>
        <w:rPr>
          <w:rFonts w:ascii="仿宋" w:hAnsi="仿宋" w:eastAsia="仿宋"/>
        </w:rPr>
      </w:pPr>
      <w:bookmarkStart w:id="51" w:name="_Toc73613640"/>
      <w:bookmarkStart w:id="52" w:name="_Toc110420256"/>
      <w:r>
        <w:rPr>
          <w:rFonts w:hint="eastAsia" w:ascii="仿宋" w:hAnsi="仿宋" w:eastAsia="仿宋"/>
        </w:rPr>
        <w:t>评标指引表</w:t>
      </w:r>
      <w:bookmarkEnd w:id="51"/>
      <w:bookmarkEnd w:id="52"/>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3" w:name="_Toc44690705"/>
      <w:bookmarkStart w:id="54" w:name="_Toc44691396"/>
      <w:bookmarkStart w:id="55" w:name="_Toc44690432"/>
      <w:bookmarkStart w:id="56" w:name="_Toc44691164"/>
      <w:r>
        <w:rPr>
          <w:rFonts w:hint="eastAsia" w:asciiTheme="minorEastAsia" w:hAnsiTheme="minorEastAsia" w:eastAsiaTheme="minorEastAsia"/>
          <w:sz w:val="24"/>
        </w:rPr>
        <w:t>格式1  投标人资格证明文件</w:t>
      </w:r>
      <w:bookmarkEnd w:id="53"/>
      <w:bookmarkEnd w:id="54"/>
      <w:bookmarkEnd w:id="55"/>
      <w:bookmarkEnd w:id="56"/>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bookmarkStart w:id="57" w:name="_Toc105681727"/>
      <w:bookmarkStart w:id="58" w:name="_Toc73613641"/>
      <w:r>
        <w:rPr>
          <w:rFonts w:hint="eastAsia"/>
          <w:b/>
          <w:snapToGrid w:val="0"/>
          <w:kern w:val="0"/>
          <w:sz w:val="28"/>
        </w:rPr>
        <w:t>股东构成审查表</w:t>
      </w:r>
      <w:bookmarkEnd w:id="57"/>
      <w:bookmarkEnd w:id="58"/>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360" w:lineRule="auto"/>
        <w:ind w:firstLine="600"/>
        <w:jc w:val="right"/>
        <w:rPr>
          <w:rFonts w:ascii="宋体" w:hAnsi="宋体"/>
          <w:b/>
          <w:sz w:val="30"/>
          <w:szCs w:val="30"/>
        </w:rPr>
      </w:pPr>
    </w:p>
    <w:p>
      <w:pPr>
        <w:tabs>
          <w:tab w:val="left" w:pos="450"/>
        </w:tabs>
        <w:jc w:val="center"/>
        <w:rPr>
          <w:rFonts w:ascii="宋体" w:hAnsi="宋体"/>
          <w:b/>
          <w:sz w:val="30"/>
          <w:szCs w:val="3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7872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7769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9" w:name="_Toc226217114"/>
      <w:r>
        <w:rPr>
          <w:rFonts w:ascii="宋体"/>
        </w:rPr>
        <w:pict>
          <v:rect id="Rectangle 2" o:spid="_x0000_s3093" o:spt="1" style="position:absolute;left:0pt;margin-left:-10.35pt;margin-top:5.6pt;height:156pt;width:243pt;z-index:25167564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667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9"/>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1165"/>
      <w:bookmarkStart w:id="61" w:name="_Toc44690433"/>
      <w:bookmarkStart w:id="62" w:name="_Toc44690706"/>
      <w:bookmarkStart w:id="63" w:name="_Toc44691397"/>
      <w:r>
        <w:rPr>
          <w:rFonts w:hint="eastAsia" w:asciiTheme="minorEastAsia" w:hAnsiTheme="minorEastAsia" w:eastAsiaTheme="minorEastAsia"/>
          <w:sz w:val="24"/>
        </w:rPr>
        <w:t>格式5  开标一览表</w:t>
      </w:r>
      <w:bookmarkEnd w:id="60"/>
      <w:bookmarkEnd w:id="61"/>
      <w:bookmarkEnd w:id="62"/>
      <w:bookmarkEnd w:id="63"/>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深圳市宝安区通过污水监测毒情项目</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价为综合报价，包含：人工费、服务费用、监测费用、试剂、耗材、管理、保险、利润、税金、政策性文件规定及合同包含的所有风险、责任等各项应有费用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Pr>
        <w:widowControl/>
        <w:jc w:val="left"/>
      </w:pPr>
      <w: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4" w:name="_Toc44691166"/>
      <w:bookmarkStart w:id="65" w:name="_Toc44691398"/>
      <w:bookmarkStart w:id="66" w:name="_Toc44690707"/>
      <w:bookmarkStart w:id="67" w:name="_Toc44690434"/>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格式6  报价表</w:t>
      </w:r>
      <w:bookmarkEnd w:id="64"/>
      <w:bookmarkEnd w:id="65"/>
      <w:bookmarkEnd w:id="66"/>
      <w:bookmarkEnd w:id="67"/>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w:t>
      </w:r>
      <w:r>
        <w:rPr>
          <w:rFonts w:hint="eastAsia" w:ascii="宋体" w:hAnsi="宋体"/>
          <w:szCs w:val="21"/>
        </w:rPr>
        <w:t>：人工费、服务费用、监测费用、试剂、耗材、管理、保险、利润、税金、政策性文件规定及合同包含的所有风险、责任等各项应有费用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b/>
          <w:sz w:val="28"/>
        </w:rPr>
      </w:pPr>
      <w:r>
        <w:rPr>
          <w:rFonts w:hint="eastAsia"/>
          <w:snapToGrid w:val="0"/>
          <w:kern w:val="0"/>
        </w:rPr>
        <w:t>年    月   日</w:t>
      </w:r>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8" w:name="_Toc44690708"/>
      <w:bookmarkStart w:id="69" w:name="_Toc44691167"/>
      <w:bookmarkStart w:id="70" w:name="_Toc44691399"/>
      <w:bookmarkStart w:id="71" w:name="_Toc44690435"/>
      <w:r>
        <w:rPr>
          <w:rFonts w:hint="eastAsia" w:asciiTheme="minorEastAsia" w:hAnsiTheme="minorEastAsia" w:eastAsiaTheme="minorEastAsia"/>
          <w:sz w:val="24"/>
        </w:rPr>
        <w:t>格式7  服务方案</w:t>
      </w:r>
      <w:bookmarkEnd w:id="68"/>
      <w:bookmarkEnd w:id="69"/>
      <w:bookmarkEnd w:id="70"/>
      <w:bookmarkEnd w:id="71"/>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rPr>
        <w:t>分析结果周期</w:t>
      </w:r>
    </w:p>
    <w:p>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rPr>
        <w:t>项目分析能力</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rPr>
        <w:t>项目服务方案</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rPr>
        <w:t>拟投入本项目的专业检测仪器、设备</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rPr>
        <w:t>拟投入本项目的污水溯源采样设备</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投标人情况介绍</w:t>
      </w:r>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3"/>
        <w:spacing w:before="0"/>
        <w:rPr>
          <w:rFonts w:ascii="宋体" w:hAnsi="宋体"/>
          <w:sz w:val="28"/>
        </w:rPr>
      </w:pPr>
    </w:p>
    <w:p/>
    <w:p/>
    <w:p/>
    <w:p/>
    <w:p/>
    <w:p/>
    <w:p/>
    <w:p/>
    <w:p/>
    <w:p/>
    <w:p/>
    <w:p/>
    <w:p/>
    <w:p/>
    <w:p/>
    <w:p/>
    <w:p/>
    <w:p/>
    <w:p/>
    <w:p/>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_Toc44690709"/>
      <w:bookmarkStart w:id="73" w:name="_Toc44690436"/>
      <w:bookmarkStart w:id="74" w:name="_Toc44691168"/>
      <w:bookmarkStart w:id="75" w:name="_Toc44691400"/>
      <w:r>
        <w:rPr>
          <w:rFonts w:hint="eastAsia" w:asciiTheme="minorEastAsia" w:hAnsiTheme="minorEastAsia" w:eastAsiaTheme="minorEastAsia"/>
          <w:sz w:val="24"/>
        </w:rPr>
        <w:t>格式9  偏离表</w:t>
      </w:r>
      <w:bookmarkEnd w:id="72"/>
      <w:bookmarkEnd w:id="73"/>
      <w:bookmarkEnd w:id="74"/>
      <w:bookmarkEnd w:id="75"/>
    </w:p>
    <w:p>
      <w:pPr>
        <w:adjustRightInd w:val="0"/>
        <w:snapToGrid w:val="0"/>
        <w:spacing w:line="360" w:lineRule="auto"/>
        <w:rPr>
          <w:rFonts w:ascii="宋体" w:hAnsi="宋体"/>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snapToGrid w:val="0"/>
        <w:spacing w:line="360" w:lineRule="auto"/>
        <w:jc w:val="center"/>
        <w:rPr>
          <w:b/>
        </w:rPr>
      </w:pPr>
      <w:r>
        <w:rPr>
          <w:rFonts w:hint="eastAsia"/>
          <w:b/>
        </w:rPr>
        <w:t>技术</w:t>
      </w:r>
      <w:r>
        <w:rPr>
          <w:rFonts w:hint="eastAsia"/>
          <w:b/>
          <w:bCs/>
        </w:rPr>
        <w:t>要求</w:t>
      </w:r>
      <w:r>
        <w:rPr>
          <w:rFonts w:hint="eastAsia"/>
          <w:b/>
        </w:rPr>
        <w:t>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项目服务要求</w:t>
      </w:r>
      <w:r>
        <w:rPr>
          <w:rFonts w:hint="eastAsia" w:ascii="宋体" w:hAnsi="宋体" w:cs="Arial"/>
          <w:bCs/>
          <w:szCs w:val="21"/>
        </w:rPr>
        <w:t>”中的内容；“</w:t>
      </w:r>
      <w:r>
        <w:rPr>
          <w:rFonts w:hint="eastAsia" w:ascii="宋体" w:hAnsi="宋体"/>
          <w:szCs w:val="21"/>
        </w:rPr>
        <w:t>投标技术响应</w:t>
      </w:r>
      <w:r>
        <w:rPr>
          <w:rFonts w:hint="eastAsia" w:ascii="宋体" w:hAnsi="宋体" w:cs="Arial"/>
          <w:bCs/>
          <w:szCs w:val="21"/>
        </w:rPr>
        <w:t>”一栏应填写具体响应情况。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宋体" w:hAnsi="宋体" w:cs="Arial"/>
          <w:b/>
          <w:szCs w:val="21"/>
        </w:rPr>
        <w:t>投标人</w:t>
      </w:r>
      <w:r>
        <w:rPr>
          <w:rFonts w:hint="eastAsia" w:asciiTheme="minorEastAsia" w:hAnsiTheme="minorEastAsia" w:eastAsiaTheme="minorEastAsia"/>
          <w:b/>
          <w:szCs w:val="21"/>
        </w:rPr>
        <w:t>应按</w:t>
      </w:r>
      <w:r>
        <w:rPr>
          <w:rFonts w:hint="eastAsia" w:ascii="宋体" w:hAnsi="宋体" w:cs="Arial"/>
          <w:b/>
          <w:bCs/>
          <w:szCs w:val="21"/>
        </w:rPr>
        <w:t>招标文件第二章《项目需求》中“二、</w:t>
      </w:r>
      <w:r>
        <w:rPr>
          <w:rFonts w:hint="eastAsia" w:ascii="宋体" w:hAnsi="宋体"/>
          <w:b/>
          <w:bCs/>
          <w:snapToGrid w:val="0"/>
          <w:szCs w:val="21"/>
        </w:rPr>
        <w:t>项目服务要求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w:t>
      </w:r>
      <w:r>
        <w:rPr>
          <w:rFonts w:hint="eastAsia" w:asciiTheme="minorEastAsia" w:hAnsiTheme="minorEastAsia" w:eastAsiaTheme="minorEastAsia"/>
          <w:szCs w:val="21"/>
        </w:rPr>
        <w:t>投标人应在“说明”一栏中列出技术要求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b/>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60" w:lineRule="auto"/>
        <w:rPr>
          <w:snapToGrid w:val="0"/>
          <w:kern w:val="0"/>
        </w:rPr>
      </w:pPr>
      <w:r>
        <w:rPr>
          <w:rFonts w:hint="eastAsia"/>
          <w:snapToGrid w:val="0"/>
          <w:kern w:val="0"/>
        </w:rPr>
        <w:t xml:space="preserve">                                                            年    月    日</w:t>
      </w: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adjustRightInd w:val="0"/>
        <w:snapToGrid w:val="0"/>
        <w:spacing w:line="300" w:lineRule="auto"/>
        <w:jc w:val="left"/>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6" w:name="_格式4__"/>
      <w:bookmarkEnd w:id="76"/>
      <w:bookmarkStart w:id="77" w:name="q17"/>
      <w:bookmarkEnd w:id="77"/>
      <w:bookmarkStart w:id="78" w:name="q15"/>
      <w:bookmarkEnd w:id="78"/>
      <w:bookmarkStart w:id="79" w:name="q16"/>
      <w:bookmarkEnd w:id="79"/>
      <w:bookmarkStart w:id="80" w:name="_格式3__"/>
      <w:bookmarkEnd w:id="80"/>
      <w:bookmarkStart w:id="81" w:name="_格式2__投标保证金凭证"/>
      <w:bookmarkEnd w:id="81"/>
      <w:bookmarkStart w:id="82" w:name="_格式5__"/>
      <w:bookmarkEnd w:id="82"/>
      <w:r>
        <w:rPr>
          <w:rFonts w:asciiTheme="minorEastAsia" w:hAnsiTheme="minorEastAsia" w:eastAsiaTheme="minorEastAsia"/>
          <w:sz w:val="24"/>
        </w:rPr>
        <w:tab/>
      </w:r>
      <w:bookmarkStart w:id="83" w:name="_Toc44690437"/>
      <w:bookmarkStart w:id="84" w:name="_Toc44691401"/>
      <w:bookmarkStart w:id="85" w:name="_Toc44691169"/>
      <w:bookmarkStart w:id="86" w:name="_Toc44690710"/>
      <w:r>
        <w:rPr>
          <w:rFonts w:hint="eastAsia" w:asciiTheme="minorEastAsia" w:hAnsiTheme="minorEastAsia" w:eastAsiaTheme="minorEastAsia"/>
          <w:sz w:val="24"/>
        </w:rPr>
        <w:t xml:space="preserve">格式10  </w:t>
      </w:r>
      <w:bookmarkEnd w:id="83"/>
      <w:bookmarkEnd w:id="84"/>
      <w:bookmarkEnd w:id="85"/>
      <w:bookmarkEnd w:id="86"/>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2"/>
      </w:pPr>
      <w:bookmarkStart w:id="87" w:name="_Toc110420257"/>
      <w:r>
        <w:rPr>
          <w:rFonts w:hint="eastAsia"/>
        </w:rPr>
        <w:t>第八章  合同条款</w:t>
      </w:r>
      <w:bookmarkEnd w:id="87"/>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8" w:name="_Toc110420258"/>
      <w:bookmarkStart w:id="89" w:name="_Toc73610161"/>
      <w:r>
        <w:rPr>
          <w:rFonts w:hint="eastAsia"/>
        </w:rPr>
        <w:t>第九章  附件</w:t>
      </w:r>
      <w:bookmarkEnd w:id="88"/>
      <w:bookmarkEnd w:id="89"/>
    </w:p>
    <w:p>
      <w:pPr>
        <w:pStyle w:val="4"/>
        <w:spacing w:before="0" w:after="0"/>
      </w:pPr>
      <w:bookmarkStart w:id="90" w:name="_Toc73610162"/>
      <w:bookmarkStart w:id="91" w:name="_Toc110420259"/>
      <w:r>
        <w:rPr>
          <w:rFonts w:hint="eastAsia"/>
        </w:rPr>
        <w:t>一、财政部 工业和信息化部关于印发《政府采购促进中小企业发展管理办法》的通知</w:t>
      </w:r>
      <w:bookmarkEnd w:id="90"/>
      <w:bookmarkEnd w:id="91"/>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4"/>
        <w:spacing w:before="0" w:after="0"/>
      </w:pPr>
      <w:bookmarkStart w:id="92" w:name="_Toc73610163"/>
      <w:bookmarkStart w:id="93" w:name="_Toc110420260"/>
      <w:r>
        <w:rPr>
          <w:rFonts w:hint="eastAsia"/>
        </w:rPr>
        <w:t>二、关于印发中小企业划型标准规定的通知</w:t>
      </w:r>
      <w:bookmarkEnd w:id="92"/>
      <w:bookmarkEnd w:id="93"/>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4"/>
        <w:spacing w:before="0" w:after="0"/>
      </w:pPr>
      <w:bookmarkStart w:id="94" w:name="_Toc73610164"/>
      <w:bookmarkStart w:id="95" w:name="_Toc110420261"/>
      <w:r>
        <w:rPr>
          <w:rFonts w:hint="eastAsia"/>
        </w:rPr>
        <w:t>三、</w:t>
      </w:r>
      <w:r>
        <w:t>国家统计局关于印发《统计上大中小微型企业划分办法 （2017）》的通知</w:t>
      </w:r>
      <w:bookmarkEnd w:id="94"/>
      <w:bookmarkEnd w:id="95"/>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96" w:name="_Toc73610165"/>
      <w:bookmarkStart w:id="97" w:name="_Toc110420262"/>
      <w:r>
        <w:rPr>
          <w:rFonts w:hint="eastAsia"/>
        </w:rPr>
        <w:t>四、</w:t>
      </w:r>
      <w:r>
        <w:t>财政部 民政部 中国残疾人联合会关于促进残疾人就业 政府采购政策的通知</w:t>
      </w:r>
      <w:bookmarkEnd w:id="96"/>
      <w:bookmarkEnd w:id="97"/>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14</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asciiTheme="minorEastAsia" w:hAnsiTheme="minorEastAsia" w:eastAsiaTheme="minorEastAsia"/>
      </w:rPr>
      <w:t xml:space="preserve">深圳市宝安区通过污水监测毒情项目        </w:t>
    </w:r>
    <w:r>
      <w:rPr>
        <w:rFonts w:hint="eastAsia"/>
      </w:rPr>
      <w:t xml:space="preserve">                                项目编号：</w:t>
    </w:r>
    <w:r>
      <w:rPr>
        <w:rFonts w:hint="eastAsia" w:asciiTheme="minorEastAsia" w:hAnsiTheme="minorEastAsia" w:eastAsiaTheme="minorEastAsia"/>
      </w:rPr>
      <w:t>SZZZ2022-QC0265</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VlOWY4ZDBhYWExNjhhMjc2ZTRiNjcxMTg3MmEyNzk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43D2"/>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7F6"/>
    <w:rsid w:val="00045923"/>
    <w:rsid w:val="00045EB5"/>
    <w:rsid w:val="00046595"/>
    <w:rsid w:val="00046998"/>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2BD7"/>
    <w:rsid w:val="000730F3"/>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510"/>
    <w:rsid w:val="001438E5"/>
    <w:rsid w:val="00143AB1"/>
    <w:rsid w:val="00143D73"/>
    <w:rsid w:val="00143EA2"/>
    <w:rsid w:val="001448C4"/>
    <w:rsid w:val="0014619B"/>
    <w:rsid w:val="001467AB"/>
    <w:rsid w:val="001468DA"/>
    <w:rsid w:val="00146AE2"/>
    <w:rsid w:val="00146C30"/>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C91"/>
    <w:rsid w:val="001B0220"/>
    <w:rsid w:val="001B0850"/>
    <w:rsid w:val="001B1281"/>
    <w:rsid w:val="001B1D39"/>
    <w:rsid w:val="001B2126"/>
    <w:rsid w:val="001B23F5"/>
    <w:rsid w:val="001B2666"/>
    <w:rsid w:val="001B2909"/>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1C18"/>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73C"/>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10D"/>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293A"/>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9715E"/>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087"/>
    <w:rsid w:val="002E214F"/>
    <w:rsid w:val="002E24BD"/>
    <w:rsid w:val="002E3C98"/>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17EA5"/>
    <w:rsid w:val="00320073"/>
    <w:rsid w:val="003201A8"/>
    <w:rsid w:val="003203BF"/>
    <w:rsid w:val="00320626"/>
    <w:rsid w:val="00320DE9"/>
    <w:rsid w:val="00321435"/>
    <w:rsid w:val="003214C3"/>
    <w:rsid w:val="003214D6"/>
    <w:rsid w:val="003219DD"/>
    <w:rsid w:val="00321BF3"/>
    <w:rsid w:val="00321CC1"/>
    <w:rsid w:val="0032244E"/>
    <w:rsid w:val="0032298B"/>
    <w:rsid w:val="00323373"/>
    <w:rsid w:val="003242E5"/>
    <w:rsid w:val="00324DD8"/>
    <w:rsid w:val="003256E0"/>
    <w:rsid w:val="00325E6C"/>
    <w:rsid w:val="003261AE"/>
    <w:rsid w:val="00326A13"/>
    <w:rsid w:val="00327114"/>
    <w:rsid w:val="00327B3E"/>
    <w:rsid w:val="00327EA3"/>
    <w:rsid w:val="00332227"/>
    <w:rsid w:val="003322C1"/>
    <w:rsid w:val="00332486"/>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00D"/>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072B"/>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3C4"/>
    <w:rsid w:val="00410BE7"/>
    <w:rsid w:val="00410D26"/>
    <w:rsid w:val="0041105B"/>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6BE7"/>
    <w:rsid w:val="00427383"/>
    <w:rsid w:val="00427BF1"/>
    <w:rsid w:val="004304D3"/>
    <w:rsid w:val="00430640"/>
    <w:rsid w:val="00430E30"/>
    <w:rsid w:val="00431315"/>
    <w:rsid w:val="00431CAB"/>
    <w:rsid w:val="0043351E"/>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51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3CFE"/>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5F7"/>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3C8A"/>
    <w:rsid w:val="00553F48"/>
    <w:rsid w:val="0055408C"/>
    <w:rsid w:val="00555289"/>
    <w:rsid w:val="00557BE8"/>
    <w:rsid w:val="00560452"/>
    <w:rsid w:val="0056097F"/>
    <w:rsid w:val="00560E39"/>
    <w:rsid w:val="00560F12"/>
    <w:rsid w:val="00561475"/>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58B"/>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0FCC"/>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6278"/>
    <w:rsid w:val="006F7BB8"/>
    <w:rsid w:val="006F7F58"/>
    <w:rsid w:val="00700FC6"/>
    <w:rsid w:val="00701022"/>
    <w:rsid w:val="00701092"/>
    <w:rsid w:val="007016CB"/>
    <w:rsid w:val="0070184D"/>
    <w:rsid w:val="00701876"/>
    <w:rsid w:val="00701DDF"/>
    <w:rsid w:val="00702247"/>
    <w:rsid w:val="007033F1"/>
    <w:rsid w:val="00704B50"/>
    <w:rsid w:val="00704CBD"/>
    <w:rsid w:val="0070597A"/>
    <w:rsid w:val="007059E9"/>
    <w:rsid w:val="00705DC2"/>
    <w:rsid w:val="0070655B"/>
    <w:rsid w:val="00707536"/>
    <w:rsid w:val="00707856"/>
    <w:rsid w:val="00707DE3"/>
    <w:rsid w:val="00710292"/>
    <w:rsid w:val="00713474"/>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0F1"/>
    <w:rsid w:val="00733153"/>
    <w:rsid w:val="00733B22"/>
    <w:rsid w:val="00734D7F"/>
    <w:rsid w:val="00734F3D"/>
    <w:rsid w:val="007356DE"/>
    <w:rsid w:val="00735C72"/>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0168"/>
    <w:rsid w:val="00760921"/>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3E5"/>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57E0"/>
    <w:rsid w:val="009269BD"/>
    <w:rsid w:val="00926AA3"/>
    <w:rsid w:val="00926E00"/>
    <w:rsid w:val="00930B44"/>
    <w:rsid w:val="00931225"/>
    <w:rsid w:val="0093126B"/>
    <w:rsid w:val="0093128F"/>
    <w:rsid w:val="00931D72"/>
    <w:rsid w:val="00932288"/>
    <w:rsid w:val="00932424"/>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3DF4"/>
    <w:rsid w:val="00974624"/>
    <w:rsid w:val="00975087"/>
    <w:rsid w:val="00975C59"/>
    <w:rsid w:val="009760F9"/>
    <w:rsid w:val="00976215"/>
    <w:rsid w:val="00976309"/>
    <w:rsid w:val="009773D6"/>
    <w:rsid w:val="00977491"/>
    <w:rsid w:val="00977C0C"/>
    <w:rsid w:val="00980588"/>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1008"/>
    <w:rsid w:val="009C1809"/>
    <w:rsid w:val="009C1AFF"/>
    <w:rsid w:val="009C218C"/>
    <w:rsid w:val="009C21E3"/>
    <w:rsid w:val="009C222F"/>
    <w:rsid w:val="009C25F1"/>
    <w:rsid w:val="009C2C60"/>
    <w:rsid w:val="009C372E"/>
    <w:rsid w:val="009C3B12"/>
    <w:rsid w:val="009C3DBD"/>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9BD"/>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598"/>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2A3"/>
    <w:rsid w:val="00A84B94"/>
    <w:rsid w:val="00A84BED"/>
    <w:rsid w:val="00A8536F"/>
    <w:rsid w:val="00A857C4"/>
    <w:rsid w:val="00A85AF6"/>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102"/>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C7D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2B56"/>
    <w:rsid w:val="00AE3344"/>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2F04"/>
    <w:rsid w:val="00B134E7"/>
    <w:rsid w:val="00B13A79"/>
    <w:rsid w:val="00B14F3C"/>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5E12"/>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8DC"/>
    <w:rsid w:val="00B87B8A"/>
    <w:rsid w:val="00B9190B"/>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6E0"/>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2673"/>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1612"/>
    <w:rsid w:val="00C11B8C"/>
    <w:rsid w:val="00C12101"/>
    <w:rsid w:val="00C1230F"/>
    <w:rsid w:val="00C12EC3"/>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D5"/>
    <w:rsid w:val="00C31BF8"/>
    <w:rsid w:val="00C320CF"/>
    <w:rsid w:val="00C3273C"/>
    <w:rsid w:val="00C32EC2"/>
    <w:rsid w:val="00C3307F"/>
    <w:rsid w:val="00C3319F"/>
    <w:rsid w:val="00C33F77"/>
    <w:rsid w:val="00C348FF"/>
    <w:rsid w:val="00C34CC3"/>
    <w:rsid w:val="00C34F30"/>
    <w:rsid w:val="00C363E7"/>
    <w:rsid w:val="00C3640A"/>
    <w:rsid w:val="00C36F96"/>
    <w:rsid w:val="00C3796D"/>
    <w:rsid w:val="00C4006C"/>
    <w:rsid w:val="00C4057F"/>
    <w:rsid w:val="00C40753"/>
    <w:rsid w:val="00C40815"/>
    <w:rsid w:val="00C40B89"/>
    <w:rsid w:val="00C40B90"/>
    <w:rsid w:val="00C41BEB"/>
    <w:rsid w:val="00C427A2"/>
    <w:rsid w:val="00C42E64"/>
    <w:rsid w:val="00C42FF6"/>
    <w:rsid w:val="00C43C61"/>
    <w:rsid w:val="00C43F21"/>
    <w:rsid w:val="00C441C2"/>
    <w:rsid w:val="00C4421D"/>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01E"/>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87B8B"/>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B0113"/>
    <w:rsid w:val="00CB058C"/>
    <w:rsid w:val="00CB0939"/>
    <w:rsid w:val="00CB0BE4"/>
    <w:rsid w:val="00CB121D"/>
    <w:rsid w:val="00CB146E"/>
    <w:rsid w:val="00CB14A4"/>
    <w:rsid w:val="00CB1EB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EE8"/>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18B3"/>
    <w:rsid w:val="00CE2312"/>
    <w:rsid w:val="00CE2620"/>
    <w:rsid w:val="00CE336E"/>
    <w:rsid w:val="00CE374F"/>
    <w:rsid w:val="00CE384F"/>
    <w:rsid w:val="00CE3CDF"/>
    <w:rsid w:val="00CE3D08"/>
    <w:rsid w:val="00CE3E07"/>
    <w:rsid w:val="00CE3FEE"/>
    <w:rsid w:val="00CE455E"/>
    <w:rsid w:val="00CE47B3"/>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0B09"/>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02"/>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3FE"/>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C4C"/>
    <w:rsid w:val="00E46E0B"/>
    <w:rsid w:val="00E471ED"/>
    <w:rsid w:val="00E477EE"/>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4B1"/>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4"/>
    <w:rsid w:val="00F453B6"/>
    <w:rsid w:val="00F45854"/>
    <w:rsid w:val="00F45D0C"/>
    <w:rsid w:val="00F460F1"/>
    <w:rsid w:val="00F468F2"/>
    <w:rsid w:val="00F4697F"/>
    <w:rsid w:val="00F46B56"/>
    <w:rsid w:val="00F46C8A"/>
    <w:rsid w:val="00F46D54"/>
    <w:rsid w:val="00F50DC4"/>
    <w:rsid w:val="00F524C0"/>
    <w:rsid w:val="00F52A72"/>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62D"/>
    <w:rsid w:val="00FB181F"/>
    <w:rsid w:val="00FB1918"/>
    <w:rsid w:val="00FB1AE8"/>
    <w:rsid w:val="00FB1D7A"/>
    <w:rsid w:val="00FB24C0"/>
    <w:rsid w:val="00FB2671"/>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1CEF"/>
    <w:rsid w:val="00FE2168"/>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F07DB"/>
    <w:rsid w:val="00FF3DBD"/>
    <w:rsid w:val="00FF4204"/>
    <w:rsid w:val="00FF4314"/>
    <w:rsid w:val="00FF456E"/>
    <w:rsid w:val="00FF4A19"/>
    <w:rsid w:val="00FF4CE2"/>
    <w:rsid w:val="00FF5D14"/>
    <w:rsid w:val="00FF7533"/>
    <w:rsid w:val="01F0299B"/>
    <w:rsid w:val="026E4F91"/>
    <w:rsid w:val="02CD08CE"/>
    <w:rsid w:val="03962305"/>
    <w:rsid w:val="039D7B38"/>
    <w:rsid w:val="041D095D"/>
    <w:rsid w:val="04EA618B"/>
    <w:rsid w:val="04EB3BB5"/>
    <w:rsid w:val="05C87DB9"/>
    <w:rsid w:val="07254720"/>
    <w:rsid w:val="08065580"/>
    <w:rsid w:val="09552D33"/>
    <w:rsid w:val="0961739E"/>
    <w:rsid w:val="098E6083"/>
    <w:rsid w:val="09E809EE"/>
    <w:rsid w:val="0AA77CCA"/>
    <w:rsid w:val="0B205B2B"/>
    <w:rsid w:val="0B782559"/>
    <w:rsid w:val="0BBA4FFF"/>
    <w:rsid w:val="0BE300B2"/>
    <w:rsid w:val="0C2B70F5"/>
    <w:rsid w:val="0C844B6E"/>
    <w:rsid w:val="0CC631A9"/>
    <w:rsid w:val="0D566BC9"/>
    <w:rsid w:val="0E180322"/>
    <w:rsid w:val="0E2E6A4C"/>
    <w:rsid w:val="0E8C4995"/>
    <w:rsid w:val="0EC934B8"/>
    <w:rsid w:val="0EF27BFB"/>
    <w:rsid w:val="0F2A720C"/>
    <w:rsid w:val="0FBC50EF"/>
    <w:rsid w:val="115F3FD7"/>
    <w:rsid w:val="11A259DD"/>
    <w:rsid w:val="11A936D4"/>
    <w:rsid w:val="120474A0"/>
    <w:rsid w:val="126F6B43"/>
    <w:rsid w:val="128B3E23"/>
    <w:rsid w:val="13102ABE"/>
    <w:rsid w:val="133729DB"/>
    <w:rsid w:val="15B52934"/>
    <w:rsid w:val="160B022D"/>
    <w:rsid w:val="167D280D"/>
    <w:rsid w:val="16D7473C"/>
    <w:rsid w:val="17047766"/>
    <w:rsid w:val="175341E0"/>
    <w:rsid w:val="17935895"/>
    <w:rsid w:val="17971590"/>
    <w:rsid w:val="17CD644C"/>
    <w:rsid w:val="17F11FE7"/>
    <w:rsid w:val="17F52C18"/>
    <w:rsid w:val="184530EF"/>
    <w:rsid w:val="19227A4B"/>
    <w:rsid w:val="19407956"/>
    <w:rsid w:val="19420A89"/>
    <w:rsid w:val="19575C3B"/>
    <w:rsid w:val="19AD1CFF"/>
    <w:rsid w:val="1B015BD3"/>
    <w:rsid w:val="1B3E182A"/>
    <w:rsid w:val="1B4B5195"/>
    <w:rsid w:val="1C174C6F"/>
    <w:rsid w:val="1C7C020D"/>
    <w:rsid w:val="1C8F78BA"/>
    <w:rsid w:val="1C9B0D84"/>
    <w:rsid w:val="1CB561C9"/>
    <w:rsid w:val="1CDD3F3B"/>
    <w:rsid w:val="1CF15E5D"/>
    <w:rsid w:val="1D4D6869"/>
    <w:rsid w:val="1E0C3498"/>
    <w:rsid w:val="1E426A6C"/>
    <w:rsid w:val="1E8C2760"/>
    <w:rsid w:val="1F9F20FE"/>
    <w:rsid w:val="1FDC3F0E"/>
    <w:rsid w:val="212E5E1B"/>
    <w:rsid w:val="21760101"/>
    <w:rsid w:val="21C21D7E"/>
    <w:rsid w:val="22B25284"/>
    <w:rsid w:val="22C07D9F"/>
    <w:rsid w:val="23056CBA"/>
    <w:rsid w:val="234C1E42"/>
    <w:rsid w:val="23C6059E"/>
    <w:rsid w:val="23C95079"/>
    <w:rsid w:val="24031A53"/>
    <w:rsid w:val="242F7F0F"/>
    <w:rsid w:val="24307C26"/>
    <w:rsid w:val="246F0CA0"/>
    <w:rsid w:val="248E5D4C"/>
    <w:rsid w:val="24C47897"/>
    <w:rsid w:val="24E337F8"/>
    <w:rsid w:val="258D3B57"/>
    <w:rsid w:val="261B3A04"/>
    <w:rsid w:val="262336EE"/>
    <w:rsid w:val="269E4C0C"/>
    <w:rsid w:val="26B412A0"/>
    <w:rsid w:val="27024D1A"/>
    <w:rsid w:val="274B76CB"/>
    <w:rsid w:val="277168C5"/>
    <w:rsid w:val="27E36B3F"/>
    <w:rsid w:val="281573ED"/>
    <w:rsid w:val="281C5627"/>
    <w:rsid w:val="29C072EC"/>
    <w:rsid w:val="2A5448DA"/>
    <w:rsid w:val="2A5B2AC2"/>
    <w:rsid w:val="2A757D22"/>
    <w:rsid w:val="2AAF6B62"/>
    <w:rsid w:val="2AD85037"/>
    <w:rsid w:val="2B980830"/>
    <w:rsid w:val="2BD0253B"/>
    <w:rsid w:val="2C444480"/>
    <w:rsid w:val="2C564DC3"/>
    <w:rsid w:val="2D6C141D"/>
    <w:rsid w:val="2DA07759"/>
    <w:rsid w:val="2EB64B4B"/>
    <w:rsid w:val="2EDB590A"/>
    <w:rsid w:val="2F0A29E3"/>
    <w:rsid w:val="2FCF5CB3"/>
    <w:rsid w:val="3030672A"/>
    <w:rsid w:val="30817D6A"/>
    <w:rsid w:val="312D57A8"/>
    <w:rsid w:val="31447312"/>
    <w:rsid w:val="3148438F"/>
    <w:rsid w:val="3157114E"/>
    <w:rsid w:val="31F2037F"/>
    <w:rsid w:val="32222E32"/>
    <w:rsid w:val="329B11F6"/>
    <w:rsid w:val="32AF64E1"/>
    <w:rsid w:val="336E087E"/>
    <w:rsid w:val="33C3087D"/>
    <w:rsid w:val="345D63A4"/>
    <w:rsid w:val="34B20035"/>
    <w:rsid w:val="355604A4"/>
    <w:rsid w:val="35562C81"/>
    <w:rsid w:val="35961B12"/>
    <w:rsid w:val="364523AD"/>
    <w:rsid w:val="36700D38"/>
    <w:rsid w:val="36C4673D"/>
    <w:rsid w:val="37181BD0"/>
    <w:rsid w:val="375810A4"/>
    <w:rsid w:val="37B10B63"/>
    <w:rsid w:val="37D17C49"/>
    <w:rsid w:val="38207DBA"/>
    <w:rsid w:val="38552500"/>
    <w:rsid w:val="38950836"/>
    <w:rsid w:val="390721D7"/>
    <w:rsid w:val="393B510C"/>
    <w:rsid w:val="393F4767"/>
    <w:rsid w:val="39886C4F"/>
    <w:rsid w:val="39A97E97"/>
    <w:rsid w:val="3A260C29"/>
    <w:rsid w:val="3A3E7CD6"/>
    <w:rsid w:val="3B497DB9"/>
    <w:rsid w:val="3B4B3061"/>
    <w:rsid w:val="3B57268D"/>
    <w:rsid w:val="3B6176CE"/>
    <w:rsid w:val="3BF9504C"/>
    <w:rsid w:val="3C0B2B89"/>
    <w:rsid w:val="3CF11603"/>
    <w:rsid w:val="3D7507FB"/>
    <w:rsid w:val="3EB5127A"/>
    <w:rsid w:val="3F1B3430"/>
    <w:rsid w:val="3F503E5E"/>
    <w:rsid w:val="3FB00F40"/>
    <w:rsid w:val="3FC16214"/>
    <w:rsid w:val="41576FF8"/>
    <w:rsid w:val="41D9164E"/>
    <w:rsid w:val="41DD521D"/>
    <w:rsid w:val="423B7022"/>
    <w:rsid w:val="425E4E06"/>
    <w:rsid w:val="42845443"/>
    <w:rsid w:val="43474C93"/>
    <w:rsid w:val="4389060E"/>
    <w:rsid w:val="43C8028A"/>
    <w:rsid w:val="43D51667"/>
    <w:rsid w:val="440930CE"/>
    <w:rsid w:val="440B5E1C"/>
    <w:rsid w:val="443B2C25"/>
    <w:rsid w:val="446C7588"/>
    <w:rsid w:val="448421F1"/>
    <w:rsid w:val="45D37D9B"/>
    <w:rsid w:val="46FC6733"/>
    <w:rsid w:val="474451A1"/>
    <w:rsid w:val="47981429"/>
    <w:rsid w:val="48173BE7"/>
    <w:rsid w:val="48194FD5"/>
    <w:rsid w:val="484514CB"/>
    <w:rsid w:val="48C86EE1"/>
    <w:rsid w:val="49442CAD"/>
    <w:rsid w:val="49B65D42"/>
    <w:rsid w:val="49D912EE"/>
    <w:rsid w:val="49FA6EF8"/>
    <w:rsid w:val="4A37175B"/>
    <w:rsid w:val="4A784961"/>
    <w:rsid w:val="4A850E43"/>
    <w:rsid w:val="4ACF3A3C"/>
    <w:rsid w:val="4B1700DF"/>
    <w:rsid w:val="4CE103C7"/>
    <w:rsid w:val="4CE542E7"/>
    <w:rsid w:val="4D627304"/>
    <w:rsid w:val="4EF75204"/>
    <w:rsid w:val="4F0F6A19"/>
    <w:rsid w:val="4F801100"/>
    <w:rsid w:val="4FB31116"/>
    <w:rsid w:val="51D10A66"/>
    <w:rsid w:val="528A390F"/>
    <w:rsid w:val="528C6991"/>
    <w:rsid w:val="52BB5A2D"/>
    <w:rsid w:val="52C3297B"/>
    <w:rsid w:val="5329625C"/>
    <w:rsid w:val="54054633"/>
    <w:rsid w:val="540605E4"/>
    <w:rsid w:val="547F0032"/>
    <w:rsid w:val="54A02A20"/>
    <w:rsid w:val="54E015EF"/>
    <w:rsid w:val="55025E36"/>
    <w:rsid w:val="55271004"/>
    <w:rsid w:val="552A3DDB"/>
    <w:rsid w:val="55C87B3E"/>
    <w:rsid w:val="56C53597"/>
    <w:rsid w:val="576779DF"/>
    <w:rsid w:val="57C517F7"/>
    <w:rsid w:val="5878703E"/>
    <w:rsid w:val="58D67D8C"/>
    <w:rsid w:val="58DC038C"/>
    <w:rsid w:val="58E10577"/>
    <w:rsid w:val="59165EF7"/>
    <w:rsid w:val="59702A12"/>
    <w:rsid w:val="59B166C6"/>
    <w:rsid w:val="5A9658BC"/>
    <w:rsid w:val="5AED2A9C"/>
    <w:rsid w:val="5B3376CD"/>
    <w:rsid w:val="5B7A3BC3"/>
    <w:rsid w:val="5B9468BC"/>
    <w:rsid w:val="5BC746C9"/>
    <w:rsid w:val="5BCC0465"/>
    <w:rsid w:val="5C52672F"/>
    <w:rsid w:val="5CC61F72"/>
    <w:rsid w:val="5CE016C7"/>
    <w:rsid w:val="5CF206F7"/>
    <w:rsid w:val="5D2D69C4"/>
    <w:rsid w:val="5EA0340D"/>
    <w:rsid w:val="5ED66C3C"/>
    <w:rsid w:val="5F297E4F"/>
    <w:rsid w:val="5FDD643B"/>
    <w:rsid w:val="60BA3E42"/>
    <w:rsid w:val="60CF5EE4"/>
    <w:rsid w:val="61371BA7"/>
    <w:rsid w:val="6194383B"/>
    <w:rsid w:val="61C665C4"/>
    <w:rsid w:val="61CB5375"/>
    <w:rsid w:val="623348CA"/>
    <w:rsid w:val="62B236BF"/>
    <w:rsid w:val="630D382D"/>
    <w:rsid w:val="63302D52"/>
    <w:rsid w:val="633F2F95"/>
    <w:rsid w:val="63A979CC"/>
    <w:rsid w:val="644D7390"/>
    <w:rsid w:val="64914304"/>
    <w:rsid w:val="64EC1E62"/>
    <w:rsid w:val="65913819"/>
    <w:rsid w:val="65944BE5"/>
    <w:rsid w:val="65C41AE8"/>
    <w:rsid w:val="65CA685B"/>
    <w:rsid w:val="65CF34A7"/>
    <w:rsid w:val="65F660EF"/>
    <w:rsid w:val="6673798C"/>
    <w:rsid w:val="669473C6"/>
    <w:rsid w:val="66E43A30"/>
    <w:rsid w:val="673905B6"/>
    <w:rsid w:val="67803558"/>
    <w:rsid w:val="67F71B38"/>
    <w:rsid w:val="681C3942"/>
    <w:rsid w:val="68460AAC"/>
    <w:rsid w:val="686C7D88"/>
    <w:rsid w:val="68923629"/>
    <w:rsid w:val="68AC1CFE"/>
    <w:rsid w:val="6A522A7D"/>
    <w:rsid w:val="6A6A2AA6"/>
    <w:rsid w:val="6BCD1DE6"/>
    <w:rsid w:val="6C505023"/>
    <w:rsid w:val="6D14299F"/>
    <w:rsid w:val="6D672A1E"/>
    <w:rsid w:val="6D8E6124"/>
    <w:rsid w:val="6DA57D61"/>
    <w:rsid w:val="6DC237D1"/>
    <w:rsid w:val="6E41344E"/>
    <w:rsid w:val="6E4D3B29"/>
    <w:rsid w:val="6F40725E"/>
    <w:rsid w:val="6F5E7230"/>
    <w:rsid w:val="70161521"/>
    <w:rsid w:val="711172CF"/>
    <w:rsid w:val="71FD54DD"/>
    <w:rsid w:val="7330511B"/>
    <w:rsid w:val="73573FBF"/>
    <w:rsid w:val="7410294D"/>
    <w:rsid w:val="74147B26"/>
    <w:rsid w:val="747D0F58"/>
    <w:rsid w:val="76D71644"/>
    <w:rsid w:val="776C2FB6"/>
    <w:rsid w:val="7801482B"/>
    <w:rsid w:val="78973AF2"/>
    <w:rsid w:val="78BC253A"/>
    <w:rsid w:val="79271882"/>
    <w:rsid w:val="7971160E"/>
    <w:rsid w:val="799043B8"/>
    <w:rsid w:val="79982284"/>
    <w:rsid w:val="7998662D"/>
    <w:rsid w:val="7A8C5878"/>
    <w:rsid w:val="7A9549BB"/>
    <w:rsid w:val="7B471854"/>
    <w:rsid w:val="7C552333"/>
    <w:rsid w:val="7C7C1DC3"/>
    <w:rsid w:val="7CA86C55"/>
    <w:rsid w:val="7CF019C1"/>
    <w:rsid w:val="7D461CAD"/>
    <w:rsid w:val="7E0700E2"/>
    <w:rsid w:val="7E28286A"/>
    <w:rsid w:val="7E4515FE"/>
    <w:rsid w:val="7E7D0ADD"/>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E8C21-29BC-4C61-A598-92158B165BE8}">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71</Pages>
  <Words>42685</Words>
  <Characters>45731</Characters>
  <Lines>370</Lines>
  <Paragraphs>104</Paragraphs>
  <TotalTime>46</TotalTime>
  <ScaleCrop>false</ScaleCrop>
  <LinksUpToDate>false</LinksUpToDate>
  <CharactersWithSpaces>48217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罗敏仪</cp:lastModifiedBy>
  <cp:lastPrinted>2020-05-26T01:03:00Z</cp:lastPrinted>
  <dcterms:modified xsi:type="dcterms:W3CDTF">2022-08-18T06:15:20Z</dcterms:modified>
  <dc:title>招标编号：UHO2010-G0029</dc:title>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E7EFCA99BA2A42C1A83BB3F37221F387</vt:lpwstr>
  </property>
</Properties>
</file>