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w:pict>
          <v:shape id="文本框 299" o:spid="_x0000_s3075" o:spt="202" type="#_x0000_t202" style="position:absolute;left:0pt;margin-left:45.7pt;margin-top:-3.3pt;height:46.8pt;width:294.8pt;z-index:251659264;mso-width-relative:margin;mso-height-relative:margin;" stroked="t" coordsize="21600,21600">
            <v:path/>
            <v:fill focussize="0,0"/>
            <v:stroke color="#FFFFFF" joinstyle="miter"/>
            <v:imagedata o:title=""/>
            <o:lock v:ext="edit"/>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asciiTheme="minorEastAsia" w:hAnsiTheme="minorEastAsia" w:eastAsiaTheme="minorEastAsia"/>
          <w:b/>
          <w:snapToGrid w:val="0"/>
          <w:kern w:val="0"/>
          <w:sz w:val="70"/>
          <w:szCs w:val="70"/>
        </w:rPr>
      </w:pPr>
      <w:r>
        <w:rPr>
          <w:rFonts w:hint="eastAsia" w:asciiTheme="minorEastAsia" w:hAnsiTheme="minorEastAsia" w:eastAsiaTheme="minorEastAsia"/>
          <w:b/>
          <w:bCs/>
          <w:snapToGrid w:val="0"/>
          <w:kern w:val="0"/>
          <w:sz w:val="70"/>
          <w:szCs w:val="70"/>
        </w:rPr>
        <w:t>鼻阻力仪采购</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货物类招标文件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Theme="minorEastAsia" w:hAnsiTheme="minorEastAsia" w:eastAsiaTheme="minorEastAsia"/>
          <w:b/>
          <w:snapToGrid w:val="0"/>
          <w:kern w:val="0"/>
          <w:sz w:val="32"/>
        </w:rPr>
      </w:pPr>
      <w:r>
        <w:rPr>
          <w:rFonts w:hint="eastAsia" w:asciiTheme="minorEastAsia" w:hAnsiTheme="minorEastAsia" w:eastAsiaTheme="minorEastAsia"/>
          <w:b/>
          <w:snapToGrid w:val="0"/>
          <w:kern w:val="0"/>
          <w:sz w:val="32"/>
        </w:rPr>
        <w:t>项目编号：SZZZ2022-QA0165</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rPr>
          <w:rFonts w:eastAsia="经典标宋简"/>
          <w:b/>
          <w:snapToGrid w:val="0"/>
          <w:kern w:val="0"/>
          <w:sz w:val="44"/>
        </w:rPr>
      </w:pPr>
    </w:p>
    <w:p>
      <w:pPr>
        <w:pStyle w:val="28"/>
        <w:adjustRightInd w:val="0"/>
        <w:snapToGrid w:val="0"/>
        <w:spacing w:line="300" w:lineRule="auto"/>
        <w:jc w:val="center"/>
        <w:rPr>
          <w:rFonts w:ascii="Times New Roman" w:hAnsi="Times New Roman" w:eastAsia="经典等线简"/>
          <w:b/>
          <w:snapToGrid w:val="0"/>
          <w:sz w:val="30"/>
        </w:rPr>
      </w:pPr>
    </w:p>
    <w:p/>
    <w:p>
      <w:pPr>
        <w:pStyle w:val="28"/>
        <w:adjustRightInd w:val="0"/>
        <w:snapToGrid w:val="0"/>
        <w:spacing w:line="300" w:lineRule="auto"/>
        <w:ind w:hanging="835"/>
        <w:jc w:val="center"/>
        <w:rPr>
          <w:rFonts w:asciiTheme="minorEastAsia" w:hAnsiTheme="minorEastAsia" w:eastAsiaTheme="minorEastAsia"/>
          <w:b/>
          <w:bCs/>
          <w:szCs w:val="21"/>
        </w:rPr>
      </w:pPr>
      <w:r>
        <w:rPr>
          <w:rFonts w:hint="eastAsia"/>
          <w:b/>
          <w:snapToGrid w:val="0"/>
          <w:sz w:val="30"/>
        </w:rPr>
        <w:t>二〇二二年七月</w:t>
      </w:r>
      <w:r>
        <w:rPr>
          <w:b/>
          <w:kern w:val="0"/>
          <w:sz w:val="28"/>
          <w:szCs w:val="28"/>
        </w:rPr>
        <w:br w:type="page"/>
      </w: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第五十七条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二、《深圳经济特区政府采购条例实施细则》第七十六条 供应商有下列行为之一的，由主管部门记入供应商诚信档案并作出以下处罚：</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 xml:space="preserve">第七十七条 供应商有下列行为之一的，属于情节严重，由市场监管部门依法吊销其营业执照，主管部门取消其参与本市政府采购的资格，并作出以下处罚： </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第七十九条 供应商有下列情形的，属于采购条例所称的串通投标行为，按照采购条例第五十七条有关规定处理：</w:t>
      </w:r>
    </w:p>
    <w:p>
      <w:pPr>
        <w:spacing w:line="440" w:lineRule="exact"/>
        <w:ind w:firstLine="480" w:firstLineChars="200"/>
        <w:rPr>
          <w:rFonts w:ascii="仿宋" w:hAnsi="仿宋" w:eastAsia="仿宋"/>
          <w:sz w:val="24"/>
        </w:rPr>
      </w:pPr>
      <w:r>
        <w:rPr>
          <w:rFonts w:hint="eastAsia" w:ascii="仿宋" w:hAnsi="仿宋" w:eastAsia="仿宋"/>
          <w:sz w:val="24"/>
        </w:rPr>
        <w:t>（一）投标供应商之间相互约定给予未中标的供应商利益补偿；</w:t>
      </w:r>
    </w:p>
    <w:p>
      <w:pPr>
        <w:spacing w:line="440" w:lineRule="exact"/>
        <w:ind w:firstLine="480" w:firstLineChars="200"/>
        <w:rPr>
          <w:rFonts w:ascii="仿宋" w:hAnsi="仿宋" w:eastAsia="仿宋"/>
          <w:sz w:val="24"/>
        </w:rPr>
      </w:pPr>
      <w:r>
        <w:rPr>
          <w:rFonts w:hint="eastAsia" w:ascii="仿宋" w:hAnsi="仿宋" w:eastAsia="仿宋"/>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0" w:firstLineChars="200"/>
        <w:rPr>
          <w:rFonts w:ascii="仿宋" w:hAnsi="仿宋" w:eastAsia="仿宋"/>
          <w:sz w:val="24"/>
        </w:rPr>
      </w:pPr>
      <w:r>
        <w:rPr>
          <w:rFonts w:hint="eastAsia" w:ascii="仿宋" w:hAnsi="仿宋" w:eastAsia="仿宋"/>
          <w:sz w:val="24"/>
        </w:rPr>
        <w:t>（三）不同投标供应商的投标文件由同一单位或者同一人编制，或者由同一人分阶段参与编制的；</w:t>
      </w:r>
    </w:p>
    <w:p>
      <w:pPr>
        <w:spacing w:line="440" w:lineRule="exact"/>
        <w:ind w:firstLine="480" w:firstLineChars="200"/>
        <w:rPr>
          <w:rFonts w:ascii="仿宋" w:hAnsi="仿宋" w:eastAsia="仿宋"/>
          <w:sz w:val="24"/>
        </w:rPr>
      </w:pPr>
      <w:r>
        <w:rPr>
          <w:rFonts w:hint="eastAsia" w:ascii="仿宋" w:hAnsi="仿宋" w:eastAsia="仿宋"/>
          <w:sz w:val="24"/>
        </w:rPr>
        <w:t>（四）不同投标供应商的投标文件或部分投标文件相互混装；</w:t>
      </w:r>
    </w:p>
    <w:p>
      <w:pPr>
        <w:spacing w:line="440" w:lineRule="exact"/>
        <w:ind w:firstLine="480" w:firstLineChars="200"/>
        <w:rPr>
          <w:rFonts w:ascii="仿宋" w:hAnsi="仿宋" w:eastAsia="仿宋"/>
          <w:sz w:val="24"/>
        </w:rPr>
      </w:pPr>
      <w:r>
        <w:rPr>
          <w:rFonts w:hint="eastAsia" w:ascii="仿宋" w:hAnsi="仿宋" w:eastAsia="仿宋"/>
          <w:sz w:val="24"/>
        </w:rPr>
        <w:t>（五）不同投标供应商的投标文件内容存在非正常一致；</w:t>
      </w:r>
    </w:p>
    <w:p>
      <w:pPr>
        <w:spacing w:line="440" w:lineRule="exact"/>
        <w:ind w:firstLine="480" w:firstLineChars="200"/>
        <w:rPr>
          <w:rFonts w:ascii="仿宋" w:hAnsi="仿宋" w:eastAsia="仿宋"/>
          <w:sz w:val="24"/>
        </w:rPr>
      </w:pPr>
      <w:r>
        <w:rPr>
          <w:rFonts w:hint="eastAsia" w:ascii="仿宋" w:hAnsi="仿宋" w:eastAsia="仿宋"/>
          <w:sz w:val="24"/>
        </w:rPr>
        <w:t>（六）由同一单位工作人员为两家以上（含两家）供应商进行同一项投标活动的；</w:t>
      </w:r>
    </w:p>
    <w:p>
      <w:pPr>
        <w:spacing w:line="440" w:lineRule="exact"/>
        <w:ind w:firstLine="480" w:firstLineChars="200"/>
        <w:rPr>
          <w:rFonts w:ascii="仿宋" w:hAnsi="仿宋" w:eastAsia="仿宋"/>
          <w:sz w:val="24"/>
        </w:rPr>
      </w:pPr>
      <w:r>
        <w:rPr>
          <w:rFonts w:hint="eastAsia" w:ascii="仿宋" w:hAnsi="仿宋" w:eastAsia="仿宋"/>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第八十一条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三、根据《中华人民共和国政府采购法实施条例》第十八条规定：“单位负责人为同一人或者存在直接控股、管理关系的不同供应商，不得参加同一合同项下的政府采购活动。”</w:t>
      </w: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投标供应商涉嫌存在串通投标等违法行为的，将书面报告财政主管部门依法处理。</w:t>
      </w:r>
      <w:r>
        <w:rPr>
          <w:rFonts w:hint="eastAsia" w:ascii="仿宋" w:hAnsi="仿宋" w:eastAsia="仿宋"/>
          <w:sz w:val="24"/>
        </w:rPr>
        <w:cr/>
      </w:r>
    </w:p>
    <w:sdt>
      <w:sdtPr>
        <w:rPr>
          <w:rFonts w:ascii="Times New Roman" w:hAnsi="Times New Roman" w:eastAsia="宋体" w:cs="Times New Roman"/>
          <w:b w:val="0"/>
          <w:bCs w:val="0"/>
          <w:iCs/>
          <w:smallCaps/>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iCs w:val="0"/>
          <w:smallCaps/>
          <w:color w:val="auto"/>
          <w:kern w:val="2"/>
          <w:sz w:val="21"/>
          <w:szCs w:val="24"/>
          <w:lang w:val="en-US"/>
        </w:rPr>
      </w:sdtEndPr>
      <w:sdtContent>
        <w:p>
          <w:pPr>
            <w:pStyle w:val="504"/>
            <w:jc w:val="center"/>
            <w:rPr>
              <w:color w:val="auto"/>
              <w:lang w:val="zh-CN"/>
            </w:rPr>
          </w:pPr>
          <w:r>
            <w:rPr>
              <w:color w:val="auto"/>
              <w:lang w:val="zh-CN"/>
            </w:rPr>
            <w:t>目录</w:t>
          </w:r>
        </w:p>
        <w:p>
          <w:pPr>
            <w:rPr>
              <w:lang w:val="zh-CN"/>
            </w:rPr>
          </w:pPr>
        </w:p>
        <w:p>
          <w:pPr>
            <w:pStyle w:val="34"/>
            <w:tabs>
              <w:tab w:val="right" w:leader="dot" w:pos="9628"/>
            </w:tabs>
            <w:spacing w:line="360" w:lineRule="exact"/>
            <w:rPr>
              <w:rFonts w:ascii="仿宋_GB2312" w:eastAsia="仿宋_GB2312" w:hAnsiTheme="minorHAnsi" w:cstheme="minorBidi"/>
              <w:b w:val="0"/>
              <w:bCs w:val="0"/>
              <w:caps w:val="0"/>
              <w:sz w:val="24"/>
            </w:rPr>
          </w:pPr>
          <w:r>
            <w:rPr>
              <w:rFonts w:hint="eastAsia" w:ascii="仿宋_GB2312" w:eastAsia="仿宋_GB2312"/>
              <w:sz w:val="24"/>
            </w:rPr>
            <w:fldChar w:fldCharType="begin"/>
          </w:r>
          <w:r>
            <w:rPr>
              <w:rFonts w:hint="eastAsia" w:ascii="仿宋_GB2312" w:eastAsia="仿宋_GB2312"/>
              <w:sz w:val="24"/>
            </w:rPr>
            <w:instrText xml:space="preserve"> TOC \o "1-3" \h \z \u </w:instrText>
          </w:r>
          <w:r>
            <w:rPr>
              <w:rFonts w:hint="eastAsia" w:ascii="仿宋_GB2312" w:eastAsia="仿宋_GB2312"/>
              <w:sz w:val="24"/>
            </w:rPr>
            <w:fldChar w:fldCharType="separate"/>
          </w:r>
          <w:r>
            <w:fldChar w:fldCharType="begin"/>
          </w:r>
          <w:r>
            <w:instrText xml:space="preserve"> HYPERLINK \l "_Toc107846018" </w:instrText>
          </w:r>
          <w:r>
            <w:fldChar w:fldCharType="separate"/>
          </w:r>
          <w:r>
            <w:rPr>
              <w:rStyle w:val="57"/>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_Toc107846018 \h </w:instrText>
          </w:r>
          <w:r>
            <w:rPr>
              <w:rFonts w:hint="eastAsia" w:ascii="仿宋_GB2312" w:eastAsia="仿宋_GB2312"/>
              <w:sz w:val="24"/>
            </w:rPr>
            <w:fldChar w:fldCharType="separate"/>
          </w:r>
          <w:r>
            <w:rPr>
              <w:rFonts w:hint="eastAsia" w:ascii="仿宋_GB2312" w:eastAsia="仿宋_GB2312"/>
              <w:sz w:val="24"/>
            </w:rPr>
            <w:t>5</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"_Toc107846019" </w:instrText>
          </w:r>
          <w:r>
            <w:fldChar w:fldCharType="separate"/>
          </w:r>
          <w:r>
            <w:rPr>
              <w:rStyle w:val="57"/>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_Toc107846019 \h </w:instrText>
          </w:r>
          <w:r>
            <w:rPr>
              <w:rFonts w:hint="eastAsia" w:ascii="仿宋_GB2312" w:eastAsia="仿宋_GB2312"/>
              <w:sz w:val="24"/>
            </w:rPr>
            <w:fldChar w:fldCharType="separate"/>
          </w:r>
          <w:r>
            <w:rPr>
              <w:rFonts w:hint="eastAsia" w:ascii="仿宋_GB2312" w:eastAsia="仿宋_GB2312"/>
              <w:sz w:val="24"/>
            </w:rPr>
            <w:t>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"_Toc107846020" </w:instrText>
          </w:r>
          <w:r>
            <w:fldChar w:fldCharType="separate"/>
          </w:r>
          <w:r>
            <w:rPr>
              <w:rStyle w:val="57"/>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_Toc107846020 \h </w:instrText>
          </w:r>
          <w:r>
            <w:rPr>
              <w:rFonts w:hint="eastAsia" w:ascii="仿宋_GB2312" w:eastAsia="仿宋_GB2312"/>
              <w:sz w:val="24"/>
            </w:rPr>
            <w:fldChar w:fldCharType="separate"/>
          </w:r>
          <w:r>
            <w:rPr>
              <w:rFonts w:hint="eastAsia" w:ascii="仿宋_GB2312" w:eastAsia="仿宋_GB2312"/>
              <w:sz w:val="24"/>
            </w:rPr>
            <w:t>14</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"_Toc107846021" </w:instrText>
          </w:r>
          <w:r>
            <w:fldChar w:fldCharType="separate"/>
          </w:r>
          <w:r>
            <w:rPr>
              <w:rStyle w:val="57"/>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_Toc107846021 \h </w:instrText>
          </w:r>
          <w:r>
            <w:rPr>
              <w:rFonts w:hint="eastAsia" w:ascii="仿宋_GB2312" w:eastAsia="仿宋_GB2312"/>
              <w:sz w:val="24"/>
            </w:rPr>
            <w:fldChar w:fldCharType="separate"/>
          </w:r>
          <w:r>
            <w:rPr>
              <w:rFonts w:hint="eastAsia" w:ascii="仿宋_GB2312" w:eastAsia="仿宋_GB2312"/>
              <w:sz w:val="24"/>
            </w:rPr>
            <w:t>15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"_Toc107846022" </w:instrText>
          </w:r>
          <w:r>
            <w:fldChar w:fldCharType="separate"/>
          </w:r>
          <w:r>
            <w:rPr>
              <w:rStyle w:val="57"/>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_Toc107846022 \h </w:instrText>
          </w:r>
          <w:r>
            <w:rPr>
              <w:rFonts w:hint="eastAsia" w:ascii="仿宋_GB2312" w:eastAsia="仿宋_GB2312"/>
              <w:sz w:val="24"/>
            </w:rPr>
            <w:fldChar w:fldCharType="separate"/>
          </w:r>
          <w:r>
            <w:rPr>
              <w:rFonts w:hint="eastAsia" w:ascii="仿宋_GB2312" w:eastAsia="仿宋_GB2312"/>
              <w:sz w:val="24"/>
            </w:rPr>
            <w:t>15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"_Toc107846023" </w:instrText>
          </w:r>
          <w:r>
            <w:fldChar w:fldCharType="separate"/>
          </w:r>
          <w:r>
            <w:rPr>
              <w:rStyle w:val="57"/>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_Toc107846023 \h </w:instrText>
          </w:r>
          <w:r>
            <w:rPr>
              <w:rFonts w:hint="eastAsia" w:ascii="仿宋_GB2312" w:eastAsia="仿宋_GB2312"/>
              <w:sz w:val="24"/>
            </w:rPr>
            <w:fldChar w:fldCharType="separate"/>
          </w:r>
          <w:r>
            <w:rPr>
              <w:rFonts w:hint="eastAsia" w:ascii="仿宋_GB2312" w:eastAsia="仿宋_GB2312"/>
              <w:sz w:val="24"/>
            </w:rPr>
            <w:t>15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"_Toc107846024" </w:instrText>
          </w:r>
          <w:r>
            <w:fldChar w:fldCharType="separate"/>
          </w:r>
          <w:r>
            <w:rPr>
              <w:rStyle w:val="57"/>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_Toc107846024 \h </w:instrText>
          </w:r>
          <w:r>
            <w:rPr>
              <w:rFonts w:hint="eastAsia" w:ascii="仿宋_GB2312" w:eastAsia="仿宋_GB2312"/>
              <w:sz w:val="24"/>
            </w:rPr>
            <w:fldChar w:fldCharType="separate"/>
          </w:r>
          <w:r>
            <w:rPr>
              <w:rFonts w:hint="eastAsia" w:ascii="仿宋_GB2312" w:eastAsia="仿宋_GB2312"/>
              <w:sz w:val="24"/>
            </w:rPr>
            <w:t>15</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60" w:lineRule="exact"/>
            <w:rPr>
              <w:rFonts w:ascii="仿宋_GB2312" w:eastAsia="仿宋_GB2312" w:hAnsiTheme="minorHAnsi" w:cstheme="minorBidi"/>
              <w:iCs w:val="0"/>
              <w:sz w:val="24"/>
            </w:rPr>
          </w:pPr>
          <w:r>
            <w:fldChar w:fldCharType="begin"/>
          </w:r>
          <w:r>
            <w:instrText xml:space="preserve"> HYPERLINK \l "_Toc107846025" </w:instrText>
          </w:r>
          <w:r>
            <w:fldChar w:fldCharType="separate"/>
          </w:r>
          <w:r>
            <w:rPr>
              <w:rStyle w:val="57"/>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_Toc107846025 \h </w:instrText>
          </w:r>
          <w:r>
            <w:rPr>
              <w:rFonts w:hint="eastAsia" w:ascii="仿宋_GB2312" w:eastAsia="仿宋_GB2312"/>
              <w:sz w:val="24"/>
            </w:rPr>
            <w:fldChar w:fldCharType="separate"/>
          </w:r>
          <w:r>
            <w:rPr>
              <w:rFonts w:hint="eastAsia" w:ascii="仿宋_GB2312" w:eastAsia="仿宋_GB2312"/>
              <w:sz w:val="24"/>
            </w:rPr>
            <w:t>17</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60" w:lineRule="exact"/>
            <w:rPr>
              <w:rFonts w:ascii="仿宋_GB2312" w:eastAsia="仿宋_GB2312" w:hAnsiTheme="minorHAnsi" w:cstheme="minorBidi"/>
              <w:iCs w:val="0"/>
              <w:sz w:val="24"/>
            </w:rPr>
          </w:pPr>
          <w:r>
            <w:fldChar w:fldCharType="begin"/>
          </w:r>
          <w:r>
            <w:instrText xml:space="preserve"> HYPERLINK \l "_Toc107846026" </w:instrText>
          </w:r>
          <w:r>
            <w:fldChar w:fldCharType="separate"/>
          </w:r>
          <w:r>
            <w:rPr>
              <w:rStyle w:val="57"/>
              <w:rFonts w:hint="eastAsia" w:ascii="仿宋_GB2312" w:eastAsia="仿宋_GB2312" w:hAnsiTheme="minorEastAsia"/>
              <w:sz w:val="24"/>
            </w:rPr>
            <w:t>2、政府采购扶持政策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_Toc107846026 \h </w:instrText>
          </w:r>
          <w:r>
            <w:rPr>
              <w:rFonts w:hint="eastAsia" w:ascii="仿宋_GB2312" w:eastAsia="仿宋_GB2312"/>
              <w:sz w:val="24"/>
            </w:rPr>
            <w:fldChar w:fldCharType="separate"/>
          </w:r>
          <w:r>
            <w:rPr>
              <w:rFonts w:hint="eastAsia" w:ascii="仿宋_GB2312" w:eastAsia="仿宋_GB2312"/>
              <w:sz w:val="24"/>
            </w:rPr>
            <w:t>17</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"_Toc107846027" </w:instrText>
          </w:r>
          <w:r>
            <w:fldChar w:fldCharType="separate"/>
          </w:r>
          <w:r>
            <w:rPr>
              <w:rStyle w:val="57"/>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_Toc107846027 \h </w:instrText>
          </w:r>
          <w:r>
            <w:rPr>
              <w:rFonts w:hint="eastAsia" w:ascii="仿宋_GB2312" w:eastAsia="仿宋_GB2312"/>
              <w:sz w:val="24"/>
            </w:rPr>
            <w:fldChar w:fldCharType="separate"/>
          </w:r>
          <w:r>
            <w:rPr>
              <w:rFonts w:hint="eastAsia"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"_Toc107846028" </w:instrText>
          </w:r>
          <w:r>
            <w:fldChar w:fldCharType="separate"/>
          </w:r>
          <w:r>
            <w:rPr>
              <w:rStyle w:val="57"/>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_Toc107846028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"_Toc107846029" </w:instrText>
          </w:r>
          <w:r>
            <w:fldChar w:fldCharType="separate"/>
          </w:r>
          <w:r>
            <w:rPr>
              <w:rStyle w:val="57"/>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_Toc107846029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"_Toc107846030" </w:instrText>
          </w:r>
          <w:r>
            <w:fldChar w:fldCharType="separate"/>
          </w:r>
          <w:r>
            <w:rPr>
              <w:rStyle w:val="57"/>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_Toc107846030 \h </w:instrText>
          </w:r>
          <w:r>
            <w:rPr>
              <w:rFonts w:hint="eastAsia" w:ascii="仿宋_GB2312" w:eastAsia="仿宋_GB2312"/>
              <w:sz w:val="24"/>
            </w:rPr>
            <w:fldChar w:fldCharType="separate"/>
          </w:r>
          <w:r>
            <w:rPr>
              <w:rFonts w:hint="eastAsia"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"_Toc107846031" </w:instrText>
          </w:r>
          <w:r>
            <w:fldChar w:fldCharType="separate"/>
          </w:r>
          <w:r>
            <w:rPr>
              <w:rStyle w:val="57"/>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_Toc107846031 \h </w:instrText>
          </w:r>
          <w:r>
            <w:rPr>
              <w:rFonts w:hint="eastAsia" w:ascii="仿宋_GB2312" w:eastAsia="仿宋_GB2312"/>
              <w:sz w:val="24"/>
            </w:rPr>
            <w:fldChar w:fldCharType="separate"/>
          </w:r>
          <w:r>
            <w:rPr>
              <w:rFonts w:hint="eastAsia" w:ascii="仿宋_GB2312" w:eastAsia="仿宋_GB2312"/>
              <w:sz w:val="24"/>
            </w:rPr>
            <w:t>23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"_Toc107846032" </w:instrText>
          </w:r>
          <w:r>
            <w:fldChar w:fldCharType="separate"/>
          </w:r>
          <w:r>
            <w:rPr>
              <w:rStyle w:val="57"/>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_Toc107846032 \h </w:instrText>
          </w:r>
          <w:r>
            <w:rPr>
              <w:rFonts w:hint="eastAsia" w:ascii="仿宋_GB2312" w:eastAsia="仿宋_GB2312"/>
              <w:sz w:val="24"/>
            </w:rPr>
            <w:fldChar w:fldCharType="separate"/>
          </w:r>
          <w:r>
            <w:rPr>
              <w:rFonts w:hint="eastAsia" w:ascii="仿宋_GB2312" w:eastAsia="仿宋_GB2312"/>
              <w:sz w:val="24"/>
            </w:rPr>
            <w:t>25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"_Toc107846033" </w:instrText>
          </w:r>
          <w:r>
            <w:fldChar w:fldCharType="separate"/>
          </w:r>
          <w:r>
            <w:rPr>
              <w:rStyle w:val="57"/>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_Toc107846033 \h </w:instrText>
          </w:r>
          <w:r>
            <w:rPr>
              <w:rFonts w:hint="eastAsia" w:ascii="仿宋_GB2312" w:eastAsia="仿宋_GB2312"/>
              <w:sz w:val="24"/>
            </w:rPr>
            <w:fldChar w:fldCharType="separate"/>
          </w:r>
          <w:r>
            <w:rPr>
              <w:rFonts w:hint="eastAsia" w:ascii="仿宋_GB2312" w:eastAsia="仿宋_GB2312"/>
              <w:sz w:val="24"/>
            </w:rPr>
            <w:t>27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"_Toc107846034" </w:instrText>
          </w:r>
          <w:r>
            <w:fldChar w:fldCharType="separate"/>
          </w:r>
          <w:r>
            <w:rPr>
              <w:rStyle w:val="57"/>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_Toc107846034 \h </w:instrText>
          </w:r>
          <w:r>
            <w:rPr>
              <w:rFonts w:hint="eastAsia" w:ascii="仿宋_GB2312" w:eastAsia="仿宋_GB2312"/>
              <w:sz w:val="24"/>
            </w:rPr>
            <w:fldChar w:fldCharType="separate"/>
          </w:r>
          <w:r>
            <w:rPr>
              <w:rFonts w:hint="eastAsia" w:ascii="仿宋_GB2312" w:eastAsia="仿宋_GB2312"/>
              <w:sz w:val="24"/>
            </w:rPr>
            <w:t>29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"_Toc107846035" </w:instrText>
          </w:r>
          <w:r>
            <w:fldChar w:fldCharType="separate"/>
          </w:r>
          <w:r>
            <w:rPr>
              <w:rStyle w:val="57"/>
              <w:rFonts w:hint="eastAsia" w:ascii="仿宋_GB2312" w:eastAsia="仿宋_GB2312"/>
              <w:sz w:val="24"/>
            </w:rPr>
            <w:t>七、质疑处理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_Toc107846035 \h </w:instrText>
          </w:r>
          <w:r>
            <w:rPr>
              <w:rFonts w:hint="eastAsia" w:ascii="仿宋_GB2312" w:eastAsia="仿宋_GB2312"/>
              <w:sz w:val="24"/>
            </w:rPr>
            <w:fldChar w:fldCharType="separate"/>
          </w:r>
          <w:r>
            <w:rPr>
              <w:rFonts w:hint="eastAsia" w:ascii="仿宋_GB2312" w:eastAsia="仿宋_GB2312"/>
              <w:sz w:val="24"/>
            </w:rPr>
            <w:t>30</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"_Toc107846036" </w:instrText>
          </w:r>
          <w:r>
            <w:fldChar w:fldCharType="separate"/>
          </w:r>
          <w:r>
            <w:rPr>
              <w:rStyle w:val="57"/>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_Toc107846036 \h </w:instrText>
          </w:r>
          <w:r>
            <w:rPr>
              <w:rFonts w:hint="eastAsia" w:ascii="仿宋_GB2312" w:eastAsia="仿宋_GB2312"/>
              <w:sz w:val="24"/>
            </w:rPr>
            <w:fldChar w:fldCharType="separate"/>
          </w:r>
          <w:r>
            <w:rPr>
              <w:rFonts w:hint="eastAsia" w:ascii="仿宋_GB2312" w:eastAsia="仿宋_GB2312"/>
              <w:sz w:val="24"/>
            </w:rPr>
            <w:t>33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"_Toc107846037" </w:instrText>
          </w:r>
          <w:r>
            <w:fldChar w:fldCharType="separate"/>
          </w:r>
          <w:r>
            <w:rPr>
              <w:rStyle w:val="57"/>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_Toc107846037 \h </w:instrText>
          </w:r>
          <w:r>
            <w:rPr>
              <w:rFonts w:hint="eastAsia" w:ascii="仿宋_GB2312" w:eastAsia="仿宋_GB2312"/>
              <w:sz w:val="24"/>
            </w:rPr>
            <w:fldChar w:fldCharType="separate"/>
          </w:r>
          <w:r>
            <w:rPr>
              <w:rFonts w:hint="eastAsia" w:ascii="仿宋_GB2312" w:eastAsia="仿宋_GB2312"/>
              <w:sz w:val="24"/>
            </w:rPr>
            <w:t>33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"_Toc107846038" </w:instrText>
          </w:r>
          <w:r>
            <w:fldChar w:fldCharType="separate"/>
          </w:r>
          <w:r>
            <w:rPr>
              <w:rStyle w:val="57"/>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_Toc107846038 \h </w:instrText>
          </w:r>
          <w:r>
            <w:rPr>
              <w:rFonts w:hint="eastAsia" w:ascii="仿宋_GB2312" w:eastAsia="仿宋_GB2312"/>
              <w:sz w:val="24"/>
            </w:rPr>
            <w:fldChar w:fldCharType="separate"/>
          </w:r>
          <w:r>
            <w:rPr>
              <w:rFonts w:hint="eastAsia" w:ascii="仿宋_GB2312" w:eastAsia="仿宋_GB2312"/>
              <w:sz w:val="24"/>
            </w:rPr>
            <w:t>35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"_Toc107846039" </w:instrText>
          </w:r>
          <w:r>
            <w:fldChar w:fldCharType="separate"/>
          </w:r>
          <w:r>
            <w:rPr>
              <w:rStyle w:val="57"/>
              <w:rFonts w:hint="eastAsia" w:ascii="仿宋_GB2312" w:hAnsi="仿宋" w:eastAsia="仿宋_GB2312"/>
              <w:sz w:val="24"/>
            </w:rPr>
            <w:t>评标指引表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_Toc107846039 \h </w:instrText>
          </w:r>
          <w:r>
            <w:rPr>
              <w:rFonts w:hint="eastAsia" w:ascii="仿宋_GB2312" w:eastAsia="仿宋_GB2312"/>
              <w:sz w:val="24"/>
            </w:rPr>
            <w:fldChar w:fldCharType="separate"/>
          </w:r>
          <w:r>
            <w:rPr>
              <w:rFonts w:hint="eastAsia" w:ascii="仿宋_GB2312" w:eastAsia="仿宋_GB2312"/>
              <w:sz w:val="24"/>
            </w:rPr>
            <w:t>36</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"_Toc107846040" </w:instrText>
          </w:r>
          <w:r>
            <w:fldChar w:fldCharType="separate"/>
          </w:r>
          <w:r>
            <w:rPr>
              <w:rStyle w:val="57"/>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_Toc107846040 \h </w:instrText>
          </w:r>
          <w:r>
            <w:rPr>
              <w:rFonts w:hint="eastAsia" w:ascii="仿宋_GB2312" w:eastAsia="仿宋_GB2312"/>
              <w:sz w:val="24"/>
            </w:rPr>
            <w:fldChar w:fldCharType="separate"/>
          </w:r>
          <w:r>
            <w:rPr>
              <w:rFonts w:hint="eastAsia" w:ascii="仿宋_GB2312" w:eastAsia="仿宋_GB2312"/>
              <w:sz w:val="24"/>
            </w:rPr>
            <w:t>57</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"_Toc107846041" </w:instrText>
          </w:r>
          <w:r>
            <w:fldChar w:fldCharType="separate"/>
          </w:r>
          <w:r>
            <w:rPr>
              <w:rStyle w:val="57"/>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_Toc107846041 \h </w:instrText>
          </w:r>
          <w:r>
            <w:rPr>
              <w:rFonts w:hint="eastAsia" w:ascii="仿宋_GB2312" w:eastAsia="仿宋_GB2312"/>
              <w:sz w:val="24"/>
            </w:rPr>
            <w:fldChar w:fldCharType="separate"/>
          </w:r>
          <w:r>
            <w:rPr>
              <w:rFonts w:hint="eastAsia" w:ascii="仿宋_GB2312" w:eastAsia="仿宋_GB2312"/>
              <w:sz w:val="24"/>
            </w:rPr>
            <w:t>61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"_Toc107846042" </w:instrText>
          </w:r>
          <w:r>
            <w:fldChar w:fldCharType="separate"/>
          </w:r>
          <w:r>
            <w:rPr>
              <w:rStyle w:val="57"/>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_Toc107846042 \h </w:instrText>
          </w:r>
          <w:r>
            <w:rPr>
              <w:rFonts w:hint="eastAsia" w:ascii="仿宋_GB2312" w:eastAsia="仿宋_GB2312"/>
              <w:sz w:val="24"/>
            </w:rPr>
            <w:fldChar w:fldCharType="separate"/>
          </w:r>
          <w:r>
            <w:rPr>
              <w:rFonts w:hint="eastAsia" w:ascii="仿宋_GB2312" w:eastAsia="仿宋_GB2312"/>
              <w:sz w:val="24"/>
            </w:rPr>
            <w:t>61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"_Toc107846043" </w:instrText>
          </w:r>
          <w:r>
            <w:fldChar w:fldCharType="separate"/>
          </w:r>
          <w:r>
            <w:rPr>
              <w:rStyle w:val="57"/>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_Toc107846043 \h </w:instrText>
          </w:r>
          <w:r>
            <w:rPr>
              <w:rFonts w:hint="eastAsia" w:ascii="仿宋_GB2312" w:eastAsia="仿宋_GB2312"/>
              <w:sz w:val="24"/>
            </w:rPr>
            <w:fldChar w:fldCharType="separate"/>
          </w:r>
          <w:r>
            <w:rPr>
              <w:rFonts w:hint="eastAsia" w:ascii="仿宋_GB2312" w:eastAsia="仿宋_GB2312"/>
              <w:sz w:val="24"/>
            </w:rPr>
            <w:t>65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"_Toc107846044" </w:instrText>
          </w:r>
          <w:r>
            <w:fldChar w:fldCharType="separate"/>
          </w:r>
          <w:r>
            <w:rPr>
              <w:rStyle w:val="57"/>
              <w:rFonts w:hint="eastAsia" w:ascii="仿宋_GB2312" w:eastAsia="仿宋_GB2312"/>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_Toc107846044 \h </w:instrText>
          </w:r>
          <w:r>
            <w:rPr>
              <w:rFonts w:hint="eastAsia" w:ascii="仿宋_GB2312" w:eastAsia="仿宋_GB2312"/>
              <w:sz w:val="24"/>
            </w:rPr>
            <w:fldChar w:fldCharType="separate"/>
          </w:r>
          <w:r>
            <w:rPr>
              <w:rFonts w:hint="eastAsia" w:ascii="仿宋_GB2312" w:eastAsia="仿宋_GB2312"/>
              <w:sz w:val="24"/>
            </w:rPr>
            <w:t>68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pPr>
          <w:r>
            <w:fldChar w:fldCharType="begin"/>
          </w:r>
          <w:r>
            <w:instrText xml:space="preserve"> HYPERLINK \l "_Toc107846045" </w:instrText>
          </w:r>
          <w:r>
            <w:fldChar w:fldCharType="separate"/>
          </w:r>
          <w:r>
            <w:rPr>
              <w:rStyle w:val="57"/>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_Toc107846045 \h </w:instrText>
          </w:r>
          <w:r>
            <w:rPr>
              <w:rFonts w:hint="eastAsia" w:ascii="仿宋_GB2312" w:eastAsia="仿宋_GB2312"/>
              <w:sz w:val="24"/>
            </w:rPr>
            <w:fldChar w:fldCharType="separate"/>
          </w:r>
          <w:r>
            <w:rPr>
              <w:rFonts w:hint="eastAsia" w:ascii="仿宋_GB2312" w:eastAsia="仿宋_GB2312"/>
              <w:sz w:val="24"/>
            </w:rPr>
            <w:t>71</w:t>
          </w:r>
          <w:r>
            <w:rPr>
              <w:rFonts w:hint="eastAsia" w:ascii="仿宋_GB2312" w:eastAsia="仿宋_GB2312"/>
              <w:sz w:val="24"/>
            </w:rPr>
            <w:fldChar w:fldCharType="end"/>
          </w:r>
          <w:r>
            <w:rPr>
              <w:rFonts w:hint="eastAsia" w:ascii="仿宋_GB2312" w:eastAsia="仿宋_GB2312"/>
              <w:sz w:val="24"/>
            </w:rPr>
            <w:fldChar w:fldCharType="end"/>
          </w:r>
          <w:r>
            <w:rPr>
              <w:rFonts w:hint="eastAsia" w:ascii="仿宋_GB2312" w:eastAsia="仿宋_GB2312"/>
              <w:sz w:val="24"/>
            </w:rPr>
            <w:fldChar w:fldCharType="end"/>
          </w:r>
        </w:p>
      </w:sdtContent>
    </w:sdt>
    <w:p>
      <w:pPr>
        <w:pStyle w:val="41"/>
        <w:tabs>
          <w:tab w:val="right" w:leader="dot" w:pos="9628"/>
        </w:tabs>
        <w:spacing w:line="360" w:lineRule="exact"/>
      </w:pPr>
      <w:r>
        <w:br w:type="page"/>
      </w:r>
    </w:p>
    <w:p>
      <w:pPr>
        <w:pStyle w:val="2"/>
      </w:pPr>
      <w:bookmarkStart w:id="0" w:name="_Toc107846018"/>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rPr>
        <w:t>鼻阻力仪采购</w:t>
      </w:r>
      <w:r>
        <w:rPr>
          <w:rFonts w:hint="eastAsia" w:ascii="宋体" w:hAnsi="宋体" w:cs="Arial Unicode MS"/>
          <w:snapToGrid w:val="0"/>
          <w:kern w:val="0"/>
          <w:szCs w:val="21"/>
        </w:rPr>
        <w:t>招标项目的潜在投标人应在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2022年</w:t>
      </w:r>
      <w:r>
        <w:rPr>
          <w:rFonts w:hint="eastAsia" w:ascii="宋体" w:hAnsi="宋体" w:cs="Arial Unicode MS"/>
          <w:snapToGrid w:val="0"/>
          <w:kern w:val="0"/>
          <w:szCs w:val="21"/>
          <w:u w:val="single"/>
          <w:lang w:val="en-US" w:eastAsia="zh-CN"/>
        </w:rPr>
        <w:t>8</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11</w:t>
      </w:r>
      <w:r>
        <w:rPr>
          <w:rFonts w:hint="eastAsia" w:ascii="宋体" w:hAnsi="宋体" w:cs="Arial Unicode MS"/>
          <w:snapToGrid w:val="0"/>
          <w:kern w:val="0"/>
          <w:szCs w:val="21"/>
          <w:u w:val="single"/>
        </w:rPr>
        <w:t>日</w:t>
      </w:r>
      <w:r>
        <w:rPr>
          <w:rFonts w:hint="eastAsia" w:ascii="宋体" w:hAnsi="宋体" w:cs="Arial Unicode MS"/>
          <w:snapToGrid w:val="0"/>
          <w:kern w:val="0"/>
          <w:szCs w:val="21"/>
          <w:u w:val="single"/>
          <w:lang w:val="en-US" w:eastAsia="zh-CN"/>
        </w:rPr>
        <w:t>09</w:t>
      </w:r>
      <w:r>
        <w:rPr>
          <w:rFonts w:hint="eastAsia" w:ascii="宋体" w:hAnsi="宋体" w:cs="Arial Unicode MS"/>
          <w:snapToGrid w:val="0"/>
          <w:kern w:val="0"/>
          <w:szCs w:val="21"/>
          <w:u w:val="single"/>
        </w:rPr>
        <w:t>点30分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1、项目编号：</w:t>
      </w:r>
      <w:r>
        <w:rPr>
          <w:rFonts w:hint="eastAsia" w:asciiTheme="minorEastAsia" w:hAnsiTheme="minorEastAsia" w:eastAsiaTheme="minorEastAsia"/>
          <w:sz w:val="21"/>
          <w:szCs w:val="21"/>
        </w:rPr>
        <w:t>SZZZ2022-QA0165</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2、项目名称：鼻阻力仪采购</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rPr>
        <w:t xml:space="preserve"> 35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u w:val="single"/>
        </w:rPr>
        <w:t xml:space="preserve"> 35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708"/>
        <w:gridCol w:w="3261"/>
        <w:gridCol w:w="850"/>
        <w:gridCol w:w="851"/>
        <w:gridCol w:w="297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BCDEF"/>
            <w:vAlign w:val="center"/>
          </w:tcPr>
          <w:p>
            <w:pPr>
              <w:pStyle w:val="45"/>
              <w:spacing w:before="0" w:beforeAutospacing="0" w:after="0" w:afterAutospacing="0" w:line="360" w:lineRule="auto"/>
              <w:jc w:val="center"/>
              <w:rPr>
                <w:sz w:val="21"/>
              </w:rPr>
            </w:pPr>
            <w:r>
              <w:rPr>
                <w:rFonts w:hint="eastAsia"/>
                <w:sz w:val="21"/>
              </w:rPr>
              <w:t>序号</w:t>
            </w:r>
          </w:p>
        </w:tc>
        <w:tc>
          <w:tcPr>
            <w:tcW w:w="3261" w:type="dxa"/>
            <w:shd w:val="clear" w:color="auto" w:fill="ABCDEF"/>
            <w:vAlign w:val="center"/>
          </w:tcPr>
          <w:p>
            <w:pPr>
              <w:pStyle w:val="45"/>
              <w:spacing w:line="360" w:lineRule="auto"/>
              <w:jc w:val="center"/>
              <w:rPr>
                <w:sz w:val="21"/>
              </w:rPr>
            </w:pPr>
            <w:r>
              <w:rPr>
                <w:sz w:val="21"/>
              </w:rPr>
              <w:t>标的名称</w:t>
            </w:r>
          </w:p>
        </w:tc>
        <w:tc>
          <w:tcPr>
            <w:tcW w:w="850" w:type="dxa"/>
            <w:shd w:val="clear" w:color="auto" w:fill="ABCDEF"/>
            <w:vAlign w:val="center"/>
          </w:tcPr>
          <w:p>
            <w:pPr>
              <w:pStyle w:val="45"/>
              <w:spacing w:before="0" w:beforeAutospacing="0" w:after="0" w:afterAutospacing="0" w:line="360" w:lineRule="auto"/>
              <w:jc w:val="center"/>
              <w:rPr>
                <w:sz w:val="21"/>
              </w:rPr>
            </w:pPr>
            <w:r>
              <w:rPr>
                <w:sz w:val="21"/>
              </w:rPr>
              <w:t>数量</w:t>
            </w:r>
          </w:p>
        </w:tc>
        <w:tc>
          <w:tcPr>
            <w:tcW w:w="851" w:type="dxa"/>
            <w:shd w:val="clear" w:color="auto" w:fill="ABCDEF"/>
            <w:vAlign w:val="center"/>
          </w:tcPr>
          <w:p>
            <w:pPr>
              <w:pStyle w:val="45"/>
              <w:spacing w:before="0" w:beforeAutospacing="0" w:after="0" w:afterAutospacing="0" w:line="360" w:lineRule="auto"/>
              <w:jc w:val="center"/>
              <w:rPr>
                <w:sz w:val="21"/>
              </w:rPr>
            </w:pPr>
            <w:r>
              <w:rPr>
                <w:sz w:val="21"/>
              </w:rPr>
              <w:t>单位</w:t>
            </w:r>
          </w:p>
        </w:tc>
        <w:tc>
          <w:tcPr>
            <w:tcW w:w="2977" w:type="dxa"/>
            <w:shd w:val="clear" w:color="auto" w:fill="ABCDEF"/>
            <w:vAlign w:val="center"/>
          </w:tcPr>
          <w:p>
            <w:pPr>
              <w:pStyle w:val="45"/>
              <w:spacing w:before="0" w:beforeAutospacing="0" w:after="0" w:afterAutospacing="0" w:line="360" w:lineRule="auto"/>
              <w:jc w:val="center"/>
              <w:rPr>
                <w:sz w:val="21"/>
              </w:rPr>
            </w:pPr>
            <w:r>
              <w:rPr>
                <w:rFonts w:hint="eastAsia"/>
                <w:sz w:val="21"/>
              </w:rPr>
              <w:t>简要技术需求或服务要求</w:t>
            </w:r>
          </w:p>
        </w:tc>
        <w:tc>
          <w:tcPr>
            <w:tcW w:w="1134" w:type="dxa"/>
            <w:shd w:val="clear" w:color="auto" w:fill="ABCDEF"/>
            <w:vAlign w:val="center"/>
          </w:tcPr>
          <w:p>
            <w:pPr>
              <w:pStyle w:val="45"/>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3261" w:type="dxa"/>
            <w:shd w:val="clear" w:color="auto" w:fill="auto"/>
            <w:vAlign w:val="center"/>
          </w:tcPr>
          <w:p>
            <w:pPr>
              <w:pStyle w:val="45"/>
              <w:spacing w:line="360" w:lineRule="auto"/>
              <w:jc w:val="center"/>
              <w:rPr>
                <w:rFonts w:asciiTheme="minorEastAsia" w:hAnsiTheme="minorEastAsia" w:eastAsiaTheme="minorEastAsia"/>
                <w:sz w:val="21"/>
                <w:szCs w:val="21"/>
              </w:rPr>
            </w:pPr>
            <w:r>
              <w:rPr>
                <w:rFonts w:hint="eastAsia" w:ascii="宋体" w:hAnsi="宋体" w:cs="宋体" w:eastAsiaTheme="minorEastAsia"/>
                <w:sz w:val="21"/>
                <w:szCs w:val="21"/>
              </w:rPr>
              <w:t>鼻阻力仪采购</w:t>
            </w:r>
          </w:p>
        </w:tc>
        <w:tc>
          <w:tcPr>
            <w:tcW w:w="850"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851"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eastAsiaTheme="minorEastAsia"/>
                <w:sz w:val="21"/>
                <w:szCs w:val="21"/>
              </w:rPr>
              <w:t>套</w:t>
            </w:r>
          </w:p>
        </w:tc>
        <w:tc>
          <w:tcPr>
            <w:tcW w:w="2977" w:type="dxa"/>
            <w:shd w:val="clear" w:color="auto" w:fill="auto"/>
            <w:vAlign w:val="center"/>
          </w:tcPr>
          <w:p>
            <w:pPr>
              <w:pStyle w:val="45"/>
              <w:spacing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1134" w:type="dxa"/>
            <w:shd w:val="clear" w:color="auto" w:fill="auto"/>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3"/>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7、合同履行期限：详见招标文件</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3"/>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（1）参与本项目投标前三年内，在经营活动中没有重大违法记录（须按本项目投标文件格式要求提供《政府采购投标及履约承诺函》加盖投标人公章）；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单位负责人为同一人或者存在直接控股、管理关系的不同供应商，不得参加同一合同项下的政府采购活动（须按本项目投标文件格式要求提供《股东构成审查表》和《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投标人未被列入失信被执行人、重大税收违法案件当事人名单及政府采购严重违法失信行为记录名单（“信用中国”（www.creditchina.gov.cn）“信用服务”栏的“重大税收违法失信主体”、“失信被执行人”，“中国政府采购”（www.ccgp.gov.cn）“政府采购严重违法失信行为记录名单”，“深圳信用网”（www.szcredit.com.cn）以及“深圳市政府采购监管网”（zfcg.sz.gov.cn）为投标人信用信息查询渠道，相关信息以开标当日的查询结果为准。由采购代理机构查询，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（6）本项目不接受联合体投标，不允许分包或转包；</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（7）本项目接受进口产品投标，</w:t>
      </w:r>
      <w:r>
        <w:rPr>
          <w:rFonts w:hint="eastAsia" w:ascii="宋体" w:hAnsi="宋体" w:eastAsia="宋体" w:cs="宋体"/>
          <w:sz w:val="21"/>
          <w:szCs w:val="21"/>
          <w:shd w:val="clear" w:color="auto" w:fill="FFFFFF"/>
        </w:rPr>
        <w:t>但不排斥国产产品参与竞争</w:t>
      </w:r>
      <w:r>
        <w:rPr>
          <w:rFonts w:hint="eastAsia" w:asciiTheme="minorEastAsia" w:hAnsiTheme="minorEastAsia" w:eastAsiaTheme="minorEastAsia"/>
          <w:snapToGrid w:val="0"/>
          <w:color w:val="auto"/>
          <w:sz w:val="21"/>
        </w:rPr>
        <w:t>（进口产品是指通过中国海关报关验放进入中国境内且产自关境外的产品，相关内容以“财库【2007】119号文”和“财办库【2008】248号文”的相关规定为准）。</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2022年</w:t>
      </w:r>
      <w:r>
        <w:rPr>
          <w:rFonts w:hint="eastAsia" w:ascii="宋体" w:hAnsi="宋体" w:eastAsia="宋体"/>
          <w:snapToGrid w:val="0"/>
          <w:color w:val="auto"/>
          <w:sz w:val="21"/>
          <w:szCs w:val="21"/>
          <w:u w:val="single"/>
          <w:lang w:val="en-US" w:eastAsia="zh-CN"/>
        </w:rPr>
        <w:t>7</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27</w:t>
      </w:r>
      <w:r>
        <w:rPr>
          <w:rFonts w:hint="eastAsia" w:ascii="宋体" w:hAnsi="宋体" w:eastAsia="宋体"/>
          <w:snapToGrid w:val="0"/>
          <w:color w:val="auto"/>
          <w:sz w:val="21"/>
          <w:szCs w:val="21"/>
          <w:u w:val="single"/>
        </w:rPr>
        <w:t>日至2022年</w:t>
      </w:r>
      <w:r>
        <w:rPr>
          <w:rFonts w:hint="eastAsia" w:ascii="宋体" w:hAnsi="宋体" w:eastAsia="宋体"/>
          <w:snapToGrid w:val="0"/>
          <w:color w:val="auto"/>
          <w:sz w:val="21"/>
          <w:szCs w:val="21"/>
          <w:u w:val="single"/>
          <w:lang w:val="en-US" w:eastAsia="zh-CN"/>
        </w:rPr>
        <w:t>8</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3</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 xml:space="preserve">深圳市福田区民田路171号新华保险大厦903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3、方式：</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（1）现场获取：投标人按以上时间和地点在我司现场报名和获取招标文件。</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（2）线上获取：投标人通过邮件报名及获取招标文件，报名时间以我司邮箱收件时间为准（我司邮箱：qtszzzzb@163.com），逾期不予受理。</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 xml:space="preserve">现场及线上报名均需提供以下资料: </w:t>
      </w:r>
      <w:r>
        <w:rPr>
          <w:rFonts w:ascii="宋体" w:hAnsi="宋体" w:eastAsia="宋体"/>
          <w:snapToGrid w:val="0"/>
          <w:color w:val="auto"/>
          <w:sz w:val="21"/>
          <w:szCs w:val="21"/>
        </w:rPr>
        <w:fldChar w:fldCharType="begin"/>
      </w:r>
      <w:r>
        <w:rPr>
          <w:rFonts w:hint="eastAsia" w:ascii="宋体" w:hAnsi="宋体" w:eastAsia="宋体"/>
          <w:snapToGrid w:val="0"/>
          <w:color w:val="auto"/>
          <w:sz w:val="21"/>
          <w:szCs w:val="21"/>
        </w:rPr>
        <w:instrText xml:space="preserve">= 1 \* GB3</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①</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加盖公章的《购买标书登记表》（下载地址：www.szzzt.com 首页“下载中心”）；</w:t>
      </w:r>
      <w:r>
        <w:rPr>
          <w:rFonts w:ascii="宋体" w:hAnsi="宋体" w:eastAsia="宋体"/>
          <w:snapToGrid w:val="0"/>
          <w:color w:val="auto"/>
          <w:sz w:val="21"/>
          <w:szCs w:val="21"/>
        </w:rPr>
        <w:fldChar w:fldCharType="begin"/>
      </w:r>
      <w:r>
        <w:rPr>
          <w:rFonts w:hint="eastAsia" w:ascii="宋体" w:hAnsi="宋体" w:eastAsia="宋体"/>
          <w:snapToGrid w:val="0"/>
          <w:color w:val="auto"/>
          <w:sz w:val="21"/>
          <w:szCs w:val="21"/>
        </w:rPr>
        <w:instrText xml:space="preserve">= 2 \* GB3</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②</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加盖公章的营业执照复印件或扫描件；</w:t>
      </w:r>
      <w:r>
        <w:rPr>
          <w:rFonts w:ascii="宋体" w:hAnsi="宋体" w:eastAsia="宋体"/>
          <w:snapToGrid w:val="0"/>
          <w:color w:val="auto"/>
          <w:sz w:val="21"/>
          <w:szCs w:val="21"/>
        </w:rPr>
        <w:fldChar w:fldCharType="begin"/>
      </w:r>
      <w:r>
        <w:rPr>
          <w:rFonts w:hint="eastAsia" w:ascii="宋体" w:hAnsi="宋体" w:eastAsia="宋体"/>
          <w:snapToGrid w:val="0"/>
          <w:color w:val="auto"/>
          <w:sz w:val="21"/>
          <w:szCs w:val="21"/>
        </w:rPr>
        <w:instrText xml:space="preserve">= 3 \* GB3</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③</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加盖公章的法人授权委托书复印件或扫描件；</w:t>
      </w:r>
      <w:r>
        <w:rPr>
          <w:rFonts w:ascii="宋体" w:hAnsi="宋体" w:eastAsia="宋体"/>
          <w:snapToGrid w:val="0"/>
          <w:color w:val="auto"/>
          <w:sz w:val="21"/>
          <w:szCs w:val="21"/>
        </w:rPr>
        <w:fldChar w:fldCharType="begin"/>
      </w:r>
      <w:r>
        <w:rPr>
          <w:rFonts w:hint="eastAsia" w:ascii="宋体" w:hAnsi="宋体" w:eastAsia="宋体"/>
          <w:snapToGrid w:val="0"/>
          <w:color w:val="auto"/>
          <w:sz w:val="21"/>
          <w:szCs w:val="21"/>
        </w:rPr>
        <w:instrText xml:space="preserve">= 4 \* GB3</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④</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购买招标文件费用的银行转账凭证。</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开户银行：上海银行深圳分行天安支行</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2022年</w:t>
      </w:r>
      <w:r>
        <w:rPr>
          <w:rFonts w:hint="eastAsia" w:ascii="宋体" w:hAnsi="宋体" w:eastAsia="宋体"/>
          <w:snapToGrid w:val="0"/>
          <w:color w:val="auto"/>
          <w:sz w:val="21"/>
          <w:szCs w:val="21"/>
          <w:u w:val="single"/>
          <w:lang w:val="en-US" w:eastAsia="zh-CN"/>
        </w:rPr>
        <w:t>8</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11</w:t>
      </w:r>
      <w:r>
        <w:rPr>
          <w:rFonts w:hint="eastAsia" w:ascii="宋体" w:hAnsi="宋体" w:eastAsia="宋体"/>
          <w:snapToGrid w:val="0"/>
          <w:color w:val="auto"/>
          <w:sz w:val="21"/>
          <w:szCs w:val="21"/>
          <w:u w:val="single"/>
        </w:rPr>
        <w:t>日</w:t>
      </w:r>
      <w:r>
        <w:rPr>
          <w:rFonts w:hint="eastAsia" w:ascii="宋体" w:hAnsi="宋体" w:eastAsia="宋体"/>
          <w:snapToGrid w:val="0"/>
          <w:color w:val="auto"/>
          <w:sz w:val="21"/>
          <w:szCs w:val="21"/>
          <w:u w:val="single"/>
          <w:lang w:val="en-US" w:eastAsia="zh-CN"/>
        </w:rPr>
        <w:t>09</w:t>
      </w:r>
      <w:r>
        <w:rPr>
          <w:rFonts w:hint="eastAsia" w:ascii="宋体" w:hAnsi="宋体" w:eastAsia="宋体"/>
          <w:snapToGrid w:val="0"/>
          <w:color w:val="auto"/>
          <w:sz w:val="21"/>
          <w:szCs w:val="21"/>
          <w:u w:val="single"/>
        </w:rPr>
        <w:t>点30分（北京时间）</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、《关于环境标志产品政府采购实施的意见》（财库〔</w:t>
      </w:r>
      <w:r>
        <w:rPr>
          <w:rFonts w:ascii="宋体" w:hAnsi="宋体" w:eastAsia="宋体"/>
          <w:snapToGrid w:val="0"/>
          <w:color w:val="auto"/>
          <w:sz w:val="21"/>
          <w:szCs w:val="21"/>
        </w:rPr>
        <w:t>2006</w:t>
      </w:r>
      <w:r>
        <w:rPr>
          <w:rFonts w:hint="eastAsia" w:ascii="宋体" w:hAnsi="宋体" w:eastAsia="宋体"/>
          <w:snapToGrid w:val="0"/>
          <w:color w:val="auto"/>
          <w:sz w:val="21"/>
          <w:szCs w:val="21"/>
        </w:rPr>
        <w:t>〕</w:t>
      </w:r>
      <w:r>
        <w:rPr>
          <w:rFonts w:ascii="宋体" w:hAnsi="宋体" w:eastAsia="宋体"/>
          <w:snapToGrid w:val="0"/>
          <w:color w:val="auto"/>
          <w:sz w:val="21"/>
          <w:szCs w:val="21"/>
        </w:rPr>
        <w:t>90</w:t>
      </w:r>
      <w:r>
        <w:rPr>
          <w:rFonts w:hint="eastAsia" w:ascii="宋体" w:hAnsi="宋体" w:eastAsia="宋体"/>
          <w:snapToGrid w:val="0"/>
          <w:color w:val="auto"/>
          <w:sz w:val="21"/>
          <w:szCs w:val="21"/>
        </w:rPr>
        <w:t>号）、《关于印发&lt;节能产品政府采购实施意见&gt;的通知》（财库〔</w:t>
      </w:r>
      <w:r>
        <w:rPr>
          <w:rFonts w:ascii="宋体" w:hAnsi="宋体" w:eastAsia="宋体"/>
          <w:snapToGrid w:val="0"/>
          <w:color w:val="auto"/>
          <w:sz w:val="21"/>
          <w:szCs w:val="21"/>
        </w:rPr>
        <w:t>2004</w:t>
      </w:r>
      <w:r>
        <w:rPr>
          <w:rFonts w:hint="eastAsia" w:ascii="宋体" w:hAnsi="宋体" w:eastAsia="宋体"/>
          <w:snapToGrid w:val="0"/>
          <w:color w:val="auto"/>
          <w:sz w:val="21"/>
          <w:szCs w:val="21"/>
        </w:rPr>
        <w:t>〕</w:t>
      </w:r>
      <w:r>
        <w:rPr>
          <w:rFonts w:ascii="宋体" w:hAnsi="宋体" w:eastAsia="宋体"/>
          <w:snapToGrid w:val="0"/>
          <w:color w:val="auto"/>
          <w:sz w:val="21"/>
          <w:szCs w:val="21"/>
        </w:rPr>
        <w:t>185</w:t>
      </w:r>
      <w:r>
        <w:rPr>
          <w:rFonts w:hint="eastAsia" w:ascii="宋体" w:hAnsi="宋体" w:eastAsia="宋体"/>
          <w:snapToGrid w:val="0"/>
          <w:color w:val="auto"/>
          <w:sz w:val="21"/>
          <w:szCs w:val="21"/>
        </w:rPr>
        <w:t>号）、《关于调整优化节能产品、环境标志产品政府采购执行机制的通知》（财库〔</w:t>
      </w:r>
      <w:r>
        <w:rPr>
          <w:rFonts w:ascii="宋体" w:hAnsi="宋体" w:eastAsia="宋体"/>
          <w:snapToGrid w:val="0"/>
          <w:color w:val="auto"/>
          <w:sz w:val="21"/>
          <w:szCs w:val="21"/>
        </w:rPr>
        <w:t>2019</w:t>
      </w:r>
      <w:r>
        <w:rPr>
          <w:rFonts w:hint="eastAsia" w:ascii="宋体" w:hAnsi="宋体" w:eastAsia="宋体"/>
          <w:snapToGrid w:val="0"/>
          <w:color w:val="auto"/>
          <w:sz w:val="21"/>
          <w:szCs w:val="21"/>
        </w:rPr>
        <w:t>〕</w:t>
      </w:r>
      <w:r>
        <w:rPr>
          <w:rFonts w:ascii="宋体" w:hAnsi="宋体" w:eastAsia="宋体"/>
          <w:snapToGrid w:val="0"/>
          <w:color w:val="auto"/>
          <w:sz w:val="21"/>
          <w:szCs w:val="21"/>
        </w:rPr>
        <w:t>9</w:t>
      </w:r>
      <w:r>
        <w:rPr>
          <w:rFonts w:hint="eastAsia" w:ascii="宋体" w:hAnsi="宋体" w:eastAsia="宋体"/>
          <w:snapToGrid w:val="0"/>
          <w:color w:val="auto"/>
          <w:sz w:val="21"/>
          <w:szCs w:val="21"/>
        </w:rPr>
        <w:t>号）。</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2、本项目相关公告在以下媒体发布：</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名称：深圳市儿童医院</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地址：广东省深圳市福田区益田路7019号</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联系方式：甘工，0755-83009832</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2、采购代理机构信息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联系方式：罗小姐，0755-83026699</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项目联系人：罗小姐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电话：0755-83026699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r>
        <w:rPr>
          <w:rFonts w:ascii="宋体" w:hAnsi="宋体"/>
          <w:snapToGrid w:val="0"/>
          <w:kern w:val="0"/>
          <w:sz w:val="24"/>
        </w:rPr>
        <w:t>2022年</w:t>
      </w:r>
      <w:r>
        <w:rPr>
          <w:rFonts w:hint="eastAsia" w:ascii="宋体" w:hAnsi="宋体"/>
          <w:snapToGrid w:val="0"/>
          <w:kern w:val="0"/>
          <w:sz w:val="24"/>
          <w:lang w:val="en-US" w:eastAsia="zh-CN"/>
        </w:rPr>
        <w:t>7</w:t>
      </w:r>
      <w:r>
        <w:rPr>
          <w:rFonts w:ascii="宋体" w:hAnsi="宋体"/>
          <w:snapToGrid w:val="0"/>
          <w:kern w:val="0"/>
          <w:sz w:val="24"/>
        </w:rPr>
        <w:t>月</w:t>
      </w:r>
      <w:r>
        <w:rPr>
          <w:rFonts w:hint="eastAsia" w:ascii="宋体" w:hAnsi="宋体"/>
          <w:snapToGrid w:val="0"/>
          <w:kern w:val="0"/>
          <w:sz w:val="24"/>
          <w:lang w:val="en-US" w:eastAsia="zh-CN"/>
        </w:rPr>
        <w:t>27</w:t>
      </w:r>
      <w:r>
        <w:rPr>
          <w:rFonts w:hint="eastAsia" w:ascii="宋体" w:hAnsi="宋体"/>
          <w:snapToGrid w:val="0"/>
          <w:kern w:val="0"/>
          <w:sz w:val="24"/>
        </w:rPr>
        <w:t>日</w:t>
      </w:r>
    </w:p>
    <w:p>
      <w:pPr>
        <w:widowControl/>
        <w:jc w:val="left"/>
        <w:rPr>
          <w:rFonts w:eastAsiaTheme="minorEastAsia"/>
          <w:b/>
          <w:kern w:val="44"/>
          <w:szCs w:val="21"/>
        </w:rPr>
      </w:pPr>
      <w:r>
        <w:rPr>
          <w:szCs w:val="21"/>
        </w:rPr>
        <w:br w:type="page"/>
      </w:r>
    </w:p>
    <w:p>
      <w:pPr>
        <w:pStyle w:val="2"/>
        <w:spacing w:line="240" w:lineRule="auto"/>
        <w:rPr>
          <w:sz w:val="21"/>
          <w:szCs w:val="21"/>
        </w:rPr>
      </w:pPr>
    </w:p>
    <w:p>
      <w:pPr>
        <w:pStyle w:val="2"/>
      </w:pPr>
      <w:bookmarkStart w:id="1" w:name="_Toc107846019"/>
      <w:r>
        <w:rPr>
          <w:rFonts w:hint="eastAsia"/>
        </w:rPr>
        <w:t>第二章  项目需求</w:t>
      </w:r>
      <w:bookmarkEnd w:id="1"/>
    </w:p>
    <w:p>
      <w:pPr>
        <w:spacing w:afterLines="50" w:line="360" w:lineRule="auto"/>
        <w:ind w:left="2"/>
        <w:jc w:val="center"/>
        <w:rPr>
          <w:rFonts w:ascii="宋体" w:hAnsi="宋体"/>
          <w:b/>
          <w:sz w:val="28"/>
          <w:szCs w:val="28"/>
        </w:rPr>
      </w:pPr>
      <w:r>
        <w:rPr>
          <w:rFonts w:hint="eastAsia" w:ascii="宋体" w:hAnsi="宋体"/>
          <w:b/>
          <w:sz w:val="28"/>
          <w:szCs w:val="28"/>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3、技术参数设置为区间要求的（例如：潮气量：</w:t>
      </w:r>
      <w:r>
        <w:rPr>
          <w:rFonts w:ascii="仿宋_GB2312" w:eastAsia="仿宋_GB2312"/>
          <w:sz w:val="24"/>
        </w:rPr>
        <w:t>0-2000ML</w:t>
      </w:r>
      <w:r>
        <w:rPr>
          <w:rFonts w:hint="eastAsia" w:ascii="仿宋_GB2312" w:eastAsia="仿宋_GB2312"/>
          <w:sz w:val="24"/>
        </w:rPr>
        <w:t>），投标产品参数区间与招标要求不完全一致的均视为负偏离。</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4、对于定制类产品，投标人需在投标文件“分项价格表”中明确注明“定制”，否则该产品技术参数按负偏离处理。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5、加注▲的条款为重要条款要求，如不满足将按照第四章“评标标准”进行扣分。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6、加注★的条款为不可负偏离条款，任一项未响应或不满足要求的，将导致投标无效。</w:t>
      </w:r>
    </w:p>
    <w:p>
      <w:pPr>
        <w:spacing w:line="360" w:lineRule="auto"/>
        <w:ind w:left="510"/>
        <w:rPr>
          <w:rFonts w:eastAsia="黑体"/>
          <w:bCs/>
          <w:snapToGrid w:val="0"/>
          <w:kern w:val="0"/>
          <w:sz w:val="24"/>
        </w:rPr>
      </w:pPr>
    </w:p>
    <w:p>
      <w:pPr>
        <w:spacing w:line="360" w:lineRule="auto"/>
        <w:ind w:left="2"/>
        <w:rPr>
          <w:rFonts w:ascii="宋体" w:hAnsi="宋体"/>
          <w:b/>
          <w:sz w:val="24"/>
        </w:rPr>
      </w:pPr>
      <w:r>
        <w:rPr>
          <w:rFonts w:hint="eastAsia" w:ascii="宋体" w:hAnsi="宋体"/>
          <w:bCs/>
          <w:snapToGrid w:val="0"/>
          <w:kern w:val="0"/>
          <w:sz w:val="24"/>
        </w:rPr>
        <w:t>一、</w:t>
      </w:r>
      <w:r>
        <w:rPr>
          <w:rFonts w:hint="eastAsia" w:ascii="宋体" w:hAnsi="宋体"/>
          <w:b/>
          <w:sz w:val="24"/>
        </w:rPr>
        <w:t>采购范围</w:t>
      </w:r>
    </w:p>
    <w:p>
      <w:pPr>
        <w:rPr>
          <w:rFonts w:ascii="宋体" w:hAnsi="宋体"/>
          <w:b/>
          <w:szCs w:val="21"/>
        </w:rPr>
      </w:pPr>
      <w:r>
        <w:rPr>
          <w:rFonts w:hint="eastAsia" w:ascii="宋体" w:hAnsi="宋体"/>
          <w:b/>
          <w:szCs w:val="21"/>
        </w:rPr>
        <w:t>（一）货物总清单</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1"/>
        <w:gridCol w:w="3119"/>
        <w:gridCol w:w="850"/>
        <w:gridCol w:w="993"/>
        <w:gridCol w:w="170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 w:hRule="atLeast"/>
          <w:jc w:val="center"/>
        </w:trPr>
        <w:tc>
          <w:tcPr>
            <w:tcW w:w="85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3119"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项目名称</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993"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70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采购预算金额</w:t>
            </w:r>
          </w:p>
          <w:p>
            <w:pPr>
              <w:widowControl/>
              <w:spacing w:line="360" w:lineRule="auto"/>
              <w:jc w:val="center"/>
              <w:rPr>
                <w:rFonts w:ascii="宋体" w:hAnsi="宋体" w:cs="宋体"/>
                <w:bCs/>
                <w:kern w:val="0"/>
                <w:szCs w:val="21"/>
              </w:rPr>
            </w:pPr>
            <w:r>
              <w:rPr>
                <w:rFonts w:hint="eastAsia" w:ascii="宋体" w:hAnsi="宋体" w:cs="宋体"/>
                <w:b/>
                <w:szCs w:val="21"/>
              </w:rPr>
              <w:t>（人民币元）</w:t>
            </w:r>
          </w:p>
        </w:tc>
        <w:tc>
          <w:tcPr>
            <w:tcW w:w="141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851"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3119"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鼻阻力仪采购</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993"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套</w:t>
            </w:r>
          </w:p>
        </w:tc>
        <w:tc>
          <w:tcPr>
            <w:tcW w:w="1701" w:type="dxa"/>
            <w:vAlign w:val="center"/>
          </w:tcPr>
          <w:p>
            <w:pPr>
              <w:jc w:val="center"/>
              <w:rPr>
                <w:rFonts w:ascii="宋体" w:hAnsi="宋体" w:cs="宋体"/>
                <w:bCs/>
                <w:kern w:val="0"/>
                <w:szCs w:val="21"/>
              </w:rPr>
            </w:pPr>
            <w:r>
              <w:rPr>
                <w:rFonts w:hint="eastAsia" w:ascii="宋体" w:hAnsi="宋体" w:cs="宋体"/>
                <w:bCs/>
                <w:kern w:val="0"/>
                <w:szCs w:val="21"/>
              </w:rPr>
              <w:t>350,000.00</w:t>
            </w:r>
          </w:p>
        </w:tc>
        <w:tc>
          <w:tcPr>
            <w:tcW w:w="14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接受进口</w:t>
            </w:r>
          </w:p>
        </w:tc>
      </w:tr>
    </w:tbl>
    <w:p>
      <w:pPr>
        <w:widowControl/>
        <w:snapToGrid w:val="0"/>
        <w:spacing w:line="360" w:lineRule="auto"/>
        <w:ind w:left="2"/>
        <w:jc w:val="left"/>
        <w:rPr>
          <w:rFonts w:ascii="宋体" w:hAnsi="宋体"/>
          <w:bCs/>
          <w:snapToGrid w:val="0"/>
          <w:kern w:val="0"/>
          <w:szCs w:val="21"/>
        </w:rPr>
      </w:pPr>
    </w:p>
    <w:p>
      <w:pPr>
        <w:rPr>
          <w:rFonts w:ascii="宋体" w:hAnsi="宋体"/>
          <w:b/>
          <w:szCs w:val="21"/>
        </w:rPr>
      </w:pPr>
      <w:r>
        <w:rPr>
          <w:rFonts w:hint="eastAsia" w:ascii="宋体" w:hAnsi="宋体"/>
          <w:b/>
          <w:szCs w:val="21"/>
        </w:rPr>
        <w:t>（二）货物清单明细</w:t>
      </w:r>
    </w:p>
    <w:tbl>
      <w:tblPr>
        <w:tblStyle w:val="50"/>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969"/>
        <w:gridCol w:w="1081"/>
        <w:gridCol w:w="1134"/>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blHeader/>
          <w:jc w:val="center"/>
        </w:trPr>
        <w:tc>
          <w:tcPr>
            <w:tcW w:w="81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3969"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货物名称</w:t>
            </w:r>
          </w:p>
        </w:tc>
        <w:tc>
          <w:tcPr>
            <w:tcW w:w="108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1134"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896"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3969"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鼻阻力仪</w:t>
            </w:r>
          </w:p>
        </w:tc>
        <w:tc>
          <w:tcPr>
            <w:tcW w:w="1081"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1134"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套</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接受进口</w:t>
            </w:r>
          </w:p>
        </w:tc>
      </w:tr>
    </w:tbl>
    <w:p>
      <w:pPr>
        <w:widowControl/>
        <w:snapToGrid w:val="0"/>
        <w:spacing w:line="360" w:lineRule="auto"/>
        <w:ind w:left="2"/>
        <w:jc w:val="left"/>
        <w:rPr>
          <w:rFonts w:ascii="宋体" w:hAnsi="宋体"/>
          <w:bCs/>
          <w:snapToGrid w:val="0"/>
          <w:kern w:val="0"/>
          <w:szCs w:val="21"/>
        </w:rPr>
      </w:pPr>
    </w:p>
    <w:p>
      <w:pPr>
        <w:pStyle w:val="453"/>
        <w:adjustRightInd w:val="0"/>
        <w:snapToGrid w:val="0"/>
        <w:spacing w:before="0" w:beforeAutospacing="0" w:after="0" w:afterAutospacing="0" w:line="360" w:lineRule="auto"/>
        <w:ind w:firstLine="424" w:firstLineChars="202"/>
        <w:rPr>
          <w:rFonts w:ascii="宋体" w:hAnsi="宋体" w:eastAsia="宋体"/>
          <w:b/>
          <w:snapToGrid w:val="0"/>
          <w:color w:val="auto"/>
          <w:sz w:val="21"/>
          <w:szCs w:val="21"/>
          <w:highlight w:val="yellow"/>
        </w:rPr>
      </w:pPr>
      <w:r>
        <w:rPr>
          <w:rFonts w:hint="eastAsia" w:ascii="宋体" w:hAnsi="宋体" w:eastAsia="宋体" w:cs="Times New Roman"/>
          <w:color w:val="auto"/>
          <w:kern w:val="2"/>
          <w:sz w:val="21"/>
          <w:szCs w:val="21"/>
          <w:highlight w:val="yellow"/>
        </w:rPr>
        <w:t>注：</w:t>
      </w:r>
    </w:p>
    <w:p>
      <w:pPr>
        <w:widowControl/>
        <w:snapToGrid w:val="0"/>
        <w:spacing w:line="360" w:lineRule="auto"/>
        <w:ind w:left="2" w:firstLine="422" w:firstLineChars="201"/>
        <w:jc w:val="left"/>
        <w:rPr>
          <w:rFonts w:ascii="宋体" w:hAnsi="宋体"/>
          <w:bCs/>
          <w:snapToGrid w:val="0"/>
          <w:kern w:val="0"/>
          <w:szCs w:val="21"/>
        </w:rPr>
      </w:pPr>
      <w:r>
        <w:rPr>
          <w:rFonts w:hint="eastAsia" w:ascii="宋体" w:hAnsi="宋体"/>
          <w:bCs/>
          <w:snapToGrid w:val="0"/>
          <w:kern w:val="0"/>
          <w:szCs w:val="21"/>
          <w:highlight w:val="yellow"/>
        </w:rPr>
        <w:t>（1）如同时有两家或两家以上（均为制造商的合法代理商）通过资格审查及符合性审查的合格投标人</w:t>
      </w:r>
      <w:r>
        <w:rPr>
          <w:rFonts w:hint="eastAsia" w:ascii="宋体" w:hAnsi="宋体"/>
          <w:b/>
          <w:bCs/>
          <w:snapToGrid w:val="0"/>
          <w:kern w:val="0"/>
          <w:szCs w:val="21"/>
          <w:highlight w:val="yellow"/>
        </w:rPr>
        <w:t>所投核心产品为相同品牌的，按一家投标人计算</w:t>
      </w:r>
      <w:r>
        <w:rPr>
          <w:rFonts w:hint="eastAsia" w:ascii="宋体" w:hAnsi="宋体"/>
          <w:bCs/>
          <w:snapToGrid w:val="0"/>
          <w:kern w:val="0"/>
          <w:szCs w:val="21"/>
          <w:highlight w:val="yellow"/>
        </w:rPr>
        <w:t>。在此种情况下，评审后得分最高的</w:t>
      </w:r>
      <w:r>
        <w:rPr>
          <w:rFonts w:hint="eastAsia" w:asciiTheme="minorEastAsia" w:hAnsiTheme="minorEastAsia" w:eastAsiaTheme="minorEastAsia"/>
          <w:color w:val="333333"/>
          <w:highlight w:val="yellow"/>
        </w:rPr>
        <w:t>同品牌</w:t>
      </w:r>
      <w:r>
        <w:rPr>
          <w:rFonts w:hint="eastAsia" w:ascii="宋体" w:hAnsi="宋体"/>
          <w:bCs/>
          <w:snapToGrid w:val="0"/>
          <w:kern w:val="0"/>
          <w:szCs w:val="21"/>
          <w:highlight w:val="yellow"/>
        </w:rPr>
        <w:t>投标人获得中标人推荐资格；评审得分相同的由报价相对最低的获得中标人推荐资格；评审得分及报价均相同的由技术部分评分相对最高的获得中标人推荐资格；</w:t>
      </w:r>
      <w:r>
        <w:rPr>
          <w:rFonts w:hint="eastAsia"/>
          <w:snapToGrid w:val="0"/>
          <w:kern w:val="0"/>
          <w:highlight w:val="yellow"/>
        </w:rPr>
        <w:t>以上均相同的由评标委员会采取随机抽取方式确定</w:t>
      </w:r>
      <w:r>
        <w:rPr>
          <w:rFonts w:hint="eastAsia" w:ascii="宋体" w:hAnsi="宋体"/>
          <w:bCs/>
          <w:snapToGrid w:val="0"/>
          <w:kern w:val="0"/>
          <w:szCs w:val="21"/>
          <w:highlight w:val="yellow"/>
        </w:rPr>
        <w:t>，其他同品牌投标人不作为中标候选人。</w:t>
      </w:r>
    </w:p>
    <w:p>
      <w:pPr>
        <w:adjustRightInd w:val="0"/>
        <w:snapToGrid w:val="0"/>
        <w:spacing w:line="360" w:lineRule="auto"/>
        <w:ind w:firstLine="422" w:firstLineChars="201"/>
        <w:rPr>
          <w:rFonts w:ascii="宋体" w:hAnsi="宋体"/>
          <w:b/>
          <w:bCs/>
          <w:snapToGrid w:val="0"/>
          <w:kern w:val="0"/>
          <w:szCs w:val="21"/>
        </w:rPr>
      </w:pPr>
      <w:r>
        <w:rPr>
          <w:rFonts w:hint="eastAsia" w:ascii="宋体" w:hAnsi="宋体"/>
          <w:bCs/>
          <w:snapToGrid w:val="0"/>
          <w:kern w:val="0"/>
          <w:szCs w:val="21"/>
        </w:rPr>
        <w:t>（2）</w:t>
      </w:r>
      <w:r>
        <w:rPr>
          <w:rFonts w:hint="eastAsia" w:ascii="宋体" w:hAnsi="宋体"/>
          <w:szCs w:val="21"/>
        </w:rPr>
        <w:t>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w:t>
      </w:r>
      <w:r>
        <w:rPr>
          <w:rFonts w:hint="eastAsia" w:ascii="宋体" w:hAnsi="宋体"/>
          <w:bCs/>
          <w:snapToGrid w:val="0"/>
          <w:kern w:val="0"/>
          <w:szCs w:val="21"/>
        </w:rPr>
        <w:t>致的，按照“少数服从多数”的原则确定评标委员会的意见。</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 xml:space="preserve">（3）备注栏注明“拒绝进口”的产品不接受投标人选用进口产品参与投标；注明“接受进口”的产品允许投标人选用进口产品参与投标，但不排斥国内产品。 </w:t>
      </w:r>
    </w:p>
    <w:p>
      <w:pPr>
        <w:adjustRightInd w:val="0"/>
        <w:snapToGrid w:val="0"/>
        <w:spacing w:line="360" w:lineRule="auto"/>
        <w:ind w:firstLine="422" w:firstLineChars="201"/>
        <w:rPr>
          <w:rFonts w:ascii="宋体" w:hAnsi="宋体"/>
          <w:b/>
          <w:snapToGrid w:val="0"/>
          <w:kern w:val="0"/>
          <w:szCs w:val="21"/>
          <w:highlight w:val="yellow"/>
        </w:rPr>
      </w:pPr>
      <w:r>
        <w:rPr>
          <w:rFonts w:hint="eastAsia" w:ascii="宋体" w:hAnsi="宋体"/>
          <w:bCs/>
          <w:snapToGrid w:val="0"/>
          <w:kern w:val="0"/>
          <w:szCs w:val="21"/>
        </w:rPr>
        <w:t>（4）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r>
        <w:rPr>
          <w:rFonts w:hint="eastAsia" w:ascii="宋体" w:hAnsi="宋体"/>
          <w:bCs/>
          <w:snapToGrid w:val="0"/>
          <w:kern w:val="0"/>
          <w:szCs w:val="21"/>
        </w:rPr>
        <w:br w:type="textWrapping"/>
      </w:r>
      <w:r>
        <w:rPr>
          <w:rFonts w:hint="eastAsia" w:ascii="宋体" w:hAnsi="宋体"/>
          <w:bCs/>
          <w:snapToGrid w:val="0"/>
          <w:kern w:val="0"/>
          <w:szCs w:val="21"/>
          <w:lang w:val="en-US" w:eastAsia="zh-CN"/>
        </w:rPr>
        <w:t xml:space="preserve">    </w:t>
      </w:r>
      <w:r>
        <w:rPr>
          <w:rFonts w:hint="eastAsia" w:ascii="宋体" w:hAnsi="宋体"/>
          <w:b/>
          <w:snapToGrid w:val="0"/>
          <w:kern w:val="0"/>
          <w:szCs w:val="21"/>
          <w:highlight w:val="yellow"/>
        </w:rPr>
        <w:t>★（5）若投标人为所投产品的生产企业，须提供医疗器械生产许可证或备案凭证，并有相应生产范围；若投标人为所投产品的代理商或授权供应商，须提供医疗器械经营许可证或备案凭证，并有相应经营范围；当所投产品属于第一类医疗器械时无须提供医疗器械经营许可证或备案凭证，但投标人应在投标文件中对其所属类别进行书面说明。以上资料均提供复印件或扫描件加盖投标人公章。</w:t>
      </w:r>
    </w:p>
    <w:p>
      <w:pPr>
        <w:adjustRightInd w:val="0"/>
        <w:snapToGrid w:val="0"/>
        <w:spacing w:line="360" w:lineRule="auto"/>
        <w:ind w:firstLine="424" w:firstLineChars="201"/>
        <w:rPr>
          <w:rFonts w:ascii="宋体" w:hAnsi="宋体"/>
          <w:bCs/>
          <w:snapToGrid w:val="0"/>
          <w:kern w:val="0"/>
          <w:szCs w:val="21"/>
        </w:rPr>
      </w:pPr>
      <w:r>
        <w:rPr>
          <w:rFonts w:hint="eastAsia" w:ascii="宋体" w:hAnsi="宋体"/>
          <w:b/>
          <w:snapToGrid w:val="0"/>
          <w:kern w:val="0"/>
          <w:szCs w:val="21"/>
          <w:highlight w:val="yellow"/>
        </w:rPr>
        <w:t>★（6）投标人所投产品必须为其医疗器械产品注册证或备案证有效期内生产的（</w:t>
      </w:r>
      <w:r>
        <w:rPr>
          <w:rFonts w:hint="eastAsia" w:ascii="宋体" w:hAnsi="宋体" w:cs="Arial"/>
          <w:b/>
          <w:kern w:val="0"/>
          <w:szCs w:val="21"/>
          <w:highlight w:val="yellow"/>
        </w:rPr>
        <w:t>提供医疗器械产品注册证或备案凭证；若所投产品的医疗器械产品注册证已过有效期，还须提供所投产品在医疗器械产品注册证有效期内生产的证明文件</w:t>
      </w:r>
      <w:r>
        <w:rPr>
          <w:rFonts w:hint="eastAsia" w:ascii="宋体" w:hAnsi="宋体"/>
          <w:b/>
          <w:snapToGrid w:val="0"/>
          <w:kern w:val="0"/>
          <w:szCs w:val="21"/>
          <w:highlight w:val="yellow"/>
        </w:rPr>
        <w:t>）。以上证明材料均提供复印件或扫描件加盖投标人公章，原件备查。</w:t>
      </w:r>
    </w:p>
    <w:p>
      <w:pPr>
        <w:spacing w:line="360" w:lineRule="auto"/>
        <w:ind w:left="2" w:firstLine="484" w:firstLineChars="201"/>
        <w:rPr>
          <w:rFonts w:ascii="宋体" w:hAnsi="宋体"/>
          <w:b/>
          <w:bCs/>
          <w:snapToGrid w:val="0"/>
          <w:kern w:val="0"/>
          <w:sz w:val="24"/>
        </w:rPr>
      </w:pPr>
    </w:p>
    <w:p>
      <w:pPr>
        <w:spacing w:line="360" w:lineRule="auto"/>
        <w:ind w:left="2" w:firstLine="484" w:firstLineChars="201"/>
        <w:rPr>
          <w:rFonts w:ascii="宋体" w:hAnsi="宋体"/>
          <w:b/>
          <w:bCs/>
          <w:snapToGrid w:val="0"/>
          <w:kern w:val="0"/>
          <w:sz w:val="24"/>
        </w:rPr>
      </w:pPr>
    </w:p>
    <w:p>
      <w:pPr>
        <w:spacing w:line="360" w:lineRule="auto"/>
        <w:ind w:left="2" w:firstLine="484" w:firstLineChars="201"/>
        <w:rPr>
          <w:rFonts w:ascii="宋体" w:hAnsi="宋体"/>
          <w:b/>
          <w:bCs/>
          <w:snapToGrid w:val="0"/>
          <w:kern w:val="0"/>
          <w:sz w:val="24"/>
        </w:rPr>
      </w:pPr>
    </w:p>
    <w:p>
      <w:pPr>
        <w:spacing w:line="360" w:lineRule="auto"/>
        <w:ind w:left="2" w:firstLine="484" w:firstLineChars="201"/>
        <w:rPr>
          <w:rFonts w:ascii="宋体" w:hAnsi="宋体"/>
          <w:b/>
          <w:bCs/>
          <w:snapToGrid w:val="0"/>
          <w:kern w:val="0"/>
          <w:sz w:val="24"/>
        </w:rPr>
      </w:pPr>
    </w:p>
    <w:p>
      <w:pPr>
        <w:spacing w:line="360" w:lineRule="auto"/>
        <w:rPr>
          <w:rFonts w:ascii="宋体" w:hAnsi="宋体"/>
          <w:b/>
          <w:bCs/>
          <w:snapToGrid w:val="0"/>
          <w:kern w:val="0"/>
          <w:sz w:val="24"/>
        </w:rPr>
      </w:pPr>
    </w:p>
    <w:p>
      <w:pPr>
        <w:spacing w:line="360" w:lineRule="auto"/>
        <w:rPr>
          <w:rFonts w:ascii="宋体" w:hAnsi="宋体"/>
          <w:b/>
          <w:bCs/>
          <w:snapToGrid w:val="0"/>
          <w:kern w:val="0"/>
          <w:sz w:val="24"/>
        </w:rPr>
      </w:pPr>
    </w:p>
    <w:p>
      <w:pPr>
        <w:spacing w:line="360" w:lineRule="auto"/>
        <w:rPr>
          <w:rFonts w:ascii="宋体" w:hAnsi="宋体"/>
          <w:b/>
          <w:bCs/>
          <w:snapToGrid w:val="0"/>
          <w:kern w:val="0"/>
          <w:sz w:val="24"/>
        </w:rPr>
      </w:pPr>
    </w:p>
    <w:p>
      <w:pPr>
        <w:spacing w:line="360" w:lineRule="auto"/>
        <w:rPr>
          <w:rFonts w:ascii="宋体" w:hAnsi="宋体"/>
          <w:b/>
          <w:bCs/>
          <w:snapToGrid w:val="0"/>
          <w:kern w:val="0"/>
          <w:sz w:val="24"/>
        </w:rPr>
      </w:pPr>
      <w:r>
        <w:rPr>
          <w:rFonts w:hint="eastAsia" w:ascii="宋体" w:hAnsi="宋体"/>
          <w:b/>
          <w:bCs/>
          <w:snapToGrid w:val="0"/>
          <w:kern w:val="0"/>
          <w:sz w:val="24"/>
        </w:rPr>
        <w:t>二、技术要求</w:t>
      </w:r>
    </w:p>
    <w:tbl>
      <w:tblPr>
        <w:tblStyle w:val="50"/>
        <w:tblW w:w="9654" w:type="dxa"/>
        <w:jc w:val="center"/>
        <w:tblLayout w:type="autofit"/>
        <w:tblCellMar>
          <w:top w:w="0" w:type="dxa"/>
          <w:left w:w="108" w:type="dxa"/>
          <w:bottom w:w="0" w:type="dxa"/>
          <w:right w:w="108" w:type="dxa"/>
        </w:tblCellMar>
      </w:tblPr>
      <w:tblGrid>
        <w:gridCol w:w="660"/>
        <w:gridCol w:w="1988"/>
        <w:gridCol w:w="7006"/>
      </w:tblGrid>
      <w:tr>
        <w:tblPrEx>
          <w:tblCellMar>
            <w:top w:w="0" w:type="dxa"/>
            <w:left w:w="108" w:type="dxa"/>
            <w:bottom w:w="0" w:type="dxa"/>
            <w:right w:w="108" w:type="dxa"/>
          </w:tblCellMar>
        </w:tblPrEx>
        <w:trPr>
          <w:trHeight w:val="420" w:hRule="atLeast"/>
          <w:jc w:val="center"/>
        </w:trPr>
        <w:tc>
          <w:tcPr>
            <w:tcW w:w="6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宋体" w:hAnsi="宋体" w:cs="宋体"/>
                <w:b/>
                <w:bCs/>
                <w:color w:val="3F3F3F"/>
                <w:kern w:val="0"/>
                <w:szCs w:val="21"/>
              </w:rPr>
            </w:pPr>
            <w:r>
              <w:rPr>
                <w:rFonts w:hint="eastAsia" w:ascii="宋体" w:hAnsi="宋体" w:cs="宋体"/>
                <w:b/>
                <w:bCs/>
                <w:color w:val="3F3F3F"/>
                <w:kern w:val="0"/>
                <w:szCs w:val="21"/>
              </w:rPr>
              <w:t>序号</w:t>
            </w:r>
          </w:p>
        </w:tc>
        <w:tc>
          <w:tcPr>
            <w:tcW w:w="1988" w:type="dxa"/>
            <w:tcBorders>
              <w:top w:val="single" w:color="3F3F3F" w:sz="4" w:space="0"/>
              <w:left w:val="single" w:color="auto" w:sz="4" w:space="0"/>
              <w:bottom w:val="single" w:color="3F3F3F" w:sz="4" w:space="0"/>
              <w:right w:val="single" w:color="3F3F3F" w:sz="4" w:space="0"/>
            </w:tcBorders>
            <w:shd w:val="clear" w:color="000000" w:fill="FFFFFF"/>
            <w:vAlign w:val="center"/>
          </w:tcPr>
          <w:p>
            <w:pPr>
              <w:widowControl/>
              <w:spacing w:line="360" w:lineRule="auto"/>
              <w:jc w:val="center"/>
              <w:rPr>
                <w:rFonts w:ascii="宋体" w:hAnsi="宋体" w:cs="宋体"/>
                <w:b/>
                <w:bCs/>
                <w:color w:val="3F3F3F"/>
                <w:kern w:val="0"/>
                <w:szCs w:val="21"/>
              </w:rPr>
            </w:pPr>
            <w:r>
              <w:rPr>
                <w:rFonts w:hint="eastAsia" w:ascii="宋体" w:hAnsi="宋体" w:cs="宋体"/>
                <w:b/>
                <w:bCs/>
                <w:color w:val="3F3F3F"/>
                <w:kern w:val="0"/>
                <w:szCs w:val="21"/>
              </w:rPr>
              <w:t>货物名称</w:t>
            </w:r>
          </w:p>
        </w:tc>
        <w:tc>
          <w:tcPr>
            <w:tcW w:w="7006" w:type="dxa"/>
            <w:tcBorders>
              <w:top w:val="single" w:color="3F3F3F" w:sz="4" w:space="0"/>
              <w:left w:val="nil"/>
              <w:bottom w:val="single" w:color="3F3F3F" w:sz="4" w:space="0"/>
              <w:right w:val="single" w:color="3F3F3F" w:sz="4" w:space="0"/>
            </w:tcBorders>
            <w:shd w:val="clear" w:color="000000" w:fill="FFFFFF"/>
          </w:tcPr>
          <w:p>
            <w:pPr>
              <w:widowControl/>
              <w:spacing w:line="360" w:lineRule="auto"/>
              <w:jc w:val="center"/>
              <w:rPr>
                <w:rFonts w:ascii="宋体" w:hAnsi="宋体" w:cs="宋体"/>
                <w:b/>
                <w:bCs/>
                <w:color w:val="3F3F3F"/>
                <w:kern w:val="0"/>
                <w:szCs w:val="21"/>
              </w:rPr>
            </w:pPr>
            <w:r>
              <w:rPr>
                <w:rFonts w:hint="eastAsia" w:ascii="宋体" w:hAnsi="宋体" w:cs="宋体"/>
                <w:b/>
                <w:bCs/>
                <w:color w:val="3F3F3F"/>
                <w:kern w:val="0"/>
                <w:szCs w:val="21"/>
              </w:rPr>
              <w:t>招标技术参数要求</w:t>
            </w:r>
          </w:p>
        </w:tc>
      </w:tr>
      <w:tr>
        <w:tblPrEx>
          <w:tblCellMar>
            <w:top w:w="0" w:type="dxa"/>
            <w:left w:w="108" w:type="dxa"/>
            <w:bottom w:w="0" w:type="dxa"/>
            <w:right w:w="108" w:type="dxa"/>
          </w:tblCellMar>
        </w:tblPrEx>
        <w:trPr>
          <w:trHeight w:val="439" w:hRule="atLeast"/>
          <w:jc w:val="center"/>
        </w:trPr>
        <w:tc>
          <w:tcPr>
            <w:tcW w:w="660" w:type="dxa"/>
            <w:vMerge w:val="restart"/>
            <w:tcBorders>
              <w:top w:val="single" w:color="auto" w:sz="4" w:space="0"/>
              <w:left w:val="single" w:color="3F3F3F" w:sz="4" w:space="0"/>
              <w:right w:val="single" w:color="3F3F3F" w:sz="4" w:space="0"/>
            </w:tcBorders>
            <w:shd w:val="clear" w:color="000000" w:fill="FFFFFF"/>
            <w:vAlign w:val="center"/>
          </w:tcPr>
          <w:p>
            <w:pPr>
              <w:widowControl/>
              <w:spacing w:line="360" w:lineRule="auto"/>
              <w:jc w:val="center"/>
              <w:rPr>
                <w:rFonts w:ascii="宋体" w:hAnsi="宋体" w:cs="宋体"/>
                <w:color w:val="3F3F3F"/>
                <w:kern w:val="0"/>
                <w:sz w:val="20"/>
                <w:szCs w:val="20"/>
              </w:rPr>
            </w:pPr>
            <w:r>
              <w:rPr>
                <w:rFonts w:hint="eastAsia" w:ascii="宋体" w:hAnsi="宋体" w:cs="宋体"/>
                <w:color w:val="3F3F3F"/>
                <w:kern w:val="0"/>
                <w:sz w:val="20"/>
                <w:szCs w:val="20"/>
              </w:rPr>
              <w:t>1</w:t>
            </w:r>
          </w:p>
        </w:tc>
        <w:tc>
          <w:tcPr>
            <w:tcW w:w="1988" w:type="dxa"/>
            <w:vMerge w:val="restart"/>
            <w:tcBorders>
              <w:top w:val="single" w:color="3F3F3F" w:sz="4" w:space="0"/>
              <w:left w:val="single" w:color="3F3F3F" w:sz="4" w:space="0"/>
              <w:right w:val="single" w:color="3F3F3F" w:sz="4" w:space="0"/>
            </w:tcBorders>
            <w:shd w:val="clear" w:color="000000" w:fill="FFFFFF"/>
            <w:vAlign w:val="center"/>
          </w:tcPr>
          <w:p>
            <w:pPr>
              <w:widowControl/>
              <w:spacing w:line="360" w:lineRule="auto"/>
              <w:jc w:val="center"/>
              <w:rPr>
                <w:rFonts w:ascii="宋体" w:hAnsi="宋体" w:cs="宋体"/>
                <w:color w:val="3F3F3F"/>
                <w:kern w:val="0"/>
                <w:szCs w:val="21"/>
              </w:rPr>
            </w:pPr>
            <w:r>
              <w:rPr>
                <w:rFonts w:hint="eastAsia" w:ascii="宋体" w:hAnsi="宋体" w:cs="宋体"/>
                <w:b/>
                <w:bCs/>
                <w:color w:val="3F3F3F"/>
                <w:kern w:val="0"/>
                <w:szCs w:val="21"/>
              </w:rPr>
              <w:t>鼻阻力仪</w:t>
            </w:r>
          </w:p>
        </w:tc>
        <w:tc>
          <w:tcPr>
            <w:tcW w:w="7006" w:type="dxa"/>
            <w:tcBorders>
              <w:top w:val="single" w:color="3F3F3F" w:sz="4" w:space="0"/>
              <w:left w:val="nil"/>
              <w:bottom w:val="single" w:color="3F3F3F" w:sz="4" w:space="0"/>
              <w:right w:val="single" w:color="3F3F3F" w:sz="4" w:space="0"/>
            </w:tcBorders>
            <w:shd w:val="clear" w:color="000000" w:fill="FFFFFF"/>
          </w:tcPr>
          <w:p>
            <w:pPr>
              <w:spacing w:line="360" w:lineRule="auto"/>
              <w:jc w:val="left"/>
              <w:rPr>
                <w:rFonts w:ascii="宋体" w:hAnsi="宋体"/>
                <w:szCs w:val="21"/>
              </w:rPr>
            </w:pPr>
            <w:r>
              <w:rPr>
                <w:rFonts w:hint="eastAsia" w:ascii="宋体" w:hAnsi="宋体"/>
                <w:szCs w:val="21"/>
              </w:rPr>
              <w:t>1、</w:t>
            </w:r>
            <w:r>
              <w:rPr>
                <w:rFonts w:hint="eastAsia" w:ascii="宋体" w:hAnsi="宋体" w:cs="宋体"/>
                <w:b/>
                <w:bCs/>
                <w:szCs w:val="21"/>
              </w:rPr>
              <w:t>▲</w:t>
            </w:r>
            <w:r>
              <w:rPr>
                <w:rFonts w:hint="eastAsia" w:ascii="宋体" w:hAnsi="宋体"/>
                <w:b/>
                <w:bCs/>
                <w:szCs w:val="21"/>
              </w:rPr>
              <w:t>鼻阻力仪可提供橄榄头独立测量或面罩独立测量两种测量方式，并提供同品牌配套与人体接触的测量件注册证；</w:t>
            </w:r>
          </w:p>
        </w:tc>
      </w:tr>
      <w:tr>
        <w:tblPrEx>
          <w:tblCellMar>
            <w:top w:w="0" w:type="dxa"/>
            <w:left w:w="108" w:type="dxa"/>
            <w:bottom w:w="0" w:type="dxa"/>
            <w:right w:w="108" w:type="dxa"/>
          </w:tblCellMar>
        </w:tblPrEx>
        <w:trPr>
          <w:trHeight w:val="417" w:hRule="atLeast"/>
          <w:jc w:val="center"/>
        </w:trPr>
        <w:tc>
          <w:tcPr>
            <w:tcW w:w="660" w:type="dxa"/>
            <w:vMerge w:val="continue"/>
            <w:tcBorders>
              <w:left w:val="single" w:color="3F3F3F" w:sz="4" w:space="0"/>
              <w:right w:val="single" w:color="3F3F3F" w:sz="4" w:space="0"/>
            </w:tcBorders>
            <w:shd w:val="clear" w:color="auto" w:fill="auto"/>
            <w:vAlign w:val="center"/>
          </w:tcPr>
          <w:p>
            <w:pPr>
              <w:spacing w:line="360" w:lineRule="auto"/>
              <w:jc w:val="left"/>
              <w:rPr>
                <w:rFonts w:ascii="宋体" w:hAnsi="宋体" w:cs="宋体"/>
                <w:color w:val="3F3F3F"/>
                <w:kern w:val="0"/>
                <w:sz w:val="20"/>
                <w:szCs w:val="20"/>
              </w:rPr>
            </w:pPr>
          </w:p>
        </w:tc>
        <w:tc>
          <w:tcPr>
            <w:tcW w:w="1988" w:type="dxa"/>
            <w:vMerge w:val="continue"/>
            <w:tcBorders>
              <w:left w:val="single" w:color="3F3F3F" w:sz="4" w:space="0"/>
              <w:right w:val="single" w:color="3F3F3F" w:sz="4" w:space="0"/>
            </w:tcBorders>
            <w:shd w:val="clear" w:color="auto" w:fill="auto"/>
            <w:vAlign w:val="center"/>
          </w:tcPr>
          <w:p>
            <w:pPr>
              <w:spacing w:line="360" w:lineRule="auto"/>
              <w:jc w:val="center"/>
              <w:rPr>
                <w:rFonts w:ascii="宋体" w:hAnsi="宋体" w:cs="宋体"/>
                <w:color w:val="3F3F3F"/>
                <w:kern w:val="0"/>
                <w:sz w:val="20"/>
                <w:szCs w:val="20"/>
              </w:rPr>
            </w:pPr>
          </w:p>
        </w:tc>
        <w:tc>
          <w:tcPr>
            <w:tcW w:w="7006" w:type="dxa"/>
            <w:tcBorders>
              <w:top w:val="single" w:color="3F3F3F" w:sz="4" w:space="0"/>
              <w:left w:val="nil"/>
              <w:bottom w:val="single" w:color="3F3F3F" w:sz="4" w:space="0"/>
              <w:right w:val="single" w:color="3F3F3F" w:sz="4" w:space="0"/>
            </w:tcBorders>
            <w:shd w:val="clear" w:color="000000" w:fill="FFFFFF"/>
          </w:tcPr>
          <w:p>
            <w:pPr>
              <w:spacing w:line="360" w:lineRule="auto"/>
              <w:jc w:val="left"/>
              <w:rPr>
                <w:rFonts w:ascii="宋体" w:hAnsi="宋体"/>
                <w:szCs w:val="21"/>
              </w:rPr>
            </w:pPr>
            <w:r>
              <w:rPr>
                <w:rFonts w:hint="eastAsia" w:ascii="宋体" w:hAnsi="宋体"/>
                <w:szCs w:val="21"/>
              </w:rPr>
              <w:t>2、</w:t>
            </w:r>
            <w:r>
              <w:rPr>
                <w:rFonts w:hint="eastAsia" w:ascii="宋体" w:hAnsi="宋体" w:cs="宋体"/>
                <w:szCs w:val="21"/>
              </w:rPr>
              <w:t>▲具有</w:t>
            </w:r>
            <w:r>
              <w:rPr>
                <w:rFonts w:hint="eastAsia" w:ascii="宋体" w:hAnsi="宋体"/>
                <w:szCs w:val="21"/>
              </w:rPr>
              <w:t>光控智能手柄，拿起或放下手柄实现测量软件智能启动或关闭；</w:t>
            </w:r>
          </w:p>
        </w:tc>
      </w:tr>
      <w:tr>
        <w:tblPrEx>
          <w:tblCellMar>
            <w:top w:w="0" w:type="dxa"/>
            <w:left w:w="108" w:type="dxa"/>
            <w:bottom w:w="0" w:type="dxa"/>
            <w:right w:w="108" w:type="dxa"/>
          </w:tblCellMar>
        </w:tblPrEx>
        <w:trPr>
          <w:trHeight w:val="422" w:hRule="atLeast"/>
          <w:jc w:val="center"/>
        </w:trPr>
        <w:tc>
          <w:tcPr>
            <w:tcW w:w="660" w:type="dxa"/>
            <w:vMerge w:val="continue"/>
            <w:tcBorders>
              <w:left w:val="single" w:color="3F3F3F" w:sz="4" w:space="0"/>
              <w:right w:val="single" w:color="3F3F3F" w:sz="4" w:space="0"/>
            </w:tcBorders>
            <w:shd w:val="clear" w:color="auto" w:fill="auto"/>
            <w:vAlign w:val="center"/>
          </w:tcPr>
          <w:p>
            <w:pPr>
              <w:spacing w:line="360" w:lineRule="auto"/>
              <w:jc w:val="left"/>
              <w:rPr>
                <w:rFonts w:ascii="宋体" w:hAnsi="宋体" w:cs="宋体"/>
                <w:color w:val="3F3F3F"/>
                <w:kern w:val="0"/>
                <w:sz w:val="20"/>
                <w:szCs w:val="20"/>
              </w:rPr>
            </w:pPr>
          </w:p>
        </w:tc>
        <w:tc>
          <w:tcPr>
            <w:tcW w:w="1988" w:type="dxa"/>
            <w:vMerge w:val="continue"/>
            <w:tcBorders>
              <w:left w:val="single" w:color="3F3F3F" w:sz="4" w:space="0"/>
              <w:right w:val="single" w:color="3F3F3F" w:sz="4" w:space="0"/>
            </w:tcBorders>
            <w:shd w:val="clear" w:color="auto" w:fill="auto"/>
            <w:vAlign w:val="center"/>
          </w:tcPr>
          <w:p>
            <w:pPr>
              <w:spacing w:line="360" w:lineRule="auto"/>
              <w:jc w:val="center"/>
              <w:rPr>
                <w:rFonts w:ascii="宋体" w:hAnsi="宋体" w:cs="宋体"/>
                <w:color w:val="3F3F3F"/>
                <w:kern w:val="0"/>
                <w:sz w:val="20"/>
                <w:szCs w:val="20"/>
              </w:rPr>
            </w:pPr>
          </w:p>
        </w:tc>
        <w:tc>
          <w:tcPr>
            <w:tcW w:w="7006" w:type="dxa"/>
            <w:tcBorders>
              <w:top w:val="single" w:color="3F3F3F" w:sz="4" w:space="0"/>
              <w:left w:val="nil"/>
              <w:bottom w:val="single" w:color="3F3F3F" w:sz="4" w:space="0"/>
              <w:right w:val="single" w:color="3F3F3F" w:sz="4" w:space="0"/>
            </w:tcBorders>
            <w:shd w:val="clear" w:color="000000" w:fill="FFFFFF"/>
          </w:tcPr>
          <w:p>
            <w:pPr>
              <w:spacing w:line="360" w:lineRule="auto"/>
              <w:jc w:val="left"/>
              <w:rPr>
                <w:rFonts w:ascii="宋体" w:hAnsi="宋体"/>
                <w:szCs w:val="21"/>
              </w:rPr>
            </w:pPr>
            <w:r>
              <w:rPr>
                <w:rFonts w:hint="eastAsia" w:ascii="宋体" w:hAnsi="宋体"/>
                <w:szCs w:val="21"/>
              </w:rPr>
              <w:t>3、配备脚踏，通过脚踏控制鼻阻力测量的开始和结束；</w:t>
            </w:r>
          </w:p>
        </w:tc>
      </w:tr>
      <w:tr>
        <w:tblPrEx>
          <w:tblCellMar>
            <w:top w:w="0" w:type="dxa"/>
            <w:left w:w="108" w:type="dxa"/>
            <w:bottom w:w="0" w:type="dxa"/>
            <w:right w:w="108" w:type="dxa"/>
          </w:tblCellMar>
        </w:tblPrEx>
        <w:trPr>
          <w:trHeight w:val="400" w:hRule="atLeast"/>
          <w:jc w:val="center"/>
        </w:trPr>
        <w:tc>
          <w:tcPr>
            <w:tcW w:w="660" w:type="dxa"/>
            <w:vMerge w:val="continue"/>
            <w:tcBorders>
              <w:left w:val="single" w:color="3F3F3F" w:sz="4" w:space="0"/>
              <w:right w:val="single" w:color="3F3F3F" w:sz="4" w:space="0"/>
            </w:tcBorders>
            <w:shd w:val="clear" w:color="auto" w:fill="auto"/>
            <w:vAlign w:val="center"/>
          </w:tcPr>
          <w:p>
            <w:pPr>
              <w:spacing w:line="360" w:lineRule="auto"/>
              <w:jc w:val="left"/>
              <w:rPr>
                <w:rFonts w:ascii="宋体" w:hAnsi="宋体" w:cs="宋体"/>
                <w:color w:val="3F3F3F"/>
                <w:kern w:val="0"/>
                <w:sz w:val="20"/>
                <w:szCs w:val="20"/>
              </w:rPr>
            </w:pPr>
          </w:p>
        </w:tc>
        <w:tc>
          <w:tcPr>
            <w:tcW w:w="1988" w:type="dxa"/>
            <w:vMerge w:val="continue"/>
            <w:tcBorders>
              <w:left w:val="single" w:color="3F3F3F" w:sz="4" w:space="0"/>
              <w:right w:val="single" w:color="3F3F3F" w:sz="4" w:space="0"/>
            </w:tcBorders>
            <w:shd w:val="clear" w:color="auto" w:fill="auto"/>
            <w:vAlign w:val="center"/>
          </w:tcPr>
          <w:p>
            <w:pPr>
              <w:spacing w:line="360" w:lineRule="auto"/>
              <w:jc w:val="center"/>
              <w:rPr>
                <w:rFonts w:ascii="宋体" w:hAnsi="宋体" w:cs="宋体"/>
                <w:color w:val="3F3F3F"/>
                <w:kern w:val="0"/>
                <w:sz w:val="20"/>
                <w:szCs w:val="20"/>
              </w:rPr>
            </w:pPr>
          </w:p>
        </w:tc>
        <w:tc>
          <w:tcPr>
            <w:tcW w:w="7006" w:type="dxa"/>
            <w:tcBorders>
              <w:top w:val="single" w:color="3F3F3F" w:sz="4" w:space="0"/>
              <w:left w:val="nil"/>
              <w:bottom w:val="single" w:color="3F3F3F" w:sz="4" w:space="0"/>
              <w:right w:val="single" w:color="3F3F3F" w:sz="4" w:space="0"/>
            </w:tcBorders>
            <w:shd w:val="clear" w:color="000000" w:fill="FFFFFF"/>
          </w:tcPr>
          <w:p>
            <w:pPr>
              <w:spacing w:line="360" w:lineRule="auto"/>
              <w:jc w:val="left"/>
              <w:rPr>
                <w:rFonts w:ascii="宋体" w:hAnsi="宋体"/>
                <w:szCs w:val="21"/>
              </w:rPr>
            </w:pPr>
            <w:r>
              <w:rPr>
                <w:rFonts w:hint="eastAsia" w:ascii="宋体" w:hAnsi="宋体"/>
                <w:b w:val="0"/>
                <w:bCs w:val="0"/>
                <w:szCs w:val="21"/>
              </w:rPr>
              <w:t>4、测量及压力橄榄头可高温高压消毒并重复使用；</w:t>
            </w:r>
          </w:p>
        </w:tc>
      </w:tr>
      <w:tr>
        <w:tblPrEx>
          <w:tblCellMar>
            <w:top w:w="0" w:type="dxa"/>
            <w:left w:w="108" w:type="dxa"/>
            <w:bottom w:w="0" w:type="dxa"/>
            <w:right w:w="108" w:type="dxa"/>
          </w:tblCellMar>
        </w:tblPrEx>
        <w:trPr>
          <w:trHeight w:val="421" w:hRule="atLeast"/>
          <w:jc w:val="center"/>
        </w:trPr>
        <w:tc>
          <w:tcPr>
            <w:tcW w:w="660" w:type="dxa"/>
            <w:vMerge w:val="continue"/>
            <w:tcBorders>
              <w:left w:val="single" w:color="3F3F3F" w:sz="4" w:space="0"/>
              <w:right w:val="single" w:color="3F3F3F" w:sz="4" w:space="0"/>
            </w:tcBorders>
            <w:shd w:val="clear" w:color="auto" w:fill="auto"/>
            <w:vAlign w:val="center"/>
          </w:tcPr>
          <w:p>
            <w:pPr>
              <w:spacing w:line="360" w:lineRule="auto"/>
              <w:jc w:val="left"/>
              <w:rPr>
                <w:rFonts w:ascii="宋体" w:hAnsi="宋体" w:cs="宋体"/>
                <w:color w:val="3F3F3F"/>
                <w:kern w:val="0"/>
                <w:sz w:val="20"/>
                <w:szCs w:val="20"/>
              </w:rPr>
            </w:pPr>
          </w:p>
        </w:tc>
        <w:tc>
          <w:tcPr>
            <w:tcW w:w="1988" w:type="dxa"/>
            <w:vMerge w:val="continue"/>
            <w:tcBorders>
              <w:left w:val="single" w:color="3F3F3F" w:sz="4" w:space="0"/>
              <w:right w:val="single" w:color="3F3F3F" w:sz="4" w:space="0"/>
            </w:tcBorders>
            <w:shd w:val="clear" w:color="auto" w:fill="auto"/>
            <w:vAlign w:val="center"/>
          </w:tcPr>
          <w:p>
            <w:pPr>
              <w:spacing w:line="360" w:lineRule="auto"/>
              <w:jc w:val="center"/>
              <w:rPr>
                <w:rFonts w:ascii="宋体" w:hAnsi="宋体" w:cs="宋体"/>
                <w:color w:val="3F3F3F"/>
                <w:kern w:val="0"/>
                <w:sz w:val="20"/>
                <w:szCs w:val="20"/>
              </w:rPr>
            </w:pPr>
          </w:p>
        </w:tc>
        <w:tc>
          <w:tcPr>
            <w:tcW w:w="7006" w:type="dxa"/>
            <w:tcBorders>
              <w:top w:val="single" w:color="3F3F3F" w:sz="4" w:space="0"/>
              <w:left w:val="nil"/>
              <w:bottom w:val="single" w:color="3F3F3F" w:sz="4" w:space="0"/>
              <w:right w:val="single" w:color="3F3F3F" w:sz="4" w:space="0"/>
            </w:tcBorders>
            <w:shd w:val="clear" w:color="000000" w:fill="FFFFFF"/>
          </w:tcPr>
          <w:p>
            <w:pPr>
              <w:spacing w:line="360" w:lineRule="auto"/>
              <w:jc w:val="left"/>
              <w:rPr>
                <w:rFonts w:ascii="宋体" w:hAnsi="宋体"/>
                <w:szCs w:val="21"/>
              </w:rPr>
            </w:pPr>
            <w:r>
              <w:rPr>
                <w:rFonts w:hint="eastAsia" w:ascii="宋体" w:hAnsi="宋体"/>
                <w:szCs w:val="21"/>
              </w:rPr>
              <w:t>5、</w:t>
            </w:r>
            <w:r>
              <w:rPr>
                <w:rFonts w:hint="eastAsia" w:ascii="宋体" w:hAnsi="宋体" w:cs="宋体"/>
                <w:szCs w:val="21"/>
              </w:rPr>
              <w:t>▲可</w:t>
            </w:r>
            <w:r>
              <w:rPr>
                <w:rFonts w:hint="eastAsia" w:ascii="宋体" w:hAnsi="宋体"/>
                <w:szCs w:val="21"/>
              </w:rPr>
              <w:t>实时体现左右鼻道呼吸量数值之和的参考范围，参考范围可根据临床需求进行调整；</w:t>
            </w:r>
          </w:p>
        </w:tc>
      </w:tr>
      <w:tr>
        <w:tblPrEx>
          <w:tblCellMar>
            <w:top w:w="0" w:type="dxa"/>
            <w:left w:w="108" w:type="dxa"/>
            <w:bottom w:w="0" w:type="dxa"/>
            <w:right w:w="108" w:type="dxa"/>
          </w:tblCellMar>
        </w:tblPrEx>
        <w:trPr>
          <w:trHeight w:val="421" w:hRule="atLeast"/>
          <w:jc w:val="center"/>
        </w:trPr>
        <w:tc>
          <w:tcPr>
            <w:tcW w:w="660" w:type="dxa"/>
            <w:vMerge w:val="continue"/>
            <w:tcBorders>
              <w:left w:val="single" w:color="3F3F3F" w:sz="4" w:space="0"/>
              <w:right w:val="single" w:color="3F3F3F" w:sz="4" w:space="0"/>
            </w:tcBorders>
            <w:shd w:val="clear" w:color="auto" w:fill="auto"/>
            <w:vAlign w:val="center"/>
          </w:tcPr>
          <w:p>
            <w:pPr>
              <w:spacing w:line="360" w:lineRule="auto"/>
              <w:jc w:val="left"/>
              <w:rPr>
                <w:rFonts w:ascii="宋体" w:hAnsi="宋体" w:cs="宋体"/>
                <w:color w:val="3F3F3F"/>
                <w:kern w:val="0"/>
                <w:sz w:val="20"/>
                <w:szCs w:val="20"/>
              </w:rPr>
            </w:pPr>
          </w:p>
        </w:tc>
        <w:tc>
          <w:tcPr>
            <w:tcW w:w="1988" w:type="dxa"/>
            <w:vMerge w:val="continue"/>
            <w:tcBorders>
              <w:left w:val="single" w:color="3F3F3F" w:sz="4" w:space="0"/>
              <w:right w:val="single" w:color="3F3F3F" w:sz="4" w:space="0"/>
            </w:tcBorders>
            <w:shd w:val="clear" w:color="auto" w:fill="auto"/>
            <w:vAlign w:val="center"/>
          </w:tcPr>
          <w:p>
            <w:pPr>
              <w:spacing w:line="360" w:lineRule="auto"/>
              <w:jc w:val="center"/>
              <w:rPr>
                <w:rFonts w:ascii="宋体" w:hAnsi="宋体" w:cs="宋体"/>
                <w:color w:val="3F3F3F"/>
                <w:kern w:val="0"/>
                <w:sz w:val="20"/>
                <w:szCs w:val="20"/>
              </w:rPr>
            </w:pPr>
          </w:p>
        </w:tc>
        <w:tc>
          <w:tcPr>
            <w:tcW w:w="7006" w:type="dxa"/>
            <w:tcBorders>
              <w:top w:val="single" w:color="3F3F3F" w:sz="4" w:space="0"/>
              <w:left w:val="nil"/>
              <w:bottom w:val="single" w:color="3F3F3F" w:sz="4" w:space="0"/>
              <w:right w:val="single" w:color="3F3F3F" w:sz="4" w:space="0"/>
            </w:tcBorders>
            <w:shd w:val="clear" w:color="000000" w:fill="FFFFFF"/>
          </w:tcPr>
          <w:p>
            <w:pPr>
              <w:spacing w:line="360" w:lineRule="auto"/>
              <w:jc w:val="left"/>
              <w:rPr>
                <w:rFonts w:ascii="宋体" w:hAnsi="宋体"/>
                <w:szCs w:val="21"/>
              </w:rPr>
            </w:pPr>
            <w:r>
              <w:rPr>
                <w:rFonts w:hint="eastAsia" w:ascii="宋体" w:hAnsi="宋体"/>
                <w:szCs w:val="21"/>
              </w:rPr>
              <w:t>6、</w:t>
            </w:r>
            <w:r>
              <w:rPr>
                <w:rFonts w:hint="eastAsia" w:ascii="宋体" w:hAnsi="宋体" w:cs="宋体"/>
                <w:szCs w:val="21"/>
              </w:rPr>
              <w:t>▲</w:t>
            </w:r>
            <w:r>
              <w:rPr>
                <w:rFonts w:hint="eastAsia" w:ascii="宋体" w:hAnsi="宋体"/>
                <w:szCs w:val="21"/>
              </w:rPr>
              <w:t>软件可根据临床需求对测量分析指标进行调整；</w:t>
            </w:r>
          </w:p>
        </w:tc>
      </w:tr>
      <w:tr>
        <w:tblPrEx>
          <w:tblCellMar>
            <w:top w:w="0" w:type="dxa"/>
            <w:left w:w="108" w:type="dxa"/>
            <w:bottom w:w="0" w:type="dxa"/>
            <w:right w:w="108" w:type="dxa"/>
          </w:tblCellMar>
        </w:tblPrEx>
        <w:trPr>
          <w:trHeight w:val="421" w:hRule="atLeast"/>
          <w:jc w:val="center"/>
        </w:trPr>
        <w:tc>
          <w:tcPr>
            <w:tcW w:w="660" w:type="dxa"/>
            <w:vMerge w:val="continue"/>
            <w:tcBorders>
              <w:left w:val="single" w:color="3F3F3F" w:sz="4" w:space="0"/>
              <w:right w:val="single" w:color="3F3F3F" w:sz="4" w:space="0"/>
            </w:tcBorders>
            <w:shd w:val="clear" w:color="auto" w:fill="auto"/>
            <w:vAlign w:val="center"/>
          </w:tcPr>
          <w:p>
            <w:pPr>
              <w:spacing w:line="360" w:lineRule="auto"/>
              <w:jc w:val="left"/>
              <w:rPr>
                <w:rFonts w:ascii="宋体" w:hAnsi="宋体" w:cs="宋体"/>
                <w:color w:val="3F3F3F"/>
                <w:kern w:val="0"/>
                <w:sz w:val="20"/>
                <w:szCs w:val="20"/>
              </w:rPr>
            </w:pPr>
          </w:p>
        </w:tc>
        <w:tc>
          <w:tcPr>
            <w:tcW w:w="1988" w:type="dxa"/>
            <w:vMerge w:val="continue"/>
            <w:tcBorders>
              <w:left w:val="single" w:color="3F3F3F" w:sz="4" w:space="0"/>
              <w:right w:val="single" w:color="3F3F3F" w:sz="4" w:space="0"/>
            </w:tcBorders>
            <w:shd w:val="clear" w:color="auto" w:fill="auto"/>
            <w:vAlign w:val="center"/>
          </w:tcPr>
          <w:p>
            <w:pPr>
              <w:spacing w:line="360" w:lineRule="auto"/>
              <w:jc w:val="center"/>
              <w:rPr>
                <w:rFonts w:ascii="宋体" w:hAnsi="宋体" w:cs="宋体"/>
                <w:color w:val="3F3F3F"/>
                <w:kern w:val="0"/>
                <w:sz w:val="20"/>
                <w:szCs w:val="20"/>
              </w:rPr>
            </w:pPr>
          </w:p>
        </w:tc>
        <w:tc>
          <w:tcPr>
            <w:tcW w:w="7006" w:type="dxa"/>
            <w:tcBorders>
              <w:top w:val="single" w:color="3F3F3F" w:sz="4" w:space="0"/>
              <w:left w:val="nil"/>
              <w:bottom w:val="single" w:color="3F3F3F" w:sz="4" w:space="0"/>
              <w:right w:val="single" w:color="3F3F3F" w:sz="4" w:space="0"/>
            </w:tcBorders>
            <w:shd w:val="clear" w:color="000000" w:fill="FFFFFF"/>
          </w:tcPr>
          <w:p>
            <w:pPr>
              <w:spacing w:line="360" w:lineRule="auto"/>
              <w:jc w:val="left"/>
              <w:rPr>
                <w:rFonts w:ascii="宋体" w:hAnsi="宋体"/>
                <w:szCs w:val="21"/>
              </w:rPr>
            </w:pPr>
            <w:r>
              <w:rPr>
                <w:rFonts w:hint="eastAsia" w:ascii="宋体" w:hAnsi="宋体"/>
                <w:szCs w:val="21"/>
              </w:rPr>
              <w:t>7、</w:t>
            </w:r>
            <w:r>
              <w:rPr>
                <w:rFonts w:hint="eastAsia" w:ascii="宋体" w:hAnsi="宋体" w:cs="宋体"/>
                <w:szCs w:val="21"/>
              </w:rPr>
              <w:t>▲</w:t>
            </w:r>
            <w:r>
              <w:rPr>
                <w:rFonts w:hint="eastAsia" w:ascii="宋体" w:hAnsi="宋体"/>
                <w:szCs w:val="21"/>
              </w:rPr>
              <w:t>测量过程中分别实时显示测量时左、右侧鼻腔流量及压力变化曲线，并在报告中体现，无需额外设备帮助实现此功能；</w:t>
            </w:r>
          </w:p>
        </w:tc>
      </w:tr>
      <w:tr>
        <w:tblPrEx>
          <w:tblCellMar>
            <w:top w:w="0" w:type="dxa"/>
            <w:left w:w="108" w:type="dxa"/>
            <w:bottom w:w="0" w:type="dxa"/>
            <w:right w:w="108" w:type="dxa"/>
          </w:tblCellMar>
        </w:tblPrEx>
        <w:trPr>
          <w:trHeight w:val="421" w:hRule="atLeast"/>
          <w:jc w:val="center"/>
        </w:trPr>
        <w:tc>
          <w:tcPr>
            <w:tcW w:w="660" w:type="dxa"/>
            <w:vMerge w:val="continue"/>
            <w:tcBorders>
              <w:left w:val="single" w:color="3F3F3F" w:sz="4" w:space="0"/>
              <w:right w:val="single" w:color="3F3F3F" w:sz="4" w:space="0"/>
            </w:tcBorders>
            <w:shd w:val="clear" w:color="auto" w:fill="auto"/>
            <w:vAlign w:val="center"/>
          </w:tcPr>
          <w:p>
            <w:pPr>
              <w:spacing w:line="360" w:lineRule="auto"/>
              <w:jc w:val="left"/>
              <w:rPr>
                <w:rFonts w:ascii="宋体" w:hAnsi="宋体" w:cs="宋体"/>
                <w:color w:val="3F3F3F"/>
                <w:kern w:val="0"/>
                <w:sz w:val="20"/>
                <w:szCs w:val="20"/>
              </w:rPr>
            </w:pPr>
          </w:p>
        </w:tc>
        <w:tc>
          <w:tcPr>
            <w:tcW w:w="1988" w:type="dxa"/>
            <w:vMerge w:val="continue"/>
            <w:tcBorders>
              <w:left w:val="single" w:color="3F3F3F" w:sz="4" w:space="0"/>
              <w:right w:val="single" w:color="3F3F3F" w:sz="4" w:space="0"/>
            </w:tcBorders>
            <w:shd w:val="clear" w:color="auto" w:fill="auto"/>
            <w:vAlign w:val="center"/>
          </w:tcPr>
          <w:p>
            <w:pPr>
              <w:spacing w:line="360" w:lineRule="auto"/>
              <w:jc w:val="center"/>
              <w:rPr>
                <w:rFonts w:ascii="宋体" w:hAnsi="宋体" w:cs="宋体"/>
                <w:color w:val="3F3F3F"/>
                <w:kern w:val="0"/>
                <w:sz w:val="20"/>
                <w:szCs w:val="20"/>
              </w:rPr>
            </w:pPr>
          </w:p>
        </w:tc>
        <w:tc>
          <w:tcPr>
            <w:tcW w:w="7006" w:type="dxa"/>
            <w:tcBorders>
              <w:top w:val="single" w:color="3F3F3F" w:sz="4" w:space="0"/>
              <w:left w:val="nil"/>
              <w:bottom w:val="single" w:color="3F3F3F" w:sz="4" w:space="0"/>
              <w:right w:val="single" w:color="3F3F3F" w:sz="4" w:space="0"/>
            </w:tcBorders>
            <w:shd w:val="clear" w:color="000000" w:fill="FFFFFF"/>
          </w:tcPr>
          <w:p>
            <w:pPr>
              <w:spacing w:line="360" w:lineRule="auto"/>
              <w:jc w:val="left"/>
              <w:rPr>
                <w:rFonts w:ascii="宋体" w:hAnsi="宋体"/>
                <w:szCs w:val="21"/>
              </w:rPr>
            </w:pPr>
            <w:r>
              <w:rPr>
                <w:rFonts w:hint="eastAsia" w:ascii="宋体" w:hAnsi="宋体"/>
                <w:szCs w:val="21"/>
              </w:rPr>
              <w:t>8、</w:t>
            </w:r>
            <w:r>
              <w:rPr>
                <w:rFonts w:hint="eastAsia" w:ascii="宋体" w:hAnsi="宋体" w:cs="宋体"/>
                <w:szCs w:val="21"/>
              </w:rPr>
              <w:t>▲</w:t>
            </w:r>
            <w:r>
              <w:rPr>
                <w:rFonts w:hint="eastAsia" w:ascii="宋体" w:hAnsi="宋体"/>
                <w:szCs w:val="21"/>
              </w:rPr>
              <w:t>可将最多3次不同时间测量结果进行呼吸量对比，同时将柱状图对比表、变幅比、3次不同的测量客观评估及医生主观评估在同一张报告中显示；</w:t>
            </w:r>
          </w:p>
        </w:tc>
      </w:tr>
      <w:tr>
        <w:tblPrEx>
          <w:tblCellMar>
            <w:top w:w="0" w:type="dxa"/>
            <w:left w:w="108" w:type="dxa"/>
            <w:bottom w:w="0" w:type="dxa"/>
            <w:right w:w="108" w:type="dxa"/>
          </w:tblCellMar>
        </w:tblPrEx>
        <w:trPr>
          <w:trHeight w:val="421" w:hRule="atLeast"/>
          <w:jc w:val="center"/>
        </w:trPr>
        <w:tc>
          <w:tcPr>
            <w:tcW w:w="660" w:type="dxa"/>
            <w:vMerge w:val="continue"/>
            <w:tcBorders>
              <w:left w:val="single" w:color="3F3F3F" w:sz="4" w:space="0"/>
              <w:right w:val="single" w:color="3F3F3F" w:sz="4" w:space="0"/>
            </w:tcBorders>
            <w:shd w:val="clear" w:color="auto" w:fill="auto"/>
            <w:vAlign w:val="center"/>
          </w:tcPr>
          <w:p>
            <w:pPr>
              <w:spacing w:line="360" w:lineRule="auto"/>
              <w:jc w:val="left"/>
              <w:rPr>
                <w:rFonts w:ascii="宋体" w:hAnsi="宋体" w:cs="宋体"/>
                <w:color w:val="3F3F3F"/>
                <w:kern w:val="0"/>
                <w:sz w:val="20"/>
                <w:szCs w:val="20"/>
              </w:rPr>
            </w:pPr>
          </w:p>
        </w:tc>
        <w:tc>
          <w:tcPr>
            <w:tcW w:w="1988" w:type="dxa"/>
            <w:vMerge w:val="continue"/>
            <w:tcBorders>
              <w:left w:val="single" w:color="3F3F3F" w:sz="4" w:space="0"/>
              <w:right w:val="single" w:color="3F3F3F" w:sz="4" w:space="0"/>
            </w:tcBorders>
            <w:shd w:val="clear" w:color="auto" w:fill="auto"/>
            <w:vAlign w:val="center"/>
          </w:tcPr>
          <w:p>
            <w:pPr>
              <w:spacing w:line="360" w:lineRule="auto"/>
              <w:jc w:val="center"/>
              <w:rPr>
                <w:rFonts w:ascii="宋体" w:hAnsi="宋体" w:cs="宋体"/>
                <w:color w:val="3F3F3F"/>
                <w:kern w:val="0"/>
                <w:sz w:val="20"/>
                <w:szCs w:val="20"/>
              </w:rPr>
            </w:pPr>
          </w:p>
        </w:tc>
        <w:tc>
          <w:tcPr>
            <w:tcW w:w="7006" w:type="dxa"/>
            <w:tcBorders>
              <w:top w:val="single" w:color="3F3F3F" w:sz="4" w:space="0"/>
              <w:left w:val="nil"/>
              <w:bottom w:val="single" w:color="3F3F3F" w:sz="4" w:space="0"/>
              <w:right w:val="single" w:color="3F3F3F" w:sz="4" w:space="0"/>
            </w:tcBorders>
            <w:shd w:val="clear" w:color="000000" w:fill="FFFFFF"/>
          </w:tcPr>
          <w:p>
            <w:pPr>
              <w:spacing w:line="360" w:lineRule="auto"/>
              <w:rPr>
                <w:szCs w:val="21"/>
              </w:rPr>
            </w:pPr>
            <w:r>
              <w:rPr>
                <w:rFonts w:hint="eastAsia" w:ascii="宋体" w:hAnsi="宋体"/>
                <w:szCs w:val="21"/>
              </w:rPr>
              <w:t>9、标配8套儿童型小橄榄头，方便临床一次性高温高压消毒后多次测量轮替使用，提高设备周转率。</w:t>
            </w:r>
          </w:p>
        </w:tc>
      </w:tr>
      <w:tr>
        <w:tblPrEx>
          <w:tblCellMar>
            <w:top w:w="0" w:type="dxa"/>
            <w:left w:w="108" w:type="dxa"/>
            <w:bottom w:w="0" w:type="dxa"/>
            <w:right w:w="108" w:type="dxa"/>
          </w:tblCellMar>
        </w:tblPrEx>
        <w:trPr>
          <w:trHeight w:val="645" w:hRule="atLeast"/>
          <w:jc w:val="center"/>
        </w:trPr>
        <w:tc>
          <w:tcPr>
            <w:tcW w:w="9654" w:type="dxa"/>
            <w:gridSpan w:val="3"/>
            <w:tcBorders>
              <w:top w:val="single" w:color="3F3F3F" w:sz="4" w:space="0"/>
              <w:left w:val="single" w:color="3F3F3F" w:sz="4" w:space="0"/>
              <w:bottom w:val="single" w:color="3F3F3F" w:sz="4" w:space="0"/>
              <w:right w:val="single" w:color="3F3F3F" w:sz="4" w:space="0"/>
            </w:tcBorders>
            <w:shd w:val="clear" w:color="000000" w:fill="FFFFFF"/>
            <w:vAlign w:val="center"/>
          </w:tcPr>
          <w:p>
            <w:pPr>
              <w:widowControl/>
              <w:spacing w:line="360" w:lineRule="auto"/>
              <w:jc w:val="left"/>
              <w:rPr>
                <w:rFonts w:ascii="宋体" w:hAnsi="宋体" w:cs="宋体"/>
                <w:b/>
                <w:bCs/>
                <w:color w:val="3F3F3F"/>
                <w:kern w:val="0"/>
                <w:sz w:val="22"/>
              </w:rPr>
            </w:pPr>
            <w:r>
              <w:rPr>
                <w:rFonts w:hint="eastAsia" w:ascii="宋体" w:hAnsi="宋体" w:cs="宋体"/>
                <w:b/>
                <w:bCs/>
                <w:color w:val="3F3F3F"/>
                <w:kern w:val="0"/>
                <w:sz w:val="22"/>
              </w:rPr>
              <w:t>配置清单</w:t>
            </w:r>
          </w:p>
        </w:tc>
      </w:tr>
      <w:tr>
        <w:tblPrEx>
          <w:tblCellMar>
            <w:top w:w="0" w:type="dxa"/>
            <w:left w:w="108" w:type="dxa"/>
            <w:bottom w:w="0" w:type="dxa"/>
            <w:right w:w="108" w:type="dxa"/>
          </w:tblCellMar>
        </w:tblPrEx>
        <w:trPr>
          <w:trHeight w:val="645" w:hRule="atLeast"/>
          <w:jc w:val="center"/>
        </w:trPr>
        <w:tc>
          <w:tcPr>
            <w:tcW w:w="9654" w:type="dxa"/>
            <w:gridSpan w:val="3"/>
            <w:vMerge w:val="restart"/>
            <w:tcBorders>
              <w:top w:val="single" w:color="3F3F3F" w:sz="4" w:space="0"/>
              <w:left w:val="single" w:color="3F3F3F" w:sz="4" w:space="0"/>
              <w:bottom w:val="single" w:color="3F3F3F" w:sz="4" w:space="0"/>
              <w:right w:val="single" w:color="3F3F3F" w:sz="4" w:space="0"/>
            </w:tcBorders>
            <w:vAlign w:val="center"/>
          </w:tcPr>
          <w:p>
            <w:pPr>
              <w:spacing w:line="360" w:lineRule="auto"/>
              <w:rPr>
                <w:rFonts w:ascii="宋体" w:hAnsi="宋体"/>
                <w:kern w:val="0"/>
                <w:szCs w:val="21"/>
              </w:rPr>
            </w:pPr>
            <w:r>
              <w:rPr>
                <w:rFonts w:hint="eastAsia" w:ascii="宋体" w:hAnsi="宋体"/>
                <w:kern w:val="0"/>
                <w:szCs w:val="21"/>
              </w:rPr>
              <w:t>1、鼻阻力仪主机：1台</w:t>
            </w:r>
          </w:p>
          <w:p>
            <w:pPr>
              <w:spacing w:line="360" w:lineRule="auto"/>
              <w:rPr>
                <w:rFonts w:ascii="宋体" w:hAnsi="宋体"/>
                <w:kern w:val="0"/>
                <w:szCs w:val="21"/>
              </w:rPr>
            </w:pPr>
            <w:r>
              <w:rPr>
                <w:rFonts w:hint="eastAsia" w:ascii="宋体" w:hAnsi="宋体"/>
                <w:kern w:val="0"/>
                <w:szCs w:val="21"/>
              </w:rPr>
              <w:t>2、鼻阻力测量软件：</w:t>
            </w:r>
            <w:r>
              <w:rPr>
                <w:rFonts w:hint="eastAsia" w:ascii="宋体" w:hAnsi="宋体"/>
                <w:kern w:val="0"/>
                <w:szCs w:val="21"/>
              </w:rPr>
              <w:tab/>
            </w:r>
            <w:r>
              <w:rPr>
                <w:rFonts w:hint="eastAsia" w:ascii="宋体" w:hAnsi="宋体"/>
                <w:kern w:val="0"/>
                <w:szCs w:val="21"/>
              </w:rPr>
              <w:t>1套</w:t>
            </w:r>
          </w:p>
          <w:p>
            <w:pPr>
              <w:spacing w:line="360" w:lineRule="auto"/>
              <w:rPr>
                <w:rFonts w:ascii="宋体" w:hAnsi="宋体"/>
                <w:kern w:val="0"/>
                <w:szCs w:val="21"/>
              </w:rPr>
            </w:pPr>
            <w:r>
              <w:rPr>
                <w:rFonts w:hint="eastAsia" w:ascii="宋体" w:hAnsi="宋体"/>
                <w:kern w:val="0"/>
                <w:szCs w:val="21"/>
              </w:rPr>
              <w:t>3、控制脚踏：1个</w:t>
            </w:r>
          </w:p>
          <w:p>
            <w:pPr>
              <w:spacing w:line="360" w:lineRule="auto"/>
              <w:rPr>
                <w:rFonts w:ascii="宋体" w:hAnsi="宋体"/>
                <w:kern w:val="0"/>
                <w:szCs w:val="21"/>
              </w:rPr>
            </w:pPr>
            <w:r>
              <w:rPr>
                <w:rFonts w:hint="eastAsia" w:ascii="宋体" w:hAnsi="宋体"/>
                <w:kern w:val="0"/>
                <w:szCs w:val="21"/>
              </w:rPr>
              <w:t>4、自启光控手柄：1个</w:t>
            </w:r>
          </w:p>
          <w:p>
            <w:pPr>
              <w:spacing w:line="360" w:lineRule="auto"/>
              <w:rPr>
                <w:rFonts w:ascii="宋体" w:hAnsi="宋体"/>
                <w:kern w:val="0"/>
                <w:szCs w:val="21"/>
              </w:rPr>
            </w:pPr>
            <w:r>
              <w:rPr>
                <w:rFonts w:hint="eastAsia" w:ascii="宋体" w:hAnsi="宋体"/>
                <w:kern w:val="0"/>
                <w:szCs w:val="21"/>
              </w:rPr>
              <w:t>5、儿童型小橄榄头：8套</w:t>
            </w:r>
          </w:p>
          <w:p>
            <w:pPr>
              <w:spacing w:line="360" w:lineRule="auto"/>
              <w:rPr>
                <w:rFonts w:ascii="宋体" w:hAnsi="宋体"/>
                <w:kern w:val="0"/>
                <w:szCs w:val="21"/>
              </w:rPr>
            </w:pPr>
            <w:r>
              <w:rPr>
                <w:rFonts w:hint="eastAsia" w:ascii="宋体" w:hAnsi="宋体"/>
                <w:kern w:val="0"/>
                <w:szCs w:val="21"/>
              </w:rPr>
              <w:t>6、过滤垫棉套装：3包（共150对）</w:t>
            </w:r>
          </w:p>
          <w:p>
            <w:pPr>
              <w:spacing w:line="360" w:lineRule="auto"/>
              <w:rPr>
                <w:rFonts w:ascii="宋体" w:hAnsi="宋体"/>
                <w:kern w:val="0"/>
                <w:szCs w:val="21"/>
              </w:rPr>
            </w:pPr>
            <w:r>
              <w:rPr>
                <w:rFonts w:hint="eastAsia" w:ascii="宋体" w:hAnsi="宋体"/>
                <w:kern w:val="0"/>
                <w:szCs w:val="21"/>
              </w:rPr>
              <w:t>7、一体化电脑：1台</w:t>
            </w:r>
          </w:p>
          <w:p>
            <w:pPr>
              <w:spacing w:line="360" w:lineRule="auto"/>
              <w:rPr>
                <w:rFonts w:ascii="宋体" w:hAnsi="宋体"/>
                <w:kern w:val="0"/>
                <w:szCs w:val="21"/>
              </w:rPr>
            </w:pPr>
            <w:r>
              <w:rPr>
                <w:rFonts w:hint="eastAsia" w:ascii="宋体" w:hAnsi="宋体"/>
                <w:kern w:val="0"/>
                <w:szCs w:val="21"/>
              </w:rPr>
              <w:t>8、打印机</w:t>
            </w:r>
            <w:r>
              <w:rPr>
                <w:rFonts w:hint="eastAsia" w:ascii="宋体" w:hAnsi="宋体"/>
                <w:kern w:val="0"/>
                <w:szCs w:val="21"/>
              </w:rPr>
              <w:tab/>
            </w:r>
            <w:r>
              <w:rPr>
                <w:rFonts w:hint="eastAsia" w:ascii="宋体" w:hAnsi="宋体"/>
                <w:kern w:val="0"/>
                <w:szCs w:val="21"/>
              </w:rPr>
              <w:t>：1台</w:t>
            </w:r>
          </w:p>
          <w:p>
            <w:pPr>
              <w:spacing w:line="360" w:lineRule="auto"/>
              <w:rPr>
                <w:rFonts w:ascii="宋体" w:hAnsi="宋体"/>
                <w:kern w:val="0"/>
                <w:sz w:val="24"/>
              </w:rPr>
            </w:pPr>
            <w:r>
              <w:rPr>
                <w:rFonts w:hint="eastAsia" w:ascii="宋体" w:hAnsi="宋体"/>
                <w:kern w:val="0"/>
                <w:szCs w:val="21"/>
              </w:rPr>
              <w:t>9、鼻阻力专用台车：1个</w:t>
            </w:r>
          </w:p>
        </w:tc>
      </w:tr>
      <w:tr>
        <w:tblPrEx>
          <w:tblCellMar>
            <w:top w:w="0" w:type="dxa"/>
            <w:left w:w="108" w:type="dxa"/>
            <w:bottom w:w="0" w:type="dxa"/>
            <w:right w:w="108" w:type="dxa"/>
          </w:tblCellMar>
        </w:tblPrEx>
        <w:trPr>
          <w:trHeight w:val="645" w:hRule="atLeast"/>
          <w:jc w:val="center"/>
        </w:trPr>
        <w:tc>
          <w:tcPr>
            <w:tcW w:w="9654" w:type="dxa"/>
            <w:gridSpan w:val="3"/>
            <w:vMerge w:val="continue"/>
            <w:tcBorders>
              <w:top w:val="single" w:color="3F3F3F" w:sz="4" w:space="0"/>
              <w:left w:val="single" w:color="3F3F3F" w:sz="4" w:space="0"/>
              <w:bottom w:val="single" w:color="3F3F3F" w:sz="4" w:space="0"/>
              <w:right w:val="single" w:color="3F3F3F" w:sz="4" w:space="0"/>
            </w:tcBorders>
            <w:vAlign w:val="center"/>
          </w:tcPr>
          <w:p>
            <w:pPr>
              <w:widowControl/>
              <w:spacing w:line="360" w:lineRule="auto"/>
              <w:jc w:val="left"/>
              <w:rPr>
                <w:rFonts w:ascii="宋体" w:hAnsi="宋体" w:cs="宋体"/>
                <w:b/>
                <w:bCs/>
                <w:color w:val="3F3F3F"/>
                <w:kern w:val="0"/>
                <w:sz w:val="22"/>
              </w:rPr>
            </w:pPr>
          </w:p>
        </w:tc>
      </w:tr>
    </w:tbl>
    <w:p>
      <w:pPr>
        <w:spacing w:line="360" w:lineRule="auto"/>
        <w:rPr>
          <w:rFonts w:ascii="宋体" w:hAnsi="宋体"/>
          <w:b/>
          <w:bCs/>
          <w:snapToGrid w:val="0"/>
          <w:kern w:val="0"/>
          <w:sz w:val="24"/>
        </w:rPr>
      </w:pPr>
    </w:p>
    <w:p>
      <w:pPr>
        <w:spacing w:line="360" w:lineRule="auto"/>
        <w:rPr>
          <w:rFonts w:ascii="宋体" w:hAnsi="宋体"/>
          <w:b/>
          <w:bCs/>
          <w:snapToGrid w:val="0"/>
          <w:kern w:val="0"/>
          <w:sz w:val="24"/>
        </w:rPr>
      </w:pPr>
      <w:r>
        <w:rPr>
          <w:rFonts w:hint="eastAsia" w:ascii="宋体" w:hAnsi="宋体"/>
          <w:b/>
          <w:bCs/>
          <w:snapToGrid w:val="0"/>
          <w:kern w:val="0"/>
          <w:sz w:val="24"/>
        </w:rPr>
        <w:t>三、商务要求</w:t>
      </w:r>
    </w:p>
    <w:tbl>
      <w:tblPr>
        <w:tblStyle w:val="50"/>
        <w:tblW w:w="100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1620"/>
        <w:gridCol w:w="7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1620"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目录</w:t>
            </w:r>
          </w:p>
        </w:tc>
        <w:tc>
          <w:tcPr>
            <w:tcW w:w="7559"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13" w:type="dxa"/>
            <w:gridSpan w:val="3"/>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（一）免费保修期内售后服务要求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834"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1</w:t>
            </w:r>
          </w:p>
        </w:tc>
        <w:tc>
          <w:tcPr>
            <w:tcW w:w="1620" w:type="dxa"/>
            <w:vMerge w:val="restar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b/>
                <w:kern w:val="0"/>
                <w:szCs w:val="21"/>
              </w:rPr>
              <w:t>维修及维护服务</w:t>
            </w:r>
          </w:p>
        </w:tc>
        <w:tc>
          <w:tcPr>
            <w:tcW w:w="7559" w:type="dxa"/>
          </w:tcPr>
          <w:p>
            <w:pPr>
              <w:spacing w:line="360" w:lineRule="auto"/>
              <w:rPr>
                <w:rFonts w:asciiTheme="minorEastAsia" w:hAnsiTheme="minorEastAsia" w:eastAsiaTheme="minorEastAsia"/>
                <w:b/>
                <w:szCs w:val="21"/>
              </w:rPr>
            </w:pPr>
            <w:r>
              <w:rPr>
                <w:rFonts w:hint="eastAsia" w:asciiTheme="minorEastAsia" w:hAnsiTheme="minorEastAsia" w:eastAsiaTheme="minorEastAsia"/>
                <w:kern w:val="0"/>
                <w:szCs w:val="21"/>
                <w:highlight w:val="yellow"/>
              </w:rPr>
              <w:t>★</w:t>
            </w:r>
            <w:r>
              <w:rPr>
                <w:rFonts w:hint="eastAsia" w:asciiTheme="minorEastAsia" w:hAnsiTheme="minorEastAsia" w:eastAsiaTheme="minorEastAsia"/>
                <w:b/>
                <w:kern w:val="0"/>
                <w:szCs w:val="21"/>
                <w:highlight w:val="yellow"/>
              </w:rPr>
              <w:t>1.1各投标人应在投标文件中列明各主机、配件和易耗品的保修期限</w:t>
            </w:r>
            <w:r>
              <w:rPr>
                <w:rFonts w:asciiTheme="minorEastAsia" w:hAnsiTheme="minorEastAsia" w:eastAsiaTheme="minorEastAsia"/>
                <w:b/>
                <w:kern w:val="0"/>
                <w:szCs w:val="21"/>
                <w:highlight w:val="yellow"/>
              </w:rPr>
              <w:t>,</w:t>
            </w:r>
            <w:r>
              <w:rPr>
                <w:rFonts w:hint="eastAsia" w:asciiTheme="minorEastAsia" w:hAnsiTheme="minorEastAsia" w:eastAsiaTheme="minorEastAsia"/>
                <w:b/>
                <w:kern w:val="0"/>
                <w:szCs w:val="21"/>
                <w:highlight w:val="yellow"/>
              </w:rPr>
              <w:t>并承诺提供整机免费保修期</w:t>
            </w:r>
            <w:r>
              <w:rPr>
                <w:rFonts w:hint="eastAsia" w:asciiTheme="minorEastAsia" w:hAnsiTheme="minorEastAsia" w:eastAsiaTheme="minorEastAsia"/>
                <w:b/>
                <w:bCs/>
                <w:kern w:val="0"/>
                <w:szCs w:val="21"/>
                <w:highlight w:val="yellow"/>
                <w:u w:val="single"/>
              </w:rPr>
              <w:t>3</w:t>
            </w:r>
            <w:r>
              <w:rPr>
                <w:rFonts w:hint="eastAsia" w:asciiTheme="minorEastAsia" w:hAnsiTheme="minorEastAsia" w:eastAsiaTheme="minorEastAsia"/>
                <w:b/>
                <w:kern w:val="0"/>
                <w:szCs w:val="21"/>
                <w:highlight w:val="yellow"/>
              </w:rPr>
              <w:t>年</w:t>
            </w:r>
            <w:r>
              <w:rPr>
                <w:rFonts w:asciiTheme="minorEastAsia" w:hAnsiTheme="minorEastAsia" w:eastAsiaTheme="minorEastAsia"/>
                <w:b/>
                <w:kern w:val="0"/>
                <w:szCs w:val="21"/>
                <w:highlight w:val="yellow"/>
              </w:rPr>
              <w:t>,</w:t>
            </w:r>
            <w:r>
              <w:rPr>
                <w:rFonts w:hint="eastAsia" w:asciiTheme="minorEastAsia" w:hAnsiTheme="minorEastAsia" w:eastAsiaTheme="minorEastAsia"/>
                <w:b/>
                <w:kern w:val="0"/>
                <w:szCs w:val="21"/>
                <w:highlight w:val="yellow"/>
              </w:rPr>
              <w:t>终身维修。保修期内</w:t>
            </w:r>
            <w:r>
              <w:rPr>
                <w:rFonts w:asciiTheme="minorEastAsia" w:hAnsiTheme="minorEastAsia" w:eastAsiaTheme="minorEastAsia"/>
                <w:b/>
                <w:kern w:val="0"/>
                <w:szCs w:val="21"/>
                <w:highlight w:val="yellow"/>
              </w:rPr>
              <w:t>,</w:t>
            </w:r>
            <w:r>
              <w:rPr>
                <w:rFonts w:hint="eastAsia" w:asciiTheme="minorEastAsia" w:hAnsiTheme="minorEastAsia" w:eastAsiaTheme="minorEastAsia"/>
                <w:b/>
                <w:kern w:val="0"/>
                <w:szCs w:val="21"/>
                <w:highlight w:val="yellow"/>
              </w:rPr>
              <w:t>年度定期预防性维护保养次数应不少于</w:t>
            </w:r>
            <w:r>
              <w:rPr>
                <w:rFonts w:hint="eastAsia" w:asciiTheme="minorEastAsia" w:hAnsiTheme="minorEastAsia" w:eastAsiaTheme="minorEastAsia"/>
                <w:b/>
                <w:bCs/>
                <w:kern w:val="0"/>
                <w:szCs w:val="21"/>
                <w:highlight w:val="yellow"/>
                <w:u w:val="single"/>
              </w:rPr>
              <w:t xml:space="preserve">  4  </w:t>
            </w:r>
            <w:r>
              <w:rPr>
                <w:rFonts w:hint="eastAsia" w:asciiTheme="minorEastAsia" w:hAnsiTheme="minorEastAsia" w:eastAsiaTheme="minorEastAsia"/>
                <w:b/>
                <w:kern w:val="0"/>
                <w:szCs w:val="21"/>
                <w:highlight w:val="yellow"/>
              </w:rPr>
              <w:t>次。保修期内免费更换零配件、免工时费。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bCs/>
                <w:szCs w:val="21"/>
              </w:rPr>
            </w:pPr>
            <w:r>
              <w:rPr>
                <w:rFonts w:hint="eastAsia" w:asciiTheme="minorEastAsia" w:hAnsiTheme="minorEastAsia" w:eastAsiaTheme="minorEastAsia"/>
                <w:kern w:val="0"/>
                <w:szCs w:val="21"/>
              </w:rPr>
              <w:t>1.2由设备制造商提供售后服务，</w:t>
            </w:r>
            <w:r>
              <w:rPr>
                <w:rFonts w:hint="eastAsia" w:asciiTheme="minorEastAsia" w:hAnsiTheme="minorEastAsia" w:eastAsiaTheme="minorEastAsia"/>
                <w:bCs/>
                <w:kern w:val="0"/>
                <w:szCs w:val="21"/>
                <w:u w:val="single"/>
              </w:rPr>
              <w:t xml:space="preserve">  2  </w:t>
            </w:r>
            <w:r>
              <w:rPr>
                <w:rFonts w:hint="eastAsia" w:asciiTheme="minorEastAsia" w:hAnsiTheme="minorEastAsia" w:eastAsiaTheme="minorEastAsia"/>
                <w:kern w:val="0"/>
                <w:szCs w:val="21"/>
              </w:rPr>
              <w:t>小时内响应，</w:t>
            </w:r>
            <w:r>
              <w:rPr>
                <w:rFonts w:hint="eastAsia" w:asciiTheme="minorEastAsia" w:hAnsiTheme="minorEastAsia" w:eastAsiaTheme="minorEastAsia"/>
                <w:bCs/>
                <w:kern w:val="0"/>
                <w:szCs w:val="21"/>
                <w:u w:val="single"/>
              </w:rPr>
              <w:t xml:space="preserve">  24  </w:t>
            </w:r>
            <w:r>
              <w:rPr>
                <w:rFonts w:hint="eastAsia" w:asciiTheme="minorEastAsia" w:hAnsiTheme="minorEastAsia" w:eastAsiaTheme="minorEastAsia"/>
                <w:kern w:val="0"/>
                <w:szCs w:val="21"/>
              </w:rPr>
              <w:t>小时维修到位（不可抗力情况除外）。消耗品和零配件供应及时，特殊情况下可提供备用机。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bCs/>
                <w:szCs w:val="21"/>
              </w:rPr>
            </w:pPr>
            <w:r>
              <w:rPr>
                <w:rFonts w:hint="eastAsia" w:asciiTheme="minorEastAsia" w:hAnsiTheme="minorEastAsia" w:eastAsiaTheme="minorEastAsia"/>
                <w:kern w:val="0"/>
                <w:szCs w:val="21"/>
              </w:rPr>
              <w:t>1.3投标人负责货物的终身维修，保证</w:t>
            </w:r>
            <w:r>
              <w:rPr>
                <w:rFonts w:hint="eastAsia" w:asciiTheme="minorEastAsia" w:hAnsiTheme="minorEastAsia" w:eastAsiaTheme="minorEastAsia"/>
                <w:bCs/>
                <w:kern w:val="0"/>
                <w:szCs w:val="21"/>
                <w:u w:val="single"/>
              </w:rPr>
              <w:t>终身</w:t>
            </w:r>
            <w:r>
              <w:rPr>
                <w:rFonts w:hint="eastAsia" w:asciiTheme="minorEastAsia" w:hAnsiTheme="minorEastAsia" w:eastAsiaTheme="minorEastAsia"/>
                <w:kern w:val="0"/>
                <w:szCs w:val="21"/>
              </w:rPr>
              <w:t>供应维修配件，</w:t>
            </w:r>
            <w:r>
              <w:rPr>
                <w:rFonts w:hint="eastAsia" w:asciiTheme="minorEastAsia" w:hAnsiTheme="minorEastAsia" w:eastAsiaTheme="minorEastAsia"/>
                <w:bCs/>
                <w:kern w:val="0"/>
                <w:szCs w:val="21"/>
                <w:u w:val="single"/>
              </w:rPr>
              <w:t xml:space="preserve">  3  </w:t>
            </w:r>
            <w:r>
              <w:rPr>
                <w:rFonts w:hint="eastAsia" w:asciiTheme="minorEastAsia" w:hAnsiTheme="minorEastAsia" w:eastAsiaTheme="minorEastAsia"/>
                <w:kern w:val="0"/>
                <w:szCs w:val="21"/>
              </w:rPr>
              <w:t>年内免费提供软件升级服务。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2</w:t>
            </w:r>
          </w:p>
        </w:tc>
        <w:tc>
          <w:tcPr>
            <w:tcW w:w="1620"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b/>
                <w:kern w:val="0"/>
                <w:szCs w:val="21"/>
              </w:rPr>
              <w:t>质量保证</w:t>
            </w:r>
          </w:p>
        </w:tc>
        <w:tc>
          <w:tcPr>
            <w:tcW w:w="7559" w:type="dxa"/>
          </w:tcPr>
          <w:p>
            <w:pPr>
              <w:spacing w:line="360" w:lineRule="auto"/>
              <w:rPr>
                <w:rFonts w:asciiTheme="minorEastAsia" w:hAnsiTheme="minorEastAsia" w:eastAsiaTheme="minorEastAsia"/>
                <w:color w:val="FF0000"/>
                <w:kern w:val="0"/>
                <w:szCs w:val="21"/>
              </w:rPr>
            </w:pPr>
            <w:r>
              <w:rPr>
                <w:rFonts w:hint="eastAsia" w:asciiTheme="minorEastAsia" w:hAnsiTheme="minorEastAsia" w:eastAsiaTheme="minorEastAsia"/>
                <w:kern w:val="0"/>
                <w:szCs w:val="21"/>
              </w:rPr>
              <w:t>2.1在保修期内</w:t>
            </w:r>
            <w:r>
              <w:rPr>
                <w:rFonts w:asciiTheme="minorEastAsia" w:hAnsiTheme="minorEastAsia" w:eastAsiaTheme="minorEastAsia"/>
                <w:kern w:val="0"/>
                <w:szCs w:val="21"/>
              </w:rPr>
              <w:t>,</w:t>
            </w:r>
            <w:r>
              <w:rPr>
                <w:rFonts w:hint="eastAsia" w:asciiTheme="minorEastAsia" w:hAnsiTheme="minorEastAsia" w:eastAsiaTheme="minorEastAsia"/>
                <w:kern w:val="0"/>
                <w:szCs w:val="21"/>
              </w:rPr>
              <w:t xml:space="preserve"> 投标人应确保年开机率在</w:t>
            </w:r>
            <w:r>
              <w:rPr>
                <w:rFonts w:asciiTheme="minorEastAsia" w:hAnsiTheme="minorEastAsia" w:eastAsiaTheme="minorEastAsia"/>
                <w:kern w:val="0"/>
                <w:szCs w:val="21"/>
              </w:rPr>
              <w:t>95%</w:t>
            </w:r>
            <w:r>
              <w:rPr>
                <w:rFonts w:hint="eastAsia" w:asciiTheme="minorEastAsia" w:hAnsiTheme="minorEastAsia" w:eastAsiaTheme="minorEastAsia"/>
                <w:kern w:val="0"/>
                <w:szCs w:val="21"/>
              </w:rPr>
              <w:t>以上</w:t>
            </w:r>
            <w:r>
              <w:rPr>
                <w:rFonts w:asciiTheme="minorEastAsia" w:hAnsiTheme="minorEastAsia" w:eastAsiaTheme="minorEastAsia"/>
                <w:kern w:val="0"/>
                <w:szCs w:val="21"/>
              </w:rPr>
              <w:t xml:space="preserve">, </w:t>
            </w:r>
            <w:r>
              <w:rPr>
                <w:rFonts w:hint="eastAsia" w:asciiTheme="minorEastAsia" w:hAnsiTheme="minorEastAsia" w:eastAsiaTheme="minorEastAsia"/>
                <w:kern w:val="0"/>
                <w:szCs w:val="21"/>
              </w:rPr>
              <w:t>若不能达到此开机率，将作以下处理：</w:t>
            </w:r>
            <w:r>
              <w:rPr>
                <w:rFonts w:asciiTheme="minorEastAsia" w:hAnsiTheme="minorEastAsia" w:eastAsiaTheme="minorEastAsia"/>
                <w:kern w:val="0"/>
                <w:szCs w:val="21"/>
              </w:rPr>
              <w:t>a.</w:t>
            </w:r>
            <w:r>
              <w:rPr>
                <w:rFonts w:hint="eastAsia" w:asciiTheme="minorEastAsia" w:hAnsiTheme="minorEastAsia" w:eastAsiaTheme="minorEastAsia"/>
                <w:kern w:val="0"/>
                <w:szCs w:val="21"/>
              </w:rPr>
              <w:t xml:space="preserve"> 年开机率在</w:t>
            </w:r>
            <w:r>
              <w:rPr>
                <w:rFonts w:asciiTheme="minorEastAsia" w:hAnsiTheme="minorEastAsia" w:eastAsiaTheme="minorEastAsia"/>
                <w:kern w:val="0"/>
                <w:szCs w:val="21"/>
              </w:rPr>
              <w:t>90-95%</w:t>
            </w:r>
            <w:r>
              <w:rPr>
                <w:rFonts w:hint="eastAsia" w:asciiTheme="minorEastAsia" w:hAnsiTheme="minorEastAsia" w:eastAsiaTheme="minorEastAsia"/>
                <w:kern w:val="0"/>
                <w:szCs w:val="21"/>
              </w:rPr>
              <w:t>之间按一赔</w:t>
            </w:r>
            <w:r>
              <w:rPr>
                <w:rFonts w:hint="eastAsia" w:asciiTheme="minorEastAsia" w:hAnsiTheme="minorEastAsia" w:eastAsiaTheme="minorEastAsia"/>
                <w:kern w:val="0"/>
                <w:szCs w:val="21"/>
                <w:u w:val="single"/>
              </w:rPr>
              <w:t xml:space="preserve">  二 </w:t>
            </w:r>
            <w:r>
              <w:rPr>
                <w:rFonts w:hint="eastAsia" w:asciiTheme="minorEastAsia" w:hAnsiTheme="minorEastAsia" w:eastAsiaTheme="minorEastAsia"/>
                <w:kern w:val="0"/>
                <w:szCs w:val="21"/>
              </w:rPr>
              <w:t>延长保修期；</w:t>
            </w:r>
            <w:r>
              <w:rPr>
                <w:rFonts w:asciiTheme="minorEastAsia" w:hAnsiTheme="minorEastAsia" w:eastAsiaTheme="minorEastAsia"/>
                <w:kern w:val="0"/>
                <w:szCs w:val="21"/>
              </w:rPr>
              <w:t>b.</w:t>
            </w:r>
            <w:r>
              <w:rPr>
                <w:rFonts w:hint="eastAsia" w:asciiTheme="minorEastAsia" w:hAnsiTheme="minorEastAsia" w:eastAsiaTheme="minorEastAsia"/>
                <w:kern w:val="0"/>
                <w:szCs w:val="21"/>
              </w:rPr>
              <w:t xml:space="preserve"> 年开机率在</w:t>
            </w:r>
            <w:r>
              <w:rPr>
                <w:rFonts w:asciiTheme="minorEastAsia" w:hAnsiTheme="minorEastAsia" w:eastAsiaTheme="minorEastAsia"/>
                <w:kern w:val="0"/>
                <w:szCs w:val="21"/>
              </w:rPr>
              <w:t>85-90%</w:t>
            </w:r>
            <w:r>
              <w:rPr>
                <w:rFonts w:hint="eastAsia" w:asciiTheme="minorEastAsia" w:hAnsiTheme="minorEastAsia" w:eastAsiaTheme="minorEastAsia"/>
                <w:kern w:val="0"/>
                <w:szCs w:val="21"/>
              </w:rPr>
              <w:t>之间按一赔</w:t>
            </w:r>
            <w:r>
              <w:rPr>
                <w:rFonts w:hint="eastAsia" w:asciiTheme="minorEastAsia" w:hAnsiTheme="minorEastAsia" w:eastAsiaTheme="minorEastAsia"/>
                <w:kern w:val="0"/>
                <w:szCs w:val="21"/>
                <w:u w:val="single"/>
              </w:rPr>
              <w:t xml:space="preserve">  五 </w:t>
            </w:r>
            <w:r>
              <w:rPr>
                <w:rFonts w:hint="eastAsia" w:asciiTheme="minorEastAsia" w:hAnsiTheme="minorEastAsia" w:eastAsiaTheme="minorEastAsia"/>
                <w:kern w:val="0"/>
                <w:szCs w:val="21"/>
              </w:rPr>
              <w:t>延长保修期；</w:t>
            </w:r>
            <w:r>
              <w:rPr>
                <w:rFonts w:asciiTheme="minorEastAsia" w:hAnsiTheme="minorEastAsia" w:eastAsiaTheme="minorEastAsia"/>
                <w:kern w:val="0"/>
                <w:szCs w:val="21"/>
              </w:rPr>
              <w:t>c.</w:t>
            </w:r>
            <w:r>
              <w:rPr>
                <w:rFonts w:hint="eastAsia" w:asciiTheme="minorEastAsia" w:hAnsiTheme="minorEastAsia" w:eastAsiaTheme="minorEastAsia"/>
                <w:kern w:val="0"/>
                <w:szCs w:val="21"/>
              </w:rPr>
              <w:t xml:space="preserve"> 年开机率低于</w:t>
            </w:r>
            <w:r>
              <w:rPr>
                <w:rFonts w:asciiTheme="minorEastAsia" w:hAnsiTheme="minorEastAsia" w:eastAsiaTheme="minorEastAsia"/>
                <w:kern w:val="0"/>
                <w:szCs w:val="21"/>
              </w:rPr>
              <w:t>85%</w:t>
            </w:r>
            <w:r>
              <w:rPr>
                <w:rFonts w:hint="eastAsia" w:asciiTheme="minorEastAsia" w:hAnsiTheme="minorEastAsia" w:eastAsiaTheme="minorEastAsia"/>
                <w:kern w:val="0"/>
                <w:szCs w:val="21"/>
              </w:rPr>
              <w:t>，投标人必须无条件更换新机，并重新计算保修期，以及赔偿用户的直接经济损失和间接经济损失。注：年开机率=（365-停机天数）/365）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13" w:type="dxa"/>
            <w:gridSpan w:val="3"/>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（二）免费保修期外售后服务要求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1</w:t>
            </w:r>
          </w:p>
        </w:tc>
        <w:tc>
          <w:tcPr>
            <w:tcW w:w="1620"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kern w:val="0"/>
                <w:szCs w:val="21"/>
              </w:rPr>
              <w:t>维修零配件、消耗品和延续保修合同的报价</w:t>
            </w:r>
          </w:p>
        </w:tc>
        <w:tc>
          <w:tcPr>
            <w:tcW w:w="7559" w:type="dxa"/>
          </w:tcPr>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1.1由设备制造商提供售后服务，</w:t>
            </w:r>
            <w:r>
              <w:rPr>
                <w:rFonts w:hint="eastAsia" w:asciiTheme="minorEastAsia" w:hAnsiTheme="minorEastAsia" w:eastAsiaTheme="minorEastAsia"/>
                <w:bCs/>
                <w:kern w:val="0"/>
                <w:szCs w:val="21"/>
                <w:u w:val="single"/>
              </w:rPr>
              <w:t xml:space="preserve">  2  </w:t>
            </w:r>
            <w:r>
              <w:rPr>
                <w:rFonts w:hint="eastAsia" w:asciiTheme="minorEastAsia" w:hAnsiTheme="minorEastAsia" w:eastAsiaTheme="minorEastAsia"/>
                <w:kern w:val="0"/>
                <w:szCs w:val="21"/>
              </w:rPr>
              <w:t>小时内响应，</w:t>
            </w:r>
            <w:r>
              <w:rPr>
                <w:rFonts w:hint="eastAsia" w:asciiTheme="minorEastAsia" w:hAnsiTheme="minorEastAsia" w:eastAsiaTheme="minorEastAsia"/>
                <w:bCs/>
                <w:kern w:val="0"/>
                <w:szCs w:val="21"/>
                <w:u w:val="single"/>
              </w:rPr>
              <w:t xml:space="preserve">  24  </w:t>
            </w:r>
            <w:r>
              <w:rPr>
                <w:rFonts w:hint="eastAsia" w:asciiTheme="minorEastAsia" w:hAnsiTheme="minorEastAsia" w:eastAsiaTheme="minorEastAsia"/>
                <w:kern w:val="0"/>
                <w:szCs w:val="21"/>
              </w:rPr>
              <w:t>小时维修到位（不可抗力情况除外）。消耗品和零配件供应及时，特殊情况下可提供备用机。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1.2保修期满后，投标人应以优惠价供应维修零配件、消耗品和延续保修合同。价格最高的前5项零配件、消耗品和延续保修合同的报价明细必须填写于《零配件、消耗品和延续保修合同报价明细清单》中。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szCs w:val="21"/>
              </w:rPr>
            </w:pPr>
          </w:p>
        </w:tc>
        <w:tc>
          <w:tcPr>
            <w:tcW w:w="7559" w:type="dxa"/>
          </w:tcPr>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1.3采购人可与投标人就优惠价进行谈判，但优惠价不得高于投标人在投标文件的《零配件、消耗品和延续保修合同报价明细清单》中承诺的维修零配件、消耗品和延续保修合同的报价。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szCs w:val="21"/>
              </w:rPr>
            </w:pPr>
          </w:p>
        </w:tc>
        <w:tc>
          <w:tcPr>
            <w:tcW w:w="7559" w:type="dxa"/>
          </w:tcPr>
          <w:p>
            <w:pPr>
              <w:spacing w:line="360" w:lineRule="auto"/>
              <w:rPr>
                <w:rFonts w:asciiTheme="minorEastAsia" w:hAnsiTheme="minorEastAsia" w:eastAsiaTheme="minorEastAsia"/>
                <w:b/>
                <w:szCs w:val="21"/>
              </w:rPr>
            </w:pPr>
            <w:r>
              <w:rPr>
                <w:rFonts w:hint="eastAsia" w:asciiTheme="minorEastAsia" w:hAnsiTheme="minorEastAsia" w:eastAsiaTheme="minorEastAsia"/>
                <w:kern w:val="0"/>
                <w:szCs w:val="21"/>
              </w:rPr>
              <w:t>1.4设备制造商维修的货物经采购人验收合格，且设备制造商提供维修专用发票后，采购人支付维修费用。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szCs w:val="21"/>
              </w:rPr>
            </w:pPr>
          </w:p>
        </w:tc>
        <w:tc>
          <w:tcPr>
            <w:tcW w:w="7559" w:type="dxa"/>
          </w:tcPr>
          <w:p>
            <w:pPr>
              <w:spacing w:line="360" w:lineRule="auto"/>
              <w:rPr>
                <w:rFonts w:asciiTheme="minorEastAsia" w:hAnsiTheme="minorEastAsia" w:eastAsiaTheme="minorEastAsia"/>
                <w:b/>
                <w:szCs w:val="21"/>
              </w:rPr>
            </w:pPr>
            <w:r>
              <w:rPr>
                <w:rFonts w:hint="eastAsia" w:asciiTheme="minorEastAsia" w:hAnsiTheme="minorEastAsia" w:eastAsiaTheme="minorEastAsia"/>
                <w:kern w:val="0"/>
                <w:szCs w:val="21"/>
              </w:rPr>
              <w:t>1.5投标人及设备制造商不得以任何理由不按时进行维修，不得要求采购人购买所谓“保修服务”（即：不论设备有无故障先买保修服务），不得在设备中嵌设任何不利于采购人使用与维修设备的障碍。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0013" w:type="dxa"/>
            <w:gridSpan w:val="3"/>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（三）其他商务要求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1</w:t>
            </w:r>
          </w:p>
        </w:tc>
        <w:tc>
          <w:tcPr>
            <w:tcW w:w="1620" w:type="dxa"/>
            <w:vMerge w:val="restar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b/>
                <w:szCs w:val="21"/>
              </w:rPr>
              <w:t>交货要求</w:t>
            </w:r>
          </w:p>
        </w:tc>
        <w:tc>
          <w:tcPr>
            <w:tcW w:w="7559" w:type="dxa"/>
          </w:tcPr>
          <w:p>
            <w:pPr>
              <w:spacing w:line="360" w:lineRule="auto"/>
              <w:rPr>
                <w:rFonts w:asciiTheme="minorEastAsia" w:hAnsiTheme="minorEastAsia" w:eastAsiaTheme="minorEastAsia"/>
                <w:b/>
                <w:szCs w:val="21"/>
              </w:rPr>
            </w:pPr>
            <w:r>
              <w:rPr>
                <w:rFonts w:hint="eastAsia" w:asciiTheme="minorEastAsia" w:hAnsiTheme="minorEastAsia" w:eastAsiaTheme="minorEastAsia"/>
                <w:kern w:val="0"/>
                <w:szCs w:val="21"/>
                <w:highlight w:val="yellow"/>
              </w:rPr>
              <w:t>★</w:t>
            </w:r>
            <w:r>
              <w:rPr>
                <w:rFonts w:hint="eastAsia" w:asciiTheme="minorEastAsia" w:hAnsiTheme="minorEastAsia" w:eastAsiaTheme="minorEastAsia"/>
                <w:b/>
                <w:bCs/>
                <w:szCs w:val="21"/>
                <w:highlight w:val="yellow"/>
              </w:rPr>
              <w:t>1.1</w:t>
            </w:r>
            <w:r>
              <w:rPr>
                <w:rFonts w:hint="eastAsia" w:asciiTheme="minorEastAsia" w:hAnsiTheme="minorEastAsia" w:eastAsiaTheme="minorEastAsia"/>
                <w:b/>
                <w:bCs/>
                <w:kern w:val="0"/>
                <w:szCs w:val="21"/>
                <w:highlight w:val="yellow"/>
              </w:rPr>
              <w:t>签订合同之日起</w:t>
            </w:r>
            <w:r>
              <w:rPr>
                <w:rFonts w:hint="eastAsia" w:asciiTheme="minorEastAsia" w:hAnsiTheme="minorEastAsia" w:eastAsiaTheme="minorEastAsia"/>
                <w:b/>
                <w:bCs/>
                <w:kern w:val="0"/>
                <w:szCs w:val="21"/>
                <w:highlight w:val="yellow"/>
                <w:u w:val="single"/>
              </w:rPr>
              <w:t>60</w:t>
            </w:r>
            <w:r>
              <w:rPr>
                <w:rFonts w:hint="eastAsia" w:asciiTheme="minorEastAsia" w:hAnsiTheme="minorEastAsia" w:eastAsiaTheme="minorEastAsia"/>
                <w:b/>
                <w:bCs/>
                <w:kern w:val="0"/>
                <w:szCs w:val="21"/>
                <w:highlight w:val="yellow"/>
              </w:rPr>
              <w:t>天（日历日）内交货。指合同生效后，中标方将全部货物运抵并安装调试完成，经验收合格，正式交付用户使用所需的时间（产品的附件、备品备件及专用工具、技术文件和资料等应随产品一同交付）。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szCs w:val="21"/>
              </w:rPr>
            </w:pPr>
          </w:p>
        </w:tc>
        <w:tc>
          <w:tcPr>
            <w:tcW w:w="7559" w:type="dxa"/>
          </w:tcPr>
          <w:p>
            <w:pPr>
              <w:spacing w:line="360" w:lineRule="auto"/>
              <w:rPr>
                <w:rFonts w:asciiTheme="minorEastAsia" w:hAnsiTheme="minorEastAsia" w:eastAsiaTheme="minorEastAsia"/>
                <w:bCs/>
                <w:szCs w:val="21"/>
              </w:rPr>
            </w:pPr>
            <w:r>
              <w:rPr>
                <w:rFonts w:hint="eastAsia" w:asciiTheme="minorEastAsia" w:hAnsiTheme="minorEastAsia" w:eastAsiaTheme="minorEastAsia"/>
                <w:bCs/>
                <w:szCs w:val="21"/>
              </w:rPr>
              <w:t>1.2投标人</w:t>
            </w:r>
            <w:r>
              <w:rPr>
                <w:rFonts w:hint="eastAsia" w:asciiTheme="minorEastAsia" w:hAnsiTheme="minorEastAsia" w:eastAsiaTheme="minorEastAsia"/>
                <w:kern w:val="0"/>
                <w:szCs w:val="21"/>
              </w:rPr>
              <w:t>应提供货物的技术文件，包括但不限于设备配置清单、产品说明书、图纸、操作手册、维护手册（含维修密码及接口数据）、质量保证文件、服务指南等，所有外文资料须提供中文译本。文件应随货物一并交付至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szCs w:val="21"/>
              </w:rPr>
            </w:pPr>
          </w:p>
        </w:tc>
        <w:tc>
          <w:tcPr>
            <w:tcW w:w="7559" w:type="dxa"/>
          </w:tcPr>
          <w:p>
            <w:pPr>
              <w:spacing w:line="360" w:lineRule="auto"/>
              <w:rPr>
                <w:rFonts w:asciiTheme="minorEastAsia" w:hAnsiTheme="minorEastAsia" w:eastAsiaTheme="minorEastAsia"/>
                <w:bCs/>
                <w:szCs w:val="21"/>
              </w:rPr>
            </w:pPr>
            <w:r>
              <w:rPr>
                <w:rFonts w:hint="eastAsia" w:asciiTheme="minorEastAsia" w:hAnsiTheme="minorEastAsia" w:eastAsiaTheme="minorEastAsia"/>
                <w:spacing w:val="-3"/>
                <w:szCs w:val="21"/>
              </w:rPr>
              <w:t>1.3提供的货物必须为全新、经检验合格的产品。产品如需要计量检定的应提供相关计量检定部门出具的合法检定报告。其中，进口设备必须具有</w:t>
            </w:r>
            <w:r>
              <w:rPr>
                <w:rFonts w:hint="eastAsia" w:asciiTheme="minorEastAsia" w:hAnsiTheme="minorEastAsia" w:eastAsiaTheme="minorEastAsia"/>
                <w:kern w:val="0"/>
                <w:szCs w:val="21"/>
              </w:rPr>
              <w:t>报关证明</w:t>
            </w:r>
            <w:r>
              <w:rPr>
                <w:rFonts w:hint="eastAsia" w:asciiTheme="minorEastAsia" w:hAnsiTheme="minorEastAsia" w:eastAsiaTheme="minorEastAsia"/>
                <w:spacing w:val="-3"/>
                <w:szCs w:val="21"/>
              </w:rPr>
              <w:t>文件、</w:t>
            </w:r>
            <w:r>
              <w:rPr>
                <w:rFonts w:hint="eastAsia" w:asciiTheme="minorEastAsia" w:hAnsiTheme="minorEastAsia" w:eastAsiaTheme="minorEastAsia"/>
                <w:kern w:val="0"/>
                <w:szCs w:val="21"/>
              </w:rPr>
              <w:t>原产地证明和</w:t>
            </w:r>
            <w:r>
              <w:rPr>
                <w:rFonts w:hint="eastAsia" w:asciiTheme="minorEastAsia" w:hAnsiTheme="minorEastAsia" w:eastAsiaTheme="minorEastAsia"/>
                <w:spacing w:val="-3"/>
                <w:szCs w:val="21"/>
              </w:rPr>
              <w:t>商检合格证明文件。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2</w:t>
            </w:r>
          </w:p>
        </w:tc>
        <w:tc>
          <w:tcPr>
            <w:tcW w:w="1620" w:type="dxa"/>
            <w:vMerge w:val="restar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b/>
                <w:bCs/>
                <w:kern w:val="0"/>
                <w:szCs w:val="21"/>
              </w:rPr>
              <w:t>运输、安装和验收</w:t>
            </w:r>
          </w:p>
        </w:tc>
        <w:tc>
          <w:tcPr>
            <w:tcW w:w="7559" w:type="dxa"/>
          </w:tcPr>
          <w:p>
            <w:pPr>
              <w:spacing w:line="360" w:lineRule="auto"/>
              <w:rPr>
                <w:rFonts w:asciiTheme="minorEastAsia" w:hAnsiTheme="minorEastAsia" w:eastAsiaTheme="minorEastAsia"/>
                <w:bCs/>
                <w:szCs w:val="21"/>
              </w:rPr>
            </w:pPr>
            <w:r>
              <w:rPr>
                <w:rFonts w:hint="eastAsia" w:asciiTheme="minorEastAsia" w:hAnsiTheme="minorEastAsia" w:eastAsiaTheme="minorEastAsia"/>
                <w:bCs/>
                <w:szCs w:val="21"/>
              </w:rPr>
              <w:t>2.1投标人</w:t>
            </w:r>
            <w:r>
              <w:rPr>
                <w:rFonts w:hint="eastAsia" w:asciiTheme="minorEastAsia" w:hAnsiTheme="minorEastAsia" w:eastAsiaTheme="minorEastAsia"/>
                <w:bCs/>
                <w:kern w:val="0"/>
                <w:szCs w:val="21"/>
              </w:rPr>
              <w:t>负责将</w:t>
            </w:r>
            <w:r>
              <w:rPr>
                <w:rFonts w:hint="eastAsia" w:asciiTheme="minorEastAsia" w:hAnsiTheme="minorEastAsia" w:eastAsiaTheme="minorEastAsia"/>
                <w:kern w:val="0"/>
                <w:szCs w:val="21"/>
              </w:rPr>
              <w:t>货物</w:t>
            </w:r>
            <w:r>
              <w:rPr>
                <w:rFonts w:hint="eastAsia" w:asciiTheme="minorEastAsia" w:hAnsiTheme="minorEastAsia" w:eastAsiaTheme="minorEastAsia"/>
                <w:bCs/>
                <w:kern w:val="0"/>
                <w:szCs w:val="21"/>
              </w:rPr>
              <w:t>安全无损运抵采购人指定地点,并承担设备的包装、运输、保险、装卸、安装调试、培训、商检及计量检测、关税、增值税和进口代理等费用。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szCs w:val="21"/>
              </w:rPr>
            </w:pPr>
          </w:p>
        </w:tc>
        <w:tc>
          <w:tcPr>
            <w:tcW w:w="7559" w:type="dxa"/>
          </w:tcPr>
          <w:p>
            <w:pPr>
              <w:tabs>
                <w:tab w:val="left" w:pos="1260"/>
              </w:tabs>
              <w:spacing w:line="360" w:lineRule="auto"/>
              <w:rPr>
                <w:rFonts w:asciiTheme="minorEastAsia" w:hAnsiTheme="minorEastAsia" w:eastAsiaTheme="minorEastAsia"/>
                <w:bCs/>
                <w:szCs w:val="21"/>
              </w:rPr>
            </w:pPr>
            <w:r>
              <w:rPr>
                <w:rFonts w:hint="eastAsia" w:asciiTheme="minorEastAsia" w:hAnsiTheme="minorEastAsia" w:eastAsiaTheme="minorEastAsia"/>
                <w:bCs/>
                <w:szCs w:val="21"/>
              </w:rPr>
              <w:t>2.2</w:t>
            </w:r>
            <w:r>
              <w:rPr>
                <w:rFonts w:hint="eastAsia" w:asciiTheme="minorEastAsia" w:hAnsiTheme="minorEastAsia" w:eastAsiaTheme="minorEastAsia"/>
                <w:bCs/>
                <w:kern w:val="0"/>
                <w:szCs w:val="21"/>
              </w:rPr>
              <w:t>采购人有权检验或测试货物，以确认货物是否符合合同规格的要求，并且不承担额外的费用。如果发现所交货物与投标文件中所承诺的不符或存在质量、技术缺陷等</w:t>
            </w:r>
            <w:r>
              <w:rPr>
                <w:rFonts w:asciiTheme="minorEastAsia" w:hAnsiTheme="minorEastAsia" w:eastAsiaTheme="minorEastAsia"/>
                <w:bCs/>
                <w:kern w:val="0"/>
                <w:szCs w:val="21"/>
              </w:rPr>
              <w:t>,</w:t>
            </w:r>
            <w:r>
              <w:rPr>
                <w:rFonts w:hint="eastAsia" w:asciiTheme="minorEastAsia" w:hAnsiTheme="minorEastAsia" w:eastAsiaTheme="minorEastAsia"/>
                <w:bCs/>
                <w:kern w:val="0"/>
                <w:szCs w:val="21"/>
              </w:rPr>
              <w:t>采购人可以拒绝接收该货物</w:t>
            </w:r>
            <w:r>
              <w:rPr>
                <w:rFonts w:asciiTheme="minorEastAsia" w:hAnsiTheme="minorEastAsia" w:eastAsiaTheme="minorEastAsia"/>
                <w:bCs/>
                <w:kern w:val="0"/>
                <w:szCs w:val="21"/>
              </w:rPr>
              <w:t>,</w:t>
            </w:r>
            <w:r>
              <w:rPr>
                <w:rFonts w:hint="eastAsia" w:asciiTheme="minorEastAsia" w:hAnsiTheme="minorEastAsia" w:eastAsiaTheme="minorEastAsia"/>
                <w:bCs/>
                <w:kern w:val="0"/>
                <w:szCs w:val="21"/>
              </w:rPr>
              <w:t>投标人应在</w:t>
            </w:r>
            <w:r>
              <w:rPr>
                <w:rFonts w:hint="eastAsia" w:asciiTheme="minorEastAsia" w:hAnsiTheme="minorEastAsia" w:eastAsiaTheme="minorEastAsia"/>
                <w:bCs/>
                <w:kern w:val="0"/>
                <w:szCs w:val="21"/>
                <w:u w:val="single"/>
              </w:rPr>
              <w:t xml:space="preserve"> 3个工作日</w:t>
            </w:r>
            <w:r>
              <w:rPr>
                <w:rFonts w:hint="eastAsia" w:asciiTheme="minorEastAsia" w:hAnsiTheme="minorEastAsia" w:eastAsiaTheme="minorEastAsia"/>
                <w:bCs/>
                <w:kern w:val="0"/>
                <w:szCs w:val="21"/>
              </w:rPr>
              <w:t>内采取补足、更换或退货等措施</w:t>
            </w:r>
            <w:r>
              <w:rPr>
                <w:rFonts w:asciiTheme="minorEastAsia" w:hAnsiTheme="minorEastAsia" w:eastAsiaTheme="minorEastAsia"/>
                <w:bCs/>
                <w:kern w:val="0"/>
                <w:szCs w:val="21"/>
              </w:rPr>
              <w:t>,</w:t>
            </w:r>
            <w:r>
              <w:rPr>
                <w:rFonts w:hint="eastAsia" w:asciiTheme="minorEastAsia" w:hAnsiTheme="minorEastAsia" w:eastAsiaTheme="minorEastAsia"/>
                <w:bCs/>
                <w:kern w:val="0"/>
                <w:szCs w:val="21"/>
              </w:rPr>
              <w:t>以满足规格的要求，由此发生的一切损失和费用由投标人承担。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szCs w:val="21"/>
              </w:rPr>
            </w:pPr>
          </w:p>
        </w:tc>
        <w:tc>
          <w:tcPr>
            <w:tcW w:w="7559" w:type="dxa"/>
          </w:tcPr>
          <w:p>
            <w:pPr>
              <w:tabs>
                <w:tab w:val="left" w:pos="1260"/>
              </w:tabs>
              <w:spacing w:line="360" w:lineRule="auto"/>
              <w:rPr>
                <w:rFonts w:asciiTheme="minorEastAsia" w:hAnsiTheme="minorEastAsia" w:eastAsiaTheme="minorEastAsia"/>
                <w:bCs/>
                <w:szCs w:val="21"/>
              </w:rPr>
            </w:pPr>
            <w:r>
              <w:rPr>
                <w:rFonts w:hint="eastAsia" w:asciiTheme="minorEastAsia" w:hAnsiTheme="minorEastAsia" w:eastAsiaTheme="minorEastAsia"/>
                <w:spacing w:val="-3"/>
                <w:szCs w:val="21"/>
              </w:rPr>
              <w:t>2.3投标人负责货物的现场安装和调试</w:t>
            </w:r>
            <w:r>
              <w:rPr>
                <w:rFonts w:asciiTheme="minorEastAsia" w:hAnsiTheme="minorEastAsia" w:eastAsiaTheme="minorEastAsia"/>
                <w:spacing w:val="-3"/>
                <w:szCs w:val="21"/>
              </w:rPr>
              <w:t>,</w:t>
            </w:r>
            <w:r>
              <w:rPr>
                <w:rFonts w:hint="eastAsia" w:asciiTheme="minorEastAsia" w:hAnsiTheme="minorEastAsia" w:eastAsiaTheme="minorEastAsia"/>
                <w:spacing w:val="-3"/>
                <w:szCs w:val="21"/>
              </w:rPr>
              <w:t>提供货物安装、调试和维修所需的专用工具和辅助材料。投标人应在货物运至指定地点后一周内开始安装调试</w:t>
            </w:r>
            <w:r>
              <w:rPr>
                <w:rFonts w:asciiTheme="minorEastAsia" w:hAnsiTheme="minorEastAsia" w:eastAsiaTheme="minorEastAsia"/>
                <w:spacing w:val="-3"/>
                <w:szCs w:val="21"/>
              </w:rPr>
              <w:t>,</w:t>
            </w:r>
            <w:r>
              <w:rPr>
                <w:rFonts w:hint="eastAsia" w:asciiTheme="minorEastAsia" w:hAnsiTheme="minorEastAsia" w:eastAsiaTheme="minorEastAsia"/>
                <w:spacing w:val="-3"/>
                <w:szCs w:val="21"/>
              </w:rPr>
              <w:t>并在</w:t>
            </w:r>
            <w:r>
              <w:rPr>
                <w:rFonts w:hint="eastAsia" w:asciiTheme="minorEastAsia" w:hAnsiTheme="minorEastAsia" w:eastAsiaTheme="minorEastAsia"/>
                <w:bCs/>
                <w:kern w:val="0"/>
                <w:szCs w:val="21"/>
                <w:u w:val="single"/>
              </w:rPr>
              <w:t xml:space="preserve">  7 </w:t>
            </w:r>
            <w:r>
              <w:rPr>
                <w:rFonts w:hint="eastAsia" w:asciiTheme="minorEastAsia" w:hAnsiTheme="minorEastAsia" w:eastAsiaTheme="minorEastAsia"/>
                <w:spacing w:val="-3"/>
                <w:szCs w:val="21"/>
              </w:rPr>
              <w:t>天内安装调试完毕。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szCs w:val="21"/>
              </w:rPr>
            </w:pPr>
          </w:p>
        </w:tc>
        <w:tc>
          <w:tcPr>
            <w:tcW w:w="7559" w:type="dxa"/>
          </w:tcPr>
          <w:p>
            <w:pPr>
              <w:tabs>
                <w:tab w:val="left" w:pos="1260"/>
              </w:tabs>
              <w:spacing w:line="360" w:lineRule="auto"/>
              <w:rPr>
                <w:rFonts w:asciiTheme="minorEastAsia" w:hAnsiTheme="minorEastAsia" w:eastAsiaTheme="minorEastAsia"/>
                <w:bCs/>
                <w:szCs w:val="21"/>
              </w:rPr>
            </w:pPr>
            <w:r>
              <w:rPr>
                <w:rFonts w:hint="eastAsia" w:asciiTheme="minorEastAsia" w:hAnsiTheme="minorEastAsia" w:eastAsiaTheme="minorEastAsia"/>
                <w:spacing w:val="-3"/>
                <w:szCs w:val="21"/>
              </w:rPr>
              <w:t>2.4由投标人代表和采购人组成验收小组对产品进行验收。验收标准按照国家规定标准执行。经检验设备正常运作后签署验收报告</w:t>
            </w:r>
            <w:r>
              <w:rPr>
                <w:rFonts w:asciiTheme="minorEastAsia" w:hAnsiTheme="minorEastAsia" w:eastAsiaTheme="minorEastAsia"/>
                <w:spacing w:val="-3"/>
                <w:szCs w:val="21"/>
              </w:rPr>
              <w:t>,</w:t>
            </w:r>
            <w:r>
              <w:rPr>
                <w:rFonts w:hint="eastAsia" w:asciiTheme="minorEastAsia" w:hAnsiTheme="minorEastAsia" w:eastAsiaTheme="minorEastAsia"/>
                <w:spacing w:val="-3"/>
                <w:szCs w:val="21"/>
              </w:rPr>
              <w:t>产品保修期自验收合格之日起算。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3</w:t>
            </w:r>
          </w:p>
        </w:tc>
        <w:tc>
          <w:tcPr>
            <w:tcW w:w="1620"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kern w:val="0"/>
                <w:szCs w:val="21"/>
              </w:rPr>
              <w:t>培训</w:t>
            </w:r>
          </w:p>
        </w:tc>
        <w:tc>
          <w:tcPr>
            <w:tcW w:w="7559" w:type="dxa"/>
          </w:tcPr>
          <w:p>
            <w:pPr>
              <w:spacing w:line="360" w:lineRule="auto"/>
              <w:rPr>
                <w:rFonts w:asciiTheme="minorEastAsia" w:hAnsiTheme="minorEastAsia" w:eastAsiaTheme="minorEastAsia"/>
                <w:b/>
                <w:szCs w:val="21"/>
              </w:rPr>
            </w:pPr>
            <w:r>
              <w:rPr>
                <w:rFonts w:hint="eastAsia" w:asciiTheme="minorEastAsia" w:hAnsiTheme="minorEastAsia" w:eastAsiaTheme="minorEastAsia"/>
                <w:bCs/>
                <w:kern w:val="0"/>
                <w:szCs w:val="21"/>
              </w:rPr>
              <w:t>3.1中标人应派专业技术人员免费对采购单位指定人员进行定期培训及指导，直至其完全掌握设备的基本故障处理技术。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restart"/>
            <w:vAlign w:val="center"/>
          </w:tcPr>
          <w:p>
            <w:pPr>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4</w:t>
            </w:r>
          </w:p>
        </w:tc>
        <w:tc>
          <w:tcPr>
            <w:tcW w:w="1620" w:type="dxa"/>
            <w:vMerge w:val="restart"/>
            <w:vAlign w:val="center"/>
          </w:tcPr>
          <w:p>
            <w:pPr>
              <w:tabs>
                <w:tab w:val="left" w:pos="1260"/>
              </w:tabs>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知识产权</w:t>
            </w:r>
          </w:p>
        </w:tc>
        <w:tc>
          <w:tcPr>
            <w:tcW w:w="7559" w:type="dxa"/>
          </w:tcPr>
          <w:p>
            <w:pPr>
              <w:tabs>
                <w:tab w:val="left" w:pos="1260"/>
              </w:tabs>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4.1投标人应保证采购人在使用该货物或其任何一部分时，免受第三方提出的侵犯其专利权、商标权、著作权或其它知识产权的起诉。投标人保证所提供软件的合法性，所发生的任何知识产权纠纷与采购人无关。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834" w:type="dxa"/>
            <w:vMerge w:val="continue"/>
            <w:vAlign w:val="center"/>
          </w:tcPr>
          <w:p>
            <w:pPr>
              <w:spacing w:line="360" w:lineRule="auto"/>
              <w:jc w:val="center"/>
              <w:rPr>
                <w:rFonts w:asciiTheme="minorEastAsia" w:hAnsiTheme="minorEastAsia" w:eastAsiaTheme="minorEastAsia"/>
                <w:b/>
                <w:kern w:val="0"/>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4.2采购人购买产品后，有权对该产品与其他设备进行配套、整合或适当改进，而免受侵犯专利权的起诉。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5</w:t>
            </w:r>
          </w:p>
        </w:tc>
        <w:tc>
          <w:tcPr>
            <w:tcW w:w="1620" w:type="dxa"/>
            <w:vAlign w:val="center"/>
          </w:tcPr>
          <w:p>
            <w:pPr>
              <w:spacing w:line="360" w:lineRule="auto"/>
              <w:jc w:val="center"/>
              <w:rPr>
                <w:rFonts w:asciiTheme="minorEastAsia" w:hAnsiTheme="minorEastAsia" w:eastAsiaTheme="minorEastAsia"/>
                <w:b/>
                <w:bCs/>
                <w:kern w:val="0"/>
                <w:szCs w:val="21"/>
              </w:rPr>
            </w:pPr>
            <w:r>
              <w:rPr>
                <w:rFonts w:hint="eastAsia" w:asciiTheme="minorEastAsia" w:hAnsiTheme="minorEastAsia" w:eastAsiaTheme="minorEastAsia"/>
                <w:b/>
                <w:bCs/>
                <w:kern w:val="0"/>
                <w:szCs w:val="21"/>
              </w:rPr>
              <w:t>付款方式</w:t>
            </w:r>
          </w:p>
        </w:tc>
        <w:tc>
          <w:tcPr>
            <w:tcW w:w="7559" w:type="dxa"/>
          </w:tcPr>
          <w:p>
            <w:pPr>
              <w:tabs>
                <w:tab w:val="left" w:pos="1260"/>
              </w:tabs>
              <w:spacing w:line="360" w:lineRule="auto"/>
              <w:rPr>
                <w:rFonts w:asciiTheme="minorEastAsia" w:hAnsiTheme="minorEastAsia" w:eastAsiaTheme="minorEastAsia"/>
                <w:bCs/>
                <w:szCs w:val="21"/>
              </w:rPr>
            </w:pPr>
            <w:r>
              <w:rPr>
                <w:rFonts w:hint="eastAsia" w:asciiTheme="minorEastAsia" w:hAnsiTheme="minorEastAsia" w:eastAsiaTheme="minorEastAsia"/>
                <w:kern w:val="0"/>
                <w:szCs w:val="21"/>
              </w:rPr>
              <w:t>5.1货到指定地点、验收合格并提供全额发票后支付95%，5%余款作为质保金。质保金在保修期结束后，经采购人确认产品质量无问题后支付。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834"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6</w:t>
            </w:r>
          </w:p>
        </w:tc>
        <w:tc>
          <w:tcPr>
            <w:tcW w:w="1620" w:type="dxa"/>
            <w:vMerge w:val="restart"/>
            <w:vAlign w:val="center"/>
          </w:tcPr>
          <w:p>
            <w:pPr>
              <w:tabs>
                <w:tab w:val="left" w:pos="1260"/>
              </w:tabs>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违约责任</w:t>
            </w:r>
          </w:p>
        </w:tc>
        <w:tc>
          <w:tcPr>
            <w:tcW w:w="7559" w:type="dxa"/>
          </w:tcPr>
          <w:p>
            <w:pPr>
              <w:spacing w:line="360" w:lineRule="auto"/>
              <w:rPr>
                <w:rFonts w:asciiTheme="minorEastAsia" w:hAnsiTheme="minorEastAsia" w:eastAsiaTheme="minorEastAsia"/>
                <w:bCs/>
                <w:kern w:val="0"/>
                <w:szCs w:val="21"/>
              </w:rPr>
            </w:pPr>
            <w:r>
              <w:rPr>
                <w:rFonts w:hint="eastAsia" w:asciiTheme="minorEastAsia" w:hAnsiTheme="minorEastAsia" w:eastAsiaTheme="minorEastAsia"/>
                <w:bCs/>
                <w:kern w:val="0"/>
                <w:szCs w:val="21"/>
              </w:rPr>
              <w:t>6.1如投标人未按照投标文件中承诺的时间交货或提供服务，投标人应承担延期交货和延期服务的违约责任，并赔偿采购人因此造成的实际经济损失。实际经济损失超出履约保证金额，采购人有权终止合同。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bCs/>
                <w:kern w:val="0"/>
                <w:szCs w:val="21"/>
              </w:rPr>
            </w:pPr>
            <w:r>
              <w:rPr>
                <w:rFonts w:hint="eastAsia" w:asciiTheme="minorEastAsia" w:hAnsiTheme="minorEastAsia" w:eastAsiaTheme="minorEastAsia"/>
                <w:bCs/>
                <w:kern w:val="0"/>
                <w:szCs w:val="21"/>
              </w:rPr>
              <w:t>6.2投标人所交设备的品种、型号、规格、质量、功能、技术参数等方面不能实质性满足招标文件要约的，采购人有权拒绝收货，投标人向采购人偿付项目采购金额千分之</w:t>
            </w:r>
            <w:r>
              <w:rPr>
                <w:rFonts w:hint="eastAsia" w:asciiTheme="minorEastAsia" w:hAnsiTheme="minorEastAsia" w:eastAsiaTheme="minorEastAsia"/>
                <w:bCs/>
                <w:kern w:val="0"/>
                <w:szCs w:val="21"/>
                <w:u w:val="single"/>
              </w:rPr>
              <w:t xml:space="preserve">  十  </w:t>
            </w:r>
            <w:r>
              <w:rPr>
                <w:rFonts w:hint="eastAsia" w:asciiTheme="minorEastAsia" w:hAnsiTheme="minorEastAsia" w:eastAsiaTheme="minorEastAsia"/>
                <w:bCs/>
                <w:kern w:val="0"/>
                <w:szCs w:val="21"/>
              </w:rPr>
              <w:t>（千分之十以上千分之二十以下）的违约金；造成严重后果的，根据《</w:t>
            </w:r>
            <w:r>
              <w:rPr>
                <w:rFonts w:asciiTheme="minorEastAsia" w:hAnsiTheme="minorEastAsia" w:eastAsiaTheme="minorEastAsia"/>
                <w:bCs/>
                <w:kern w:val="0"/>
                <w:szCs w:val="21"/>
              </w:rPr>
              <w:t>深圳经济特区政府采购条例</w:t>
            </w:r>
            <w:r>
              <w:rPr>
                <w:rFonts w:hint="eastAsia" w:asciiTheme="minorEastAsia" w:hAnsiTheme="minorEastAsia" w:eastAsiaTheme="minorEastAsia"/>
                <w:bCs/>
                <w:kern w:val="0"/>
                <w:szCs w:val="21"/>
              </w:rPr>
              <w:t>》第五十七条第（二）款规定，由主管部门对中标人进行处罚。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bCs/>
                <w:kern w:val="0"/>
                <w:szCs w:val="21"/>
              </w:rPr>
            </w:pPr>
            <w:r>
              <w:rPr>
                <w:rFonts w:hint="eastAsia" w:asciiTheme="minorEastAsia" w:hAnsiTheme="minorEastAsia" w:eastAsiaTheme="minorEastAsia"/>
                <w:bCs/>
                <w:kern w:val="0"/>
                <w:szCs w:val="21"/>
              </w:rPr>
              <w:t>6.3投标人不能交付设备的，投标人向采购人偿付项目采购金额千分之</w:t>
            </w:r>
            <w:r>
              <w:rPr>
                <w:rFonts w:hint="eastAsia" w:asciiTheme="minorEastAsia" w:hAnsiTheme="minorEastAsia" w:eastAsiaTheme="minorEastAsia"/>
                <w:bCs/>
                <w:kern w:val="0"/>
                <w:szCs w:val="21"/>
                <w:u w:val="single"/>
              </w:rPr>
              <w:t xml:space="preserve">  十 </w:t>
            </w:r>
            <w:r>
              <w:rPr>
                <w:rFonts w:hint="eastAsia" w:asciiTheme="minorEastAsia" w:hAnsiTheme="minorEastAsia" w:eastAsiaTheme="minorEastAsia"/>
                <w:bCs/>
                <w:kern w:val="0"/>
                <w:szCs w:val="21"/>
              </w:rPr>
              <w:t>（千分之十以上千分之二十以下）的违约金；造成严重后果的，根据《</w:t>
            </w:r>
            <w:r>
              <w:rPr>
                <w:rFonts w:asciiTheme="minorEastAsia" w:hAnsiTheme="minorEastAsia" w:eastAsiaTheme="minorEastAsia"/>
                <w:bCs/>
                <w:kern w:val="0"/>
                <w:szCs w:val="21"/>
              </w:rPr>
              <w:t>深圳经济特区政府采购条例</w:t>
            </w:r>
            <w:r>
              <w:rPr>
                <w:rFonts w:hint="eastAsia" w:asciiTheme="minorEastAsia" w:hAnsiTheme="minorEastAsia" w:eastAsiaTheme="minorEastAsia"/>
                <w:bCs/>
                <w:kern w:val="0"/>
                <w:szCs w:val="21"/>
              </w:rPr>
              <w:t>》第五十七条第（二）款规定，由主管部门对中标人进行处罚。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bCs/>
                <w:kern w:val="0"/>
                <w:szCs w:val="21"/>
              </w:rPr>
            </w:pPr>
            <w:r>
              <w:rPr>
                <w:rFonts w:hint="eastAsia" w:asciiTheme="minorEastAsia" w:hAnsiTheme="minorEastAsia" w:eastAsiaTheme="minorEastAsia"/>
                <w:bCs/>
                <w:kern w:val="0"/>
                <w:szCs w:val="21"/>
              </w:rPr>
              <w:t>6.4投标人逾期未交设备的，投标人向采购人每日偿付设备款千分之</w:t>
            </w:r>
            <w:r>
              <w:rPr>
                <w:rFonts w:hint="eastAsia" w:asciiTheme="minorEastAsia" w:hAnsiTheme="minorEastAsia" w:eastAsiaTheme="minorEastAsia"/>
                <w:bCs/>
                <w:kern w:val="0"/>
                <w:szCs w:val="21"/>
                <w:u w:val="single"/>
              </w:rPr>
              <w:t xml:space="preserve">  五  </w:t>
            </w:r>
            <w:r>
              <w:rPr>
                <w:rFonts w:hint="eastAsia" w:asciiTheme="minorEastAsia" w:hAnsiTheme="minorEastAsia" w:eastAsiaTheme="minorEastAsia"/>
                <w:bCs/>
                <w:kern w:val="0"/>
                <w:szCs w:val="21"/>
              </w:rPr>
              <w:t>的违约金。投标人超过交货期限</w:t>
            </w:r>
            <w:r>
              <w:rPr>
                <w:rFonts w:hint="eastAsia" w:asciiTheme="minorEastAsia" w:hAnsiTheme="minorEastAsia" w:eastAsiaTheme="minorEastAsia"/>
                <w:bCs/>
                <w:kern w:val="0"/>
                <w:szCs w:val="21"/>
                <w:u w:val="single"/>
              </w:rPr>
              <w:t xml:space="preserve"> 30  </w:t>
            </w:r>
            <w:r>
              <w:rPr>
                <w:rFonts w:hint="eastAsia" w:asciiTheme="minorEastAsia" w:hAnsiTheme="minorEastAsia" w:eastAsiaTheme="minorEastAsia"/>
                <w:bCs/>
                <w:kern w:val="0"/>
                <w:szCs w:val="21"/>
              </w:rPr>
              <w:t>日仍未交货，采购人有权解除合同。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bCs/>
                <w:kern w:val="0"/>
                <w:szCs w:val="21"/>
              </w:rPr>
            </w:pPr>
            <w:r>
              <w:rPr>
                <w:rFonts w:hint="eastAsia" w:asciiTheme="minorEastAsia" w:hAnsiTheme="minorEastAsia" w:eastAsiaTheme="minorEastAsia"/>
                <w:bCs/>
                <w:kern w:val="0"/>
                <w:szCs w:val="21"/>
              </w:rPr>
              <w:t>6.5违约金先从由投标人履约保证金中扣除，若有不足部分则由中标人补齐。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7</w:t>
            </w:r>
          </w:p>
        </w:tc>
        <w:tc>
          <w:tcPr>
            <w:tcW w:w="1620" w:type="dxa"/>
            <w:vAlign w:val="center"/>
          </w:tcPr>
          <w:p>
            <w:pPr>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其他</w:t>
            </w:r>
          </w:p>
        </w:tc>
        <w:tc>
          <w:tcPr>
            <w:tcW w:w="7559" w:type="dxa"/>
            <w:vAlign w:val="center"/>
          </w:tcPr>
          <w:p>
            <w:pPr>
              <w:spacing w:line="360" w:lineRule="auto"/>
              <w:rPr>
                <w:rFonts w:asciiTheme="minorEastAsia" w:hAnsiTheme="minorEastAsia" w:eastAsiaTheme="minorEastAsia"/>
                <w:b/>
                <w:szCs w:val="21"/>
              </w:rPr>
            </w:pPr>
            <w:r>
              <w:rPr>
                <w:rFonts w:hint="eastAsia" w:asciiTheme="minorEastAsia" w:hAnsiTheme="minorEastAsia" w:eastAsiaTheme="minorEastAsia"/>
                <w:bCs/>
                <w:szCs w:val="21"/>
              </w:rPr>
              <w:t>7.1投标人应按其投标文件中的承诺，进行其他售后服务工作。</w:t>
            </w:r>
          </w:p>
        </w:tc>
      </w:tr>
    </w:tbl>
    <w:p/>
    <w:p/>
    <w:p>
      <w:pPr>
        <w:widowControl/>
        <w:jc w:val="left"/>
      </w:pPr>
    </w:p>
    <w:p>
      <w:pPr>
        <w:widowControl/>
        <w:jc w:val="left"/>
      </w:pPr>
      <w:r>
        <w:br w:type="page"/>
      </w:r>
    </w:p>
    <w:p/>
    <w:p>
      <w:pPr>
        <w:pStyle w:val="2"/>
      </w:pPr>
      <w:bookmarkStart w:id="2" w:name="_Toc107846020"/>
      <w:r>
        <w:rPr>
          <w:rFonts w:hint="eastAsia"/>
        </w:rPr>
        <w:t>第三章  投标文件初审</w:t>
      </w:r>
      <w:bookmarkEnd w:id="2"/>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rPr>
          <w:snapToGrid w:val="0"/>
          <w:kern w:val="0"/>
        </w:rPr>
      </w:pPr>
    </w:p>
    <w:p>
      <w:pPr>
        <w:adjustRightInd w:val="0"/>
        <w:spacing w:line="360" w:lineRule="auto"/>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rPr>
          <w:rFonts w:ascii="宋体" w:hAnsi="宋体"/>
          <w:snapToGrid w:val="0"/>
          <w:kern w:val="0"/>
        </w:rPr>
      </w:pPr>
    </w:p>
    <w:p>
      <w:pPr>
        <w:adjustRightInd w:val="0"/>
        <w:spacing w:line="360" w:lineRule="auto"/>
        <w:rPr>
          <w:rFonts w:ascii="宋体" w:hAnsi="宋体"/>
          <w:snapToGrid w:val="0"/>
          <w:kern w:val="0"/>
        </w:rPr>
      </w:pPr>
      <w:r>
        <w:rPr>
          <w:rFonts w:hint="eastAsia" w:ascii="宋体" w:hAnsi="宋体"/>
          <w:snapToGrid w:val="0"/>
          <w:kern w:val="0"/>
        </w:rPr>
        <w:t>二、符合性审查</w:t>
      </w:r>
    </w:p>
    <w:p>
      <w:pPr>
        <w:adjustRightInd w:val="0"/>
        <w:spacing w:line="360" w:lineRule="auto"/>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rPr>
          <w:rFonts w:ascii="宋体" w:hAnsi="宋体"/>
          <w:snapToGrid w:val="0"/>
          <w:kern w:val="0"/>
        </w:rPr>
      </w:pPr>
      <w:r>
        <w:rPr>
          <w:rFonts w:hint="eastAsia" w:ascii="宋体" w:hAnsi="宋体"/>
          <w:snapToGrid w:val="0"/>
          <w:kern w:val="0"/>
        </w:rPr>
        <w:t>3、未按招标文件要求提供法定代表人证明书和法定代表人授权委托证明书。</w:t>
      </w:r>
    </w:p>
    <w:p>
      <w:pPr>
        <w:adjustRightInd w:val="0"/>
        <w:spacing w:line="360" w:lineRule="auto"/>
        <w:ind w:left="283" w:hanging="283" w:hangingChars="135"/>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rPr>
          <w:rFonts w:ascii="宋体" w:hAnsi="宋体"/>
          <w:snapToGrid w:val="0"/>
          <w:kern w:val="0"/>
        </w:rPr>
      </w:pPr>
      <w:r>
        <w:rPr>
          <w:rFonts w:hint="eastAsia" w:ascii="宋体" w:hAnsi="宋体"/>
          <w:snapToGrid w:val="0"/>
          <w:kern w:val="0"/>
        </w:rPr>
        <w:t>6、投标报价有严重缺漏项的。</w:t>
      </w:r>
    </w:p>
    <w:p>
      <w:pPr>
        <w:adjustRightInd w:val="0"/>
        <w:spacing w:line="360" w:lineRule="auto"/>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rPr>
          <w:rFonts w:ascii="宋体" w:hAnsi="宋体"/>
          <w:snapToGrid w:val="0"/>
          <w:kern w:val="0"/>
        </w:rPr>
      </w:pPr>
      <w:r>
        <w:rPr>
          <w:rFonts w:hint="eastAsia" w:ascii="宋体" w:hAnsi="宋体"/>
          <w:snapToGrid w:val="0"/>
          <w:kern w:val="0"/>
        </w:rPr>
        <w:t>9、将一个项目包拆分投标，对同一货物及服务投标时，同时提供两套或以上的投标方案。</w:t>
      </w:r>
    </w:p>
    <w:p>
      <w:pPr>
        <w:adjustRightInd w:val="0"/>
        <w:spacing w:line="360" w:lineRule="auto"/>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pPr>
        <w:adjustRightInd w:val="0"/>
        <w:spacing w:line="360" w:lineRule="auto"/>
        <w:rPr>
          <w:rFonts w:ascii="宋体" w:hAnsi="宋体"/>
          <w:snapToGrid w:val="0"/>
          <w:kern w:val="0"/>
        </w:rPr>
      </w:pPr>
      <w:r>
        <w:rPr>
          <w:rFonts w:hint="eastAsia" w:ascii="宋体" w:hAnsi="宋体"/>
          <w:snapToGrid w:val="0"/>
          <w:kern w:val="0"/>
        </w:rPr>
        <w:t>13、法律法规规定的其它情形。</w:t>
      </w:r>
    </w:p>
    <w:p/>
    <w:p/>
    <w:p/>
    <w:p/>
    <w:p>
      <w:pPr>
        <w:widowControl/>
        <w:jc w:val="left"/>
      </w:pPr>
      <w:r>
        <w:br w:type="page"/>
      </w:r>
    </w:p>
    <w:p/>
    <w:p>
      <w:pPr>
        <w:pStyle w:val="2"/>
        <w:spacing w:afterLines="100"/>
      </w:pPr>
      <w:bookmarkStart w:id="3" w:name="_Toc107846021"/>
      <w:r>
        <w:rPr>
          <w:rFonts w:hint="eastAsia"/>
        </w:rPr>
        <w:t>第四章  评标方法和标准</w:t>
      </w:r>
      <w:bookmarkEnd w:id="3"/>
    </w:p>
    <w:p>
      <w:pPr>
        <w:pStyle w:val="4"/>
        <w:spacing w:before="0" w:after="0"/>
      </w:pPr>
      <w:bookmarkStart w:id="4" w:name="_Toc107846022"/>
      <w:bookmarkStart w:id="5" w:name="_Toc44690429"/>
      <w:bookmarkStart w:id="6" w:name="_Toc44691393"/>
      <w:bookmarkStart w:id="7" w:name="_Toc44690702"/>
      <w:bookmarkStart w:id="8" w:name="_Toc44691161"/>
      <w:r>
        <w:rPr>
          <w:rFonts w:hint="eastAsia"/>
        </w:rPr>
        <w:t>一、</w:t>
      </w:r>
      <w:r>
        <w:t>评标方法</w:t>
      </w:r>
      <w:bookmarkEnd w:id="4"/>
      <w:bookmarkEnd w:id="5"/>
      <w:bookmarkEnd w:id="6"/>
      <w:bookmarkEnd w:id="7"/>
      <w:bookmarkEnd w:id="8"/>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综合评分法，是指投标文件满足招标文件全部实质性要求，且按照评审因素的量化指标评审得分最高的投标人为中标候选人的评标方法。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3、中标人及中标候选人数量：</w:t>
      </w:r>
      <w:r>
        <w:rPr>
          <w:rFonts w:hint="eastAsia" w:cs="仿宋" w:asciiTheme="minorEastAsia" w:hAnsiTheme="minorEastAsia" w:eastAsiaTheme="minorEastAsia"/>
          <w:kern w:val="2"/>
          <w:sz w:val="21"/>
          <w:szCs w:val="21"/>
        </w:rPr>
        <w:t>中标人数量：1名，中标候选人数量：1名。</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得分且投标报价相同的并列。投标文件满足招标文件全部实质性要求，且按照评审因素的量化指标评审得分最高的投标人为排名第一的中标候选人。出现得分且投标报价相同的并列情况时，采取随机抽取的方式确定，具体操作办法及流程由评标委员会确定。</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5、推荐中标候选人：</w:t>
      </w:r>
    </w:p>
    <w:p>
      <w:pPr>
        <w:pStyle w:val="45"/>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作为中标候选人。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6、确定中标人：</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仿宋" w:asciiTheme="minorEastAsia" w:hAnsiTheme="minorEastAsia" w:eastAsiaTheme="minorEastAsia"/>
          <w:szCs w:val="21"/>
        </w:rPr>
        <w:t>非评定分离项目：采购人在评标报告确定的中标候选人名单中按顺序确定1名中标人。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4"/>
        <w:spacing w:before="0" w:after="0"/>
      </w:pPr>
      <w:bookmarkStart w:id="9" w:name="_Toc107846023"/>
      <w:r>
        <w:rPr>
          <w:rFonts w:hint="eastAsia"/>
        </w:rPr>
        <w:t>二、评标标准</w:t>
      </w:r>
      <w:bookmarkEnd w:id="9"/>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评标委员会按照以下量化的评审因素，对各投标文件进行分析和比较：</w:t>
      </w:r>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bookmarkStart w:id="10" w:name="_Toc44691162"/>
            <w:bookmarkStart w:id="11" w:name="_Toc44690703"/>
            <w:bookmarkStart w:id="12" w:name="_Toc107846024"/>
            <w:bookmarkStart w:id="13" w:name="_Toc44690430"/>
            <w:bookmarkStart w:id="14" w:name="_Toc44691394"/>
            <w:r>
              <w:rPr>
                <w:rFonts w:hint="eastAsia" w:ascii="宋体" w:hAnsi="宋体" w:cs="仿宋"/>
                <w:b/>
                <w:szCs w:val="21"/>
                <w:lang w:val="zh-CN"/>
              </w:rPr>
              <w:t>评分项及评分规则</w:t>
            </w:r>
          </w:p>
        </w:tc>
        <w:tc>
          <w:tcPr>
            <w:tcW w:w="1187" w:type="dxa"/>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一、价格部分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pStyle w:val="45"/>
              <w:spacing w:before="0" w:beforeAutospacing="0" w:after="0" w:afterAutospacing="0" w:line="360" w:lineRule="exact"/>
              <w:ind w:left="420" w:hanging="420"/>
              <w:rPr>
                <w:rFonts w:cs="仿宋"/>
                <w:b/>
                <w:bCs/>
                <w:sz w:val="21"/>
                <w:szCs w:val="21"/>
              </w:rPr>
            </w:pPr>
            <w:r>
              <w:rPr>
                <w:rFonts w:hint="eastAsia" w:cs="仿宋" w:asciiTheme="minorEastAsia" w:hAnsiTheme="minorEastAsia" w:eastAsiaTheme="minorEastAsia"/>
                <w:kern w:val="2"/>
                <w:sz w:val="21"/>
                <w:szCs w:val="21"/>
              </w:rPr>
              <w:t>价格分采用低价优先法计算，计算公式如下：</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投标报价得分 = Z/Sn ×30</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当价格分＜0时，取0。 </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其中：</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Z </w:t>
            </w:r>
            <w:r>
              <w:rPr>
                <w:rFonts w:hint="eastAsia" w:cs="仿宋" w:asciiTheme="minorEastAsia" w:hAnsiTheme="minorEastAsia" w:eastAsiaTheme="minorEastAsia"/>
                <w:sz w:val="21"/>
                <w:szCs w:val="21"/>
              </w:rPr>
              <w:t>----</w:t>
            </w:r>
            <w:r>
              <w:rPr>
                <w:rFonts w:hint="eastAsia" w:cs="仿宋" w:asciiTheme="minorEastAsia" w:hAnsiTheme="minorEastAsia" w:eastAsiaTheme="minorEastAsia"/>
                <w:kern w:val="2"/>
                <w:sz w:val="21"/>
                <w:szCs w:val="21"/>
              </w:rPr>
              <w:t>评标基准价，即通过资格性审查和符合性审查且投标价格最低的投标报价。</w:t>
            </w:r>
          </w:p>
          <w:p>
            <w:pPr>
              <w:autoSpaceDE w:val="0"/>
              <w:autoSpaceDN w:val="0"/>
              <w:adjustRightInd w:val="0"/>
              <w:spacing w:line="3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Sn ---投标报价，即通过资格性审查和符合性审查的投标报价。</w:t>
            </w:r>
          </w:p>
          <w:p>
            <w:pPr>
              <w:autoSpaceDE w:val="0"/>
              <w:autoSpaceDN w:val="0"/>
              <w:adjustRightInd w:val="0"/>
              <w:spacing w:line="360" w:lineRule="exact"/>
              <w:jc w:val="left"/>
              <w:rPr>
                <w:rFonts w:ascii="宋体" w:hAnsi="宋体"/>
                <w:b/>
                <w:bCs/>
                <w:snapToGrid w:val="0"/>
                <w:kern w:val="0"/>
              </w:rPr>
            </w:pPr>
            <w:r>
              <w:rPr>
                <w:rFonts w:hint="eastAsia" w:ascii="宋体" w:hAnsi="宋体"/>
                <w:b/>
                <w:snapToGrid w:val="0"/>
                <w:kern w:val="0"/>
                <w:szCs w:val="21"/>
              </w:rPr>
              <w:t>注：对于符合 “</w:t>
            </w:r>
            <w:r>
              <w:rPr>
                <w:rFonts w:hint="eastAsia" w:ascii="宋体" w:hAnsi="宋体"/>
                <w:b/>
                <w:snapToGrid w:val="0"/>
                <w:kern w:val="0"/>
              </w:rPr>
              <w:t>政府采购扶持政策</w:t>
            </w:r>
            <w:r>
              <w:rPr>
                <w:rFonts w:hint="eastAsia" w:ascii="宋体" w:hAnsi="宋体"/>
                <w:b/>
                <w:bCs/>
                <w:snapToGrid w:val="0"/>
                <w:kern w:val="0"/>
              </w:rPr>
              <w:t>”的小微企业、监狱企业和残疾人福利性单位，以调整后的价格计算评标基准价和投标报价。</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二、技术部分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58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54"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143" w:type="dxa"/>
            <w:vAlign w:val="center"/>
          </w:tcPr>
          <w:p>
            <w:pPr>
              <w:widowControl/>
              <w:spacing w:line="360" w:lineRule="exact"/>
              <w:jc w:val="center"/>
              <w:rPr>
                <w:rFonts w:ascii="宋体" w:hAnsi="宋体" w:cs="仿宋"/>
                <w:kern w:val="0"/>
                <w:szCs w:val="21"/>
              </w:rPr>
            </w:pPr>
            <w:r>
              <w:rPr>
                <w:rFonts w:hint="eastAsia" w:ascii="宋体" w:hAnsi="宋体" w:cs="宋体"/>
                <w:kern w:val="0"/>
                <w:szCs w:val="21"/>
              </w:rPr>
              <w:t>技术规格偏离情况</w:t>
            </w:r>
          </w:p>
        </w:tc>
        <w:tc>
          <w:tcPr>
            <w:tcW w:w="709" w:type="dxa"/>
            <w:vAlign w:val="center"/>
          </w:tcPr>
          <w:p>
            <w:pPr>
              <w:widowControl/>
              <w:spacing w:line="360" w:lineRule="exact"/>
              <w:jc w:val="center"/>
              <w:rPr>
                <w:rFonts w:ascii="宋体" w:hAnsi="宋体" w:cs="仿宋"/>
                <w:kern w:val="0"/>
                <w:szCs w:val="21"/>
              </w:rPr>
            </w:pPr>
            <w:r>
              <w:rPr>
                <w:rFonts w:hint="eastAsia" w:ascii="宋体" w:hAnsi="宋体" w:cs="仿宋"/>
                <w:kern w:val="0"/>
                <w:szCs w:val="21"/>
              </w:rPr>
              <w:t>40</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spacing w:line="360" w:lineRule="exact"/>
              <w:jc w:val="left"/>
              <w:rPr>
                <w:rFonts w:ascii="宋体" w:hAnsi="宋体" w:cs="仿宋"/>
                <w:szCs w:val="21"/>
              </w:rPr>
            </w:pPr>
            <w:r>
              <w:rPr>
                <w:rFonts w:hint="eastAsia" w:ascii="宋体" w:hAnsi="宋体" w:cs="仿宋"/>
                <w:szCs w:val="21"/>
              </w:rPr>
              <w:t>投标人应如实填写《技术规格偏离表》，各项技术参数指标及要求全部满足的得 40分；“▲”参数为重要指标，每负偏离一项扣6分；其余指标每负偏离一项扣 3分，</w:t>
            </w:r>
            <w:r>
              <w:rPr>
                <w:rFonts w:hint="eastAsia" w:ascii="宋体" w:hAnsi="宋体"/>
                <w:bCs/>
                <w:szCs w:val="21"/>
              </w:rPr>
              <w:t>最低0分</w:t>
            </w:r>
            <w:r>
              <w:rPr>
                <w:rFonts w:hint="eastAsia" w:ascii="宋体" w:hAnsi="宋体" w:cs="仿宋"/>
                <w:szCs w:val="21"/>
              </w:rPr>
              <w:t>。</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spacing w:line="360" w:lineRule="exact"/>
              <w:jc w:val="left"/>
              <w:rPr>
                <w:rFonts w:ascii="宋体" w:hAnsi="宋体" w:cs="仿宋"/>
                <w:szCs w:val="21"/>
              </w:rPr>
            </w:pPr>
            <w:r>
              <w:rPr>
                <w:rFonts w:hint="eastAsia" w:ascii="宋体" w:hAnsi="宋体"/>
                <w:bCs/>
                <w:szCs w:val="21"/>
              </w:rPr>
              <w:t>以投标文件《技术</w:t>
            </w:r>
            <w:r>
              <w:rPr>
                <w:rFonts w:hint="eastAsia" w:ascii="宋体" w:hAnsi="宋体" w:cs="仿宋"/>
                <w:szCs w:val="21"/>
              </w:rPr>
              <w:t>规格</w:t>
            </w:r>
            <w:r>
              <w:rPr>
                <w:rFonts w:hint="eastAsia" w:ascii="宋体" w:hAnsi="宋体"/>
                <w:bCs/>
                <w:szCs w:val="21"/>
              </w:rPr>
              <w:t>偏离表》为评分依据，投标人</w:t>
            </w:r>
            <w:r>
              <w:rPr>
                <w:rFonts w:hint="eastAsia" w:ascii="宋体" w:hAnsi="宋体" w:cs="仿宋"/>
                <w:szCs w:val="21"/>
              </w:rPr>
              <w:t>按招标文件要求提供相应的证明材料复印件或扫描件加盖投标人公章（原件备查），并注明证明材料在投标文件中的具体位置。未提供有效证明材料或未注明证明材料在投标文件中的具体位置或提供的证明资料显示不符合招标文件要求、模糊不清无法判断或未显示是否满足招标文件参数的，该项技术指标按负偏离处理。</w:t>
            </w:r>
            <w:r>
              <w:rPr>
                <w:rFonts w:hint="eastAsia" w:ascii="宋体" w:hAnsi="宋体"/>
                <w:szCs w:val="21"/>
              </w:rPr>
              <w:t>对于不同货物的技术要求中的相同项不满足时按一项不满足进行扣分，不对某一项技术要求重复扣分。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62"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spacing w:line="360" w:lineRule="exact"/>
              <w:jc w:val="center"/>
              <w:rPr>
                <w:rFonts w:ascii="宋体" w:hAnsi="宋体" w:cs="仿宋"/>
                <w:szCs w:val="21"/>
              </w:rPr>
            </w:pPr>
            <w:r>
              <w:rPr>
                <w:rFonts w:hint="eastAsia" w:ascii="宋体" w:hAnsi="宋体" w:cs="宋体"/>
                <w:kern w:val="0"/>
                <w:szCs w:val="21"/>
              </w:rPr>
              <w:t>技术保障措施</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10</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spacing w:line="360" w:lineRule="exact"/>
              <w:jc w:val="left"/>
              <w:rPr>
                <w:rFonts w:ascii="宋体" w:hAnsi="宋体" w:cs="仿宋"/>
                <w:szCs w:val="21"/>
              </w:rPr>
            </w:pPr>
            <w:r>
              <w:rPr>
                <w:rFonts w:hint="eastAsia" w:ascii="宋体" w:hAnsi="宋体" w:cs="仿宋"/>
                <w:szCs w:val="21"/>
              </w:rPr>
              <w:t>投标人</w:t>
            </w:r>
            <w:r>
              <w:rPr>
                <w:rFonts w:ascii="宋体" w:hAnsi="宋体" w:cs="仿宋"/>
                <w:szCs w:val="21"/>
              </w:rPr>
              <w:t>在投标文件中详细说明</w:t>
            </w:r>
            <w:r>
              <w:rPr>
                <w:rFonts w:hint="eastAsia" w:ascii="宋体" w:hAnsi="宋体" w:cs="仿宋"/>
                <w:szCs w:val="21"/>
              </w:rPr>
              <w:t>技术</w:t>
            </w:r>
            <w:r>
              <w:rPr>
                <w:rFonts w:ascii="宋体" w:hAnsi="宋体" w:cs="仿宋"/>
                <w:szCs w:val="21"/>
              </w:rPr>
              <w:t>保障措施（</w:t>
            </w:r>
            <w:r>
              <w:rPr>
                <w:rFonts w:hint="eastAsia" w:ascii="宋体" w:hAnsi="宋体" w:cs="宋体"/>
                <w:szCs w:val="21"/>
              </w:rPr>
              <w:t>包括但不限于技术团队和技术方案</w:t>
            </w:r>
            <w:r>
              <w:rPr>
                <w:rFonts w:ascii="宋体" w:hAnsi="宋体" w:cs="仿宋"/>
                <w:szCs w:val="21"/>
              </w:rPr>
              <w:t>）</w:t>
            </w:r>
            <w:r>
              <w:rPr>
                <w:rFonts w:hint="eastAsia" w:ascii="宋体" w:hAnsi="宋体" w:cs="仿宋"/>
                <w:szCs w:val="21"/>
              </w:rPr>
              <w:t>，根据响应情况进行评审：</w:t>
            </w:r>
          </w:p>
          <w:p>
            <w:pPr>
              <w:spacing w:line="360" w:lineRule="exact"/>
              <w:jc w:val="left"/>
              <w:rPr>
                <w:rFonts w:ascii="宋体" w:hAnsi="宋体" w:cs="仿宋"/>
                <w:szCs w:val="21"/>
              </w:rPr>
            </w:pPr>
            <w:r>
              <w:rPr>
                <w:rFonts w:hint="eastAsia" w:ascii="宋体" w:hAnsi="宋体" w:cs="仿宋"/>
                <w:szCs w:val="21"/>
              </w:rPr>
              <w:t>（1）技术方案科学、严谨，</w:t>
            </w:r>
            <w:r>
              <w:rPr>
                <w:rFonts w:hint="eastAsia" w:ascii="宋体" w:hAnsi="宋体"/>
                <w:szCs w:val="21"/>
              </w:rPr>
              <w:t>能有效把控产品质量</w:t>
            </w:r>
            <w:r>
              <w:rPr>
                <w:rFonts w:hint="eastAsia" w:ascii="宋体" w:hAnsi="宋体" w:cs="仿宋"/>
                <w:szCs w:val="21"/>
              </w:rPr>
              <w:t>；</w:t>
            </w:r>
          </w:p>
          <w:p>
            <w:pPr>
              <w:spacing w:line="360" w:lineRule="exact"/>
              <w:jc w:val="left"/>
              <w:rPr>
                <w:rFonts w:ascii="宋体" w:hAnsi="宋体" w:cs="仿宋"/>
                <w:szCs w:val="21"/>
              </w:rPr>
            </w:pPr>
            <w:r>
              <w:rPr>
                <w:rFonts w:hint="eastAsia" w:ascii="宋体" w:hAnsi="宋体" w:cs="仿宋"/>
                <w:szCs w:val="21"/>
              </w:rPr>
              <w:t>（2）</w:t>
            </w:r>
            <w:r>
              <w:rPr>
                <w:rFonts w:hint="eastAsia" w:ascii="宋体" w:hAnsi="宋体" w:cs="宋体"/>
                <w:color w:val="000000" w:themeColor="text1"/>
                <w:szCs w:val="21"/>
              </w:rPr>
              <w:t>产品生产规范，符合国家及相关行业要求</w:t>
            </w:r>
            <w:r>
              <w:rPr>
                <w:rFonts w:hint="eastAsia" w:ascii="宋体" w:hAnsi="宋体" w:cs="仿宋"/>
                <w:szCs w:val="21"/>
              </w:rPr>
              <w:t>；</w:t>
            </w:r>
          </w:p>
          <w:p>
            <w:pPr>
              <w:spacing w:line="360" w:lineRule="exact"/>
              <w:jc w:val="left"/>
              <w:rPr>
                <w:rFonts w:ascii="宋体" w:hAnsi="宋体" w:cs="仿宋"/>
                <w:szCs w:val="21"/>
              </w:rPr>
            </w:pPr>
            <w:r>
              <w:rPr>
                <w:rFonts w:hint="eastAsia" w:ascii="宋体" w:hAnsi="宋体" w:cs="仿宋"/>
                <w:szCs w:val="21"/>
              </w:rPr>
              <w:t>（3）</w:t>
            </w:r>
            <w:r>
              <w:rPr>
                <w:rFonts w:hint="eastAsia" w:ascii="宋体" w:hAnsi="宋体" w:cs="宋体"/>
                <w:color w:val="000000" w:themeColor="text1"/>
                <w:szCs w:val="21"/>
              </w:rPr>
              <w:t>生产及供货进度计划详细、可实施性强</w:t>
            </w:r>
            <w:r>
              <w:rPr>
                <w:rFonts w:hint="eastAsia" w:ascii="宋体" w:hAnsi="宋体" w:cs="仿宋"/>
                <w:szCs w:val="21"/>
              </w:rPr>
              <w:t>。</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（二）评分标准：</w:t>
            </w:r>
          </w:p>
          <w:p>
            <w:pPr>
              <w:spacing w:line="360" w:lineRule="exact"/>
              <w:jc w:val="left"/>
              <w:rPr>
                <w:rFonts w:ascii="宋体" w:hAnsi="宋体" w:cs="仿宋"/>
                <w:szCs w:val="21"/>
              </w:rPr>
            </w:pPr>
            <w:r>
              <w:rPr>
                <w:rFonts w:hint="eastAsia" w:ascii="宋体" w:hAnsi="宋体" w:cs="仿宋"/>
                <w:szCs w:val="21"/>
              </w:rPr>
              <w:t>满足以上三项要求得10分，满足以上两项要求得8分，满足以上一项要求得6分，其它情况不得分。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08" w:hRule="atLeast"/>
          <w:jc w:val="center"/>
        </w:trPr>
        <w:tc>
          <w:tcPr>
            <w:tcW w:w="754" w:type="dxa"/>
            <w:vAlign w:val="center"/>
          </w:tcPr>
          <w:p>
            <w:pPr>
              <w:widowControl/>
              <w:snapToGrid w:val="0"/>
              <w:spacing w:line="360" w:lineRule="exact"/>
              <w:jc w:val="center"/>
              <w:rPr>
                <w:rFonts w:ascii="宋体" w:hAnsi="宋体"/>
                <w:kern w:val="0"/>
                <w:szCs w:val="21"/>
              </w:rPr>
            </w:pPr>
            <w:r>
              <w:rPr>
                <w:rFonts w:hint="eastAsia" w:ascii="宋体" w:hAnsi="宋体"/>
                <w:kern w:val="0"/>
                <w:szCs w:val="21"/>
              </w:rPr>
              <w:t>3</w:t>
            </w:r>
          </w:p>
        </w:tc>
        <w:tc>
          <w:tcPr>
            <w:tcW w:w="1143" w:type="dxa"/>
            <w:vAlign w:val="center"/>
          </w:tcPr>
          <w:p>
            <w:pPr>
              <w:widowControl/>
              <w:jc w:val="center"/>
              <w:textAlignment w:val="center"/>
              <w:rPr>
                <w:rFonts w:ascii="宋体" w:hAnsi="宋体" w:cs="宋体"/>
                <w:szCs w:val="21"/>
              </w:rPr>
            </w:pPr>
            <w:r>
              <w:rPr>
                <w:rFonts w:hint="eastAsia" w:ascii="宋体" w:hAnsi="宋体" w:cs="宋体"/>
                <w:kern w:val="0"/>
              </w:rPr>
              <w:t>维保</w:t>
            </w:r>
            <w:r>
              <w:rPr>
                <w:rFonts w:hint="eastAsia" w:ascii="宋体" w:hAnsi="宋体"/>
                <w:szCs w:val="21"/>
              </w:rPr>
              <w:t>服务方案</w:t>
            </w:r>
          </w:p>
        </w:tc>
        <w:tc>
          <w:tcPr>
            <w:tcW w:w="709" w:type="dxa"/>
            <w:vAlign w:val="center"/>
          </w:tcPr>
          <w:p>
            <w:pPr>
              <w:widowControl/>
              <w:jc w:val="center"/>
              <w:textAlignment w:val="center"/>
              <w:rPr>
                <w:rFonts w:ascii="宋体" w:hAnsi="宋体" w:cs="宋体"/>
                <w:kern w:val="0"/>
                <w:szCs w:val="21"/>
              </w:rPr>
            </w:pPr>
            <w:r>
              <w:rPr>
                <w:rFonts w:hint="eastAsia" w:ascii="宋体" w:hAnsi="宋体"/>
                <w:szCs w:val="21"/>
              </w:rPr>
              <w:t>8</w:t>
            </w:r>
          </w:p>
        </w:tc>
        <w:tc>
          <w:tcPr>
            <w:tcW w:w="5953" w:type="dxa"/>
            <w:vAlign w:val="center"/>
          </w:tcPr>
          <w:p>
            <w:pPr>
              <w:adjustRightInd w:val="0"/>
              <w:snapToGrid w:val="0"/>
              <w:spacing w:line="360" w:lineRule="exact"/>
              <w:rPr>
                <w:rFonts w:ascii="宋体" w:hAnsi="宋体" w:cs="宋体"/>
                <w:kern w:val="0"/>
              </w:rPr>
            </w:pPr>
            <w:r>
              <w:rPr>
                <w:rFonts w:hint="eastAsia" w:ascii="宋体" w:hAnsi="宋体" w:cs="宋体"/>
                <w:kern w:val="0"/>
              </w:rPr>
              <w:t>在投标文件中详细说明投标人的维保服务（包括维保方案和定期检测及使用培训等），评审委员会根据对招标文件的响应情况进行打分：</w:t>
            </w:r>
          </w:p>
          <w:p>
            <w:pPr>
              <w:widowControl/>
              <w:spacing w:line="360" w:lineRule="exact"/>
              <w:rPr>
                <w:rFonts w:ascii="宋体" w:hAnsi="宋体" w:cs="仿宋"/>
                <w:szCs w:val="21"/>
              </w:rPr>
            </w:pPr>
            <w:r>
              <w:rPr>
                <w:rFonts w:hint="eastAsia" w:ascii="宋体" w:hAnsi="宋体" w:cs="仿宋"/>
                <w:szCs w:val="21"/>
              </w:rPr>
              <w:t>（1）</w:t>
            </w:r>
            <w:r>
              <w:rPr>
                <w:rFonts w:hint="eastAsia" w:ascii="宋体" w:hAnsi="宋体" w:cs="宋体"/>
                <w:kern w:val="0"/>
              </w:rPr>
              <w:t>维保服务方案</w:t>
            </w:r>
            <w:r>
              <w:rPr>
                <w:rFonts w:hint="eastAsia" w:ascii="宋体" w:hAnsi="宋体" w:cs="仿宋"/>
                <w:szCs w:val="21"/>
              </w:rPr>
              <w:t>内容全面；</w:t>
            </w:r>
          </w:p>
          <w:p>
            <w:pPr>
              <w:widowControl/>
              <w:spacing w:line="360" w:lineRule="exact"/>
              <w:rPr>
                <w:rFonts w:ascii="宋体" w:hAnsi="宋体" w:cs="仿宋"/>
                <w:szCs w:val="21"/>
              </w:rPr>
            </w:pPr>
            <w:r>
              <w:rPr>
                <w:rFonts w:hint="eastAsia" w:ascii="宋体" w:hAnsi="宋体" w:cs="仿宋"/>
                <w:szCs w:val="21"/>
              </w:rPr>
              <w:t>（2）</w:t>
            </w:r>
            <w:r>
              <w:rPr>
                <w:rFonts w:hint="eastAsia" w:ascii="宋体" w:hAnsi="宋体" w:cs="宋体"/>
                <w:kern w:val="0"/>
              </w:rPr>
              <w:t>维保服务方案</w:t>
            </w:r>
            <w:r>
              <w:rPr>
                <w:rFonts w:hint="eastAsia" w:ascii="宋体" w:hAnsi="宋体" w:cs="仿宋"/>
                <w:szCs w:val="21"/>
              </w:rPr>
              <w:t>内容先进，科学合理；</w:t>
            </w:r>
          </w:p>
          <w:p>
            <w:pPr>
              <w:widowControl/>
              <w:spacing w:line="360" w:lineRule="exact"/>
              <w:rPr>
                <w:rFonts w:ascii="宋体" w:hAnsi="宋体" w:cs="仿宋"/>
                <w:szCs w:val="21"/>
              </w:rPr>
            </w:pPr>
            <w:r>
              <w:rPr>
                <w:rFonts w:hint="eastAsia" w:ascii="宋体" w:hAnsi="宋体" w:cs="仿宋"/>
                <w:szCs w:val="21"/>
              </w:rPr>
              <w:t>（3）</w:t>
            </w:r>
            <w:r>
              <w:rPr>
                <w:rFonts w:hint="eastAsia" w:ascii="宋体" w:hAnsi="宋体" w:cs="宋体"/>
                <w:kern w:val="0"/>
              </w:rPr>
              <w:t>维保服务方案</w:t>
            </w:r>
            <w:r>
              <w:rPr>
                <w:rFonts w:hint="eastAsia" w:ascii="宋体" w:hAnsi="宋体" w:cs="仿宋"/>
                <w:szCs w:val="21"/>
              </w:rPr>
              <w:t>内容针对性强。</w:t>
            </w:r>
          </w:p>
          <w:p>
            <w:pPr>
              <w:adjustRightInd w:val="0"/>
              <w:snapToGrid w:val="0"/>
              <w:spacing w:line="360" w:lineRule="exact"/>
              <w:rPr>
                <w:rFonts w:ascii="宋体" w:hAnsi="宋体"/>
                <w:szCs w:val="21"/>
              </w:rPr>
            </w:pPr>
            <w:r>
              <w:rPr>
                <w:rFonts w:hint="eastAsia" w:ascii="宋体" w:hAnsi="宋体" w:cs="仿宋"/>
                <w:szCs w:val="21"/>
              </w:rPr>
              <w:t>满足以上三项要求得8分，满足以上二项要求得5分，满足以上一项要求得2分，其它情况不得分。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lang w:val="zh-CN"/>
              </w:rPr>
              <w:t>三、商务部分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93"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1</w:t>
            </w:r>
          </w:p>
        </w:tc>
        <w:tc>
          <w:tcPr>
            <w:tcW w:w="1143" w:type="dxa"/>
            <w:vAlign w:val="center"/>
          </w:tcPr>
          <w:p>
            <w:pPr>
              <w:widowControl/>
              <w:spacing w:line="360" w:lineRule="exact"/>
              <w:jc w:val="center"/>
              <w:rPr>
                <w:rFonts w:ascii="宋体" w:hAnsi="宋体" w:cs="仿宋"/>
                <w:kern w:val="0"/>
                <w:szCs w:val="21"/>
              </w:rPr>
            </w:pPr>
            <w:r>
              <w:rPr>
                <w:rFonts w:hint="eastAsia" w:ascii="宋体" w:hAnsi="宋体" w:cs="宋体"/>
                <w:kern w:val="0"/>
                <w:szCs w:val="21"/>
              </w:rPr>
              <w:t>商务条款偏离情况</w:t>
            </w:r>
          </w:p>
        </w:tc>
        <w:tc>
          <w:tcPr>
            <w:tcW w:w="709" w:type="dxa"/>
            <w:vAlign w:val="center"/>
          </w:tcPr>
          <w:p>
            <w:pPr>
              <w:widowControl/>
              <w:spacing w:line="360" w:lineRule="exact"/>
              <w:jc w:val="center"/>
              <w:rPr>
                <w:rFonts w:ascii="宋体" w:hAnsi="宋体" w:cs="仿宋"/>
                <w:kern w:val="0"/>
                <w:szCs w:val="21"/>
              </w:rPr>
            </w:pPr>
            <w:r>
              <w:rPr>
                <w:rFonts w:hint="eastAsia" w:ascii="宋体" w:hAnsi="宋体" w:cs="仿宋"/>
                <w:kern w:val="0"/>
                <w:szCs w:val="21"/>
              </w:rPr>
              <w:t>7</w:t>
            </w:r>
          </w:p>
        </w:tc>
        <w:tc>
          <w:tcPr>
            <w:tcW w:w="5953" w:type="dxa"/>
            <w:vAlign w:val="center"/>
          </w:tcPr>
          <w:p>
            <w:pPr>
              <w:autoSpaceDE w:val="0"/>
              <w:autoSpaceDN w:val="0"/>
              <w:adjustRightInd w:val="0"/>
              <w:spacing w:line="360" w:lineRule="exact"/>
              <w:jc w:val="left"/>
              <w:rPr>
                <w:rFonts w:ascii="宋体" w:hAnsi="宋体" w:cs="仿宋"/>
                <w:szCs w:val="21"/>
              </w:rPr>
            </w:pPr>
            <w:r>
              <w:rPr>
                <w:rFonts w:hint="eastAsia" w:ascii="宋体" w:hAnsi="宋体" w:cs="仿宋"/>
                <w:szCs w:val="21"/>
              </w:rPr>
              <w:t>投标人应如实填写《商务条款偏离表》，评审委员会根据商务条款响应情况进行打分。</w:t>
            </w:r>
          </w:p>
          <w:p>
            <w:pPr>
              <w:autoSpaceDE w:val="0"/>
              <w:autoSpaceDN w:val="0"/>
              <w:adjustRightInd w:val="0"/>
              <w:spacing w:line="360" w:lineRule="exact"/>
              <w:jc w:val="left"/>
              <w:rPr>
                <w:rFonts w:ascii="宋体" w:hAnsi="宋体" w:cs="仿宋"/>
                <w:szCs w:val="21"/>
              </w:rPr>
            </w:pPr>
            <w:r>
              <w:rPr>
                <w:rFonts w:hint="eastAsia" w:ascii="宋体" w:hAnsi="宋体" w:cs="仿宋"/>
                <w:szCs w:val="21"/>
              </w:rPr>
              <w:t>（1）在满足免费保修期的基础上，每增加一年加1分，最高得2分。</w:t>
            </w:r>
          </w:p>
          <w:p>
            <w:pPr>
              <w:autoSpaceDE w:val="0"/>
              <w:autoSpaceDN w:val="0"/>
              <w:adjustRightInd w:val="0"/>
              <w:spacing w:line="360" w:lineRule="exact"/>
              <w:jc w:val="left"/>
              <w:rPr>
                <w:rFonts w:ascii="宋体" w:hAnsi="宋体" w:cs="仿宋"/>
                <w:szCs w:val="21"/>
              </w:rPr>
            </w:pPr>
            <w:r>
              <w:rPr>
                <w:rFonts w:hint="eastAsia" w:ascii="宋体" w:hAnsi="宋体" w:cs="仿宋"/>
                <w:szCs w:val="21"/>
              </w:rPr>
              <w:t>（2）其它要求全部满足要求的得5分，否则不得分。</w:t>
            </w:r>
          </w:p>
          <w:p>
            <w:pPr>
              <w:autoSpaceDE w:val="0"/>
              <w:autoSpaceDN w:val="0"/>
              <w:adjustRightInd w:val="0"/>
              <w:spacing w:line="360" w:lineRule="exact"/>
              <w:jc w:val="left"/>
              <w:rPr>
                <w:rFonts w:ascii="宋体" w:hAnsi="宋体" w:cs="仿宋"/>
                <w:szCs w:val="21"/>
                <w:lang w:val="zh-CN"/>
              </w:rPr>
            </w:pPr>
            <w:r>
              <w:rPr>
                <w:rFonts w:hint="eastAsia" w:ascii="宋体" w:hAnsi="宋体" w:cs="仿宋"/>
                <w:szCs w:val="21"/>
              </w:rPr>
              <w:t>以上累计满分为7分。</w:t>
            </w:r>
          </w:p>
        </w:tc>
        <w:tc>
          <w:tcPr>
            <w:tcW w:w="1187"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37"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spacing w:line="360" w:lineRule="exact"/>
              <w:jc w:val="center"/>
              <w:rPr>
                <w:rFonts w:ascii="宋体" w:hAnsi="宋体" w:cs="仿宋"/>
                <w:szCs w:val="21"/>
              </w:rPr>
            </w:pPr>
            <w:r>
              <w:rPr>
                <w:rFonts w:hint="eastAsia" w:ascii="宋体" w:hAnsi="宋体" w:cs="仿宋"/>
                <w:szCs w:val="21"/>
              </w:rPr>
              <w:t>诚信评审</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5</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adjustRightInd w:val="0"/>
              <w:snapToGrid w:val="0"/>
              <w:spacing w:line="360" w:lineRule="exact"/>
              <w:rPr>
                <w:rFonts w:ascii="宋体" w:hAnsi="宋体" w:cs="宋体"/>
                <w:szCs w:val="21"/>
              </w:rPr>
            </w:pPr>
            <w:r>
              <w:rPr>
                <w:rFonts w:hint="eastAsia" w:ascii="宋体" w:hAnsi="宋体" w:cs="宋体"/>
                <w:szCs w:val="21"/>
              </w:rPr>
              <w:t>投标人参与政府采购活动在诚信管理中受过主管部门通报处理且仍在实施期限内的本项不得分，</w:t>
            </w:r>
            <w:r>
              <w:rPr>
                <w:rFonts w:hint="eastAsia" w:asciiTheme="minorEastAsia" w:hAnsiTheme="minorEastAsia" w:eastAsiaTheme="minorEastAsia"/>
                <w:kern w:val="0"/>
                <w:szCs w:val="21"/>
              </w:rPr>
              <w:t>否则得5分</w:t>
            </w:r>
            <w:r>
              <w:rPr>
                <w:rFonts w:hint="eastAsia" w:ascii="宋体" w:hAnsi="宋体" w:cs="宋体"/>
                <w:szCs w:val="21"/>
              </w:rPr>
              <w:t>。</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tabs>
                <w:tab w:val="left" w:pos="175"/>
              </w:tabs>
              <w:spacing w:line="360" w:lineRule="exact"/>
              <w:ind w:left="33"/>
              <w:jc w:val="left"/>
              <w:rPr>
                <w:rFonts w:ascii="宋体" w:hAnsi="宋体" w:cs="仿宋"/>
                <w:szCs w:val="21"/>
              </w:rPr>
            </w:pPr>
            <w:r>
              <w:rPr>
                <w:rFonts w:hint="eastAsia" w:ascii="宋体" w:hAnsi="宋体" w:cs="宋体"/>
                <w:bCs/>
                <w:kern w:val="0"/>
                <w:szCs w:val="21"/>
              </w:rPr>
              <w:t>按招标文件格式如实提供</w:t>
            </w:r>
            <w:r>
              <w:rPr>
                <w:rFonts w:hint="eastAsia" w:ascii="宋体" w:hAnsi="宋体" w:cs="宋体"/>
                <w:szCs w:val="21"/>
              </w:rPr>
              <w:t>《诚信承诺函》</w:t>
            </w:r>
            <w:r>
              <w:rPr>
                <w:rFonts w:hint="eastAsia" w:ascii="宋体" w:hAnsi="宋体" w:cs="宋体"/>
                <w:bCs/>
                <w:kern w:val="0"/>
                <w:szCs w:val="21"/>
              </w:rPr>
              <w:t>原件加盖投标人公章，且承诺函格式及内容不得修改，否则不得分</w:t>
            </w:r>
            <w:r>
              <w:rPr>
                <w:rFonts w:hint="eastAsia" w:ascii="宋体" w:hAnsi="宋体" w:cs="宋体"/>
                <w:szCs w:val="21"/>
              </w:rPr>
              <w:t>。</w:t>
            </w:r>
            <w:r>
              <w:rPr>
                <w:rFonts w:hint="eastAsia" w:ascii="宋体" w:hAnsi="宋体" w:cs="宋体"/>
                <w:bCs/>
                <w:kern w:val="0"/>
                <w:szCs w:val="21"/>
              </w:rPr>
              <w:t>如若投标人承诺与实际情况不相符，将按虚假应标报相关主管部门处理</w:t>
            </w:r>
            <w:r>
              <w:rPr>
                <w:rFonts w:hint="eastAsia" w:ascii="宋体" w:hAnsi="宋体" w:cs="宋体"/>
                <w:szCs w:val="21"/>
              </w:rPr>
              <w:t>。</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bl>
    <w:p>
      <w:pPr>
        <w:pStyle w:val="4"/>
        <w:spacing w:before="0" w:after="0"/>
        <w:jc w:val="left"/>
        <w:rPr>
          <w:rFonts w:asciiTheme="minorEastAsia" w:hAnsiTheme="minorEastAsia"/>
          <w:bCs w:val="0"/>
          <w:sz w:val="21"/>
          <w:szCs w:val="21"/>
        </w:rPr>
      </w:pPr>
      <w:r>
        <w:rPr>
          <w:rFonts w:hint="eastAsia" w:asciiTheme="minorEastAsia" w:hAnsiTheme="minorEastAsia"/>
          <w:bCs w:val="0"/>
          <w:sz w:val="21"/>
          <w:szCs w:val="21"/>
        </w:rPr>
        <w:t>备注：</w:t>
      </w:r>
      <w:bookmarkEnd w:id="10"/>
      <w:bookmarkEnd w:id="11"/>
      <w:bookmarkEnd w:id="12"/>
      <w:bookmarkEnd w:id="13"/>
      <w:bookmarkEnd w:id="14"/>
    </w:p>
    <w:p>
      <w:pPr>
        <w:pStyle w:val="3"/>
        <w:spacing w:before="0" w:after="0"/>
      </w:pPr>
      <w:bookmarkStart w:id="15" w:name="_Toc107846025"/>
      <w:r>
        <w:rPr>
          <w:rFonts w:hint="eastAsia"/>
        </w:rPr>
        <w:t>1、资质证书有效期</w:t>
      </w:r>
      <w:bookmarkEnd w:id="15"/>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3"/>
        <w:spacing w:before="0" w:after="0"/>
        <w:rPr>
          <w:rFonts w:asciiTheme="minorEastAsia" w:hAnsiTheme="minorEastAsia" w:eastAsiaTheme="minorEastAsia"/>
        </w:rPr>
      </w:pPr>
      <w:bookmarkStart w:id="16" w:name="_Toc107846026"/>
      <w:r>
        <w:rPr>
          <w:rFonts w:hint="eastAsia" w:asciiTheme="minorEastAsia" w:hAnsiTheme="minorEastAsia" w:eastAsiaTheme="minorEastAsia"/>
        </w:rPr>
        <w:t>2、政府采购扶持政策</w:t>
      </w:r>
      <w:bookmarkEnd w:id="16"/>
    </w:p>
    <w:p>
      <w:pPr>
        <w:adjustRightInd w:val="0"/>
        <w:snapToGrid w:val="0"/>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扶持政策的证明材料的投标人，</w:t>
      </w:r>
      <w:r>
        <w:rPr>
          <w:rFonts w:hint="eastAsia" w:asciiTheme="minorEastAsia" w:hAnsiTheme="minorEastAsia" w:eastAsiaTheme="minorEastAsia"/>
          <w:b/>
        </w:rPr>
        <w:t>其投标报价扣除</w:t>
      </w:r>
      <w:r>
        <w:rPr>
          <w:rFonts w:hint="eastAsia" w:asciiTheme="minorEastAsia" w:hAnsiTheme="minorEastAsia" w:eastAsiaTheme="minorEastAsia"/>
          <w:b/>
          <w:u w:val="single"/>
        </w:rPr>
        <w:t xml:space="preserve"> 10 </w:t>
      </w:r>
      <w:r>
        <w:rPr>
          <w:rFonts w:hint="eastAsia" w:asciiTheme="minorEastAsia" w:hAnsiTheme="minorEastAsia" w:eastAsiaTheme="minorEastAsia"/>
          <w:b/>
        </w:rPr>
        <w:t>%（请在10%-20%范围内选择）后参与评审</w:t>
      </w:r>
      <w:r>
        <w:rPr>
          <w:rFonts w:hint="eastAsia" w:asciiTheme="minorEastAsia" w:hAnsiTheme="minorEastAsia" w:eastAsiaTheme="minorEastAsia"/>
        </w:rPr>
        <w:t>。对于同时属于小微企业、监狱企业或残疾人福利性单位的，不重复进行投标报价扣除。</w:t>
      </w:r>
    </w:p>
    <w:p>
      <w:pPr>
        <w:adjustRightInd w:val="0"/>
        <w:snapToGrid w:val="0"/>
        <w:spacing w:line="360" w:lineRule="auto"/>
        <w:ind w:firstLine="426" w:firstLineChars="202"/>
        <w:rPr>
          <w:rFonts w:asciiTheme="minorEastAsia" w:hAnsiTheme="minorEastAsia" w:eastAsiaTheme="minorEastAsia"/>
          <w:szCs w:val="21"/>
        </w:rPr>
      </w:pPr>
      <w:r>
        <w:rPr>
          <w:rFonts w:hint="eastAsia" w:ascii="宋体" w:hAnsi="宋体"/>
          <w:b/>
          <w:szCs w:val="21"/>
          <w:highlight w:val="yellow"/>
        </w:rPr>
        <w:t>本项目所属行业为</w:t>
      </w:r>
      <w:r>
        <w:rPr>
          <w:rFonts w:hint="eastAsia" w:ascii="宋体" w:hAnsi="宋体"/>
          <w:b/>
          <w:szCs w:val="21"/>
          <w:highlight w:val="yellow"/>
          <w:u w:val="single"/>
        </w:rPr>
        <w:t xml:space="preserve">  工业  </w:t>
      </w:r>
      <w:r>
        <w:rPr>
          <w:rFonts w:hint="eastAsia" w:ascii="宋体" w:hAnsi="宋体"/>
          <w:b/>
          <w:szCs w:val="21"/>
          <w:highlight w:val="yellow"/>
        </w:rPr>
        <w:t>。</w:t>
      </w:r>
      <w:r>
        <w:rPr>
          <w:rFonts w:hint="eastAsia" w:ascii="宋体" w:hAnsi="宋体"/>
          <w:szCs w:val="21"/>
          <w:highlight w:val="yellow"/>
        </w:rPr>
        <w:t>投标人应根据《工业和信息化部、国家统计局、国家发展和改革委员会、财政部关于印发中小企业划型标准规定的通知》(工信部联企业〔2011〕300号)规定的中小企业划型标准填写《中小企业声明函》。</w:t>
      </w:r>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rPr>
        <w:t>（2）联合协议中约定，小型、微型企业的协议合同金额占到联合体协议合同总金额30%以上的，可给予</w:t>
      </w:r>
      <w:r>
        <w:rPr>
          <w:rFonts w:hint="eastAsia" w:asciiTheme="minorEastAsia" w:hAnsiTheme="minorEastAsia" w:eastAsiaTheme="minorEastAsia"/>
          <w:b/>
        </w:rPr>
        <w:t>联合体</w:t>
      </w:r>
      <w:r>
        <w:rPr>
          <w:rFonts w:hint="eastAsia" w:asciiTheme="minorEastAsia" w:hAnsiTheme="minorEastAsia" w:eastAsiaTheme="minorEastAsia"/>
          <w:b/>
          <w:u w:val="single"/>
        </w:rPr>
        <w:t xml:space="preserve"> / </w:t>
      </w:r>
      <w:r>
        <w:rPr>
          <w:rFonts w:hint="eastAsia" w:asciiTheme="minorEastAsia" w:hAnsiTheme="minorEastAsia" w:eastAsiaTheme="minorEastAsia"/>
          <w:b/>
        </w:rPr>
        <w:t>%（请在4</w:t>
      </w:r>
      <w:r>
        <w:rPr>
          <w:rFonts w:asciiTheme="minorEastAsia" w:hAnsiTheme="minorEastAsia" w:eastAsiaTheme="minorEastAsia"/>
          <w:b/>
        </w:rPr>
        <w:t>%-</w:t>
      </w:r>
      <w:r>
        <w:rPr>
          <w:rFonts w:hint="eastAsia" w:asciiTheme="minorEastAsia" w:hAnsiTheme="minorEastAsia" w:eastAsiaTheme="minorEastAsia"/>
          <w:b/>
        </w:rPr>
        <w:t>6</w:t>
      </w:r>
      <w:r>
        <w:rPr>
          <w:rFonts w:asciiTheme="minorEastAsia" w:hAnsiTheme="minorEastAsia" w:eastAsiaTheme="minorEastAsia"/>
          <w:b/>
        </w:rPr>
        <w:t>%</w:t>
      </w:r>
      <w:r>
        <w:rPr>
          <w:rFonts w:hint="eastAsia" w:asciiTheme="minorEastAsia" w:hAnsiTheme="minorEastAsia" w:eastAsiaTheme="minorEastAsia"/>
          <w:b/>
        </w:rPr>
        <w:t>范围内选择）</w:t>
      </w:r>
      <w:r>
        <w:rPr>
          <w:rFonts w:hint="eastAsia" w:asciiTheme="minorEastAsia" w:hAnsiTheme="minorEastAsia" w:eastAsiaTheme="minorEastAsia"/>
        </w:rPr>
        <w:t>的价格扣除。</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联合体各方均为小型、微型企业、监狱企业和</w:t>
      </w:r>
      <w:r>
        <w:rPr>
          <w:rFonts w:hint="eastAsia" w:ascii="宋体" w:hAnsi="宋体"/>
        </w:rPr>
        <w:t>残疾人福利性单位</w:t>
      </w:r>
      <w:r>
        <w:rPr>
          <w:rFonts w:hint="eastAsia" w:asciiTheme="minorEastAsia" w:hAnsiTheme="minorEastAsia" w:eastAsiaTheme="minorEastAsia"/>
        </w:rPr>
        <w:t>的，联合体视同为小型、微型企业、监狱企业和</w:t>
      </w:r>
      <w:r>
        <w:rPr>
          <w:rFonts w:hint="eastAsia" w:ascii="宋体" w:hAnsi="宋体"/>
        </w:rPr>
        <w:t>残疾人福利性单位</w:t>
      </w:r>
      <w:r>
        <w:rPr>
          <w:rFonts w:hint="eastAsia" w:asciiTheme="minorEastAsia" w:hAnsiTheme="minorEastAsia" w:eastAsiaTheme="minorEastAsia"/>
        </w:rPr>
        <w:t>，均享受</w:t>
      </w:r>
      <w:r>
        <w:rPr>
          <w:rFonts w:hint="eastAsia" w:asciiTheme="minorEastAsia" w:hAnsiTheme="minorEastAsia" w:eastAsiaTheme="minorEastAsia"/>
          <w:b/>
          <w:bCs/>
        </w:rPr>
        <w:t>政府采购扶持政策</w:t>
      </w:r>
      <w:r>
        <w:rPr>
          <w:rFonts w:hint="eastAsia" w:asciiTheme="minorEastAsia" w:hAnsiTheme="minorEastAsia" w:eastAsiaTheme="minorEastAsia"/>
          <w:b/>
        </w:rPr>
        <w:t>第一款</w:t>
      </w:r>
      <w:r>
        <w:rPr>
          <w:rFonts w:hint="eastAsia" w:asciiTheme="minorEastAsia" w:hAnsiTheme="minorEastAsia" w:eastAsiaTheme="minorEastAsia"/>
        </w:rPr>
        <w:t>的优惠政策。</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rPr>
        <w:t>（4）投标产品属于《关于调整优化节能产品环境标志产品政府采购执行机制的通知》（财库〔2019〕9号）、《关于印发环境标志产品政府采购品目清单的通知》（财库〔2019〕18号）和《关于印发节能产品</w:t>
      </w:r>
      <w:r>
        <w:rPr>
          <w:rFonts w:hint="eastAsia" w:asciiTheme="minorEastAsia" w:hAnsiTheme="minorEastAsia" w:eastAsiaTheme="minorEastAsia"/>
          <w:szCs w:val="21"/>
        </w:rPr>
        <w:t>政府采购品目清单的通知》（财库〔2019〕19号）品目清单范围内的，</w:t>
      </w:r>
      <w:r>
        <w:rPr>
          <w:rFonts w:hint="eastAsia" w:asciiTheme="minorEastAsia" w:hAnsiTheme="minorEastAsia" w:eastAsiaTheme="minorEastAsia"/>
        </w:rPr>
        <w:t>应依据国家确定的认证机构出具的、处于有效期之内的节能产品、环境标志产品认证证书，对获得证书的产品实施政府优先采购或强制采购。</w:t>
      </w:r>
      <w:r>
        <w:rPr>
          <w:rFonts w:hint="eastAsia" w:asciiTheme="minorEastAsia" w:hAnsiTheme="minorEastAsia" w:eastAsiaTheme="minorEastAsia"/>
          <w:b/>
        </w:rPr>
        <w:t>对符合条件的获证产品（强制采购产品除外）</w:t>
      </w:r>
      <w:r>
        <w:rPr>
          <w:rFonts w:hint="eastAsia" w:asciiTheme="minorEastAsia" w:hAnsiTheme="minorEastAsia" w:eastAsiaTheme="minorEastAsia"/>
          <w:b/>
          <w:szCs w:val="21"/>
        </w:rPr>
        <w:t>，根据该投标产品报价给予</w:t>
      </w:r>
      <w:r>
        <w:rPr>
          <w:rFonts w:hint="eastAsia" w:asciiTheme="minorEastAsia" w:hAnsiTheme="minorEastAsia" w:eastAsiaTheme="minorEastAsia"/>
          <w:b/>
          <w:szCs w:val="21"/>
          <w:u w:val="single"/>
        </w:rPr>
        <w:t xml:space="preserve"> 1 </w:t>
      </w:r>
      <w:r>
        <w:rPr>
          <w:rFonts w:hint="eastAsia" w:asciiTheme="minorEastAsia" w:hAnsiTheme="minorEastAsia" w:eastAsiaTheme="minorEastAsia"/>
          <w:b/>
          <w:szCs w:val="21"/>
        </w:rPr>
        <w:t>%的价格扣除，用扣除后的价格参与价格分的评审</w:t>
      </w:r>
      <w:r>
        <w:rPr>
          <w:rFonts w:hint="eastAsia" w:asciiTheme="minorEastAsia" w:hAnsiTheme="minorEastAsia" w:eastAsiaTheme="minorEastAsia"/>
          <w:szCs w:val="21"/>
        </w:rPr>
        <w:t>（需按投标文件格式部分“列入政府优先采购清单的投标产品一览表”的要求提供证明材料，否则不予价格扣除）。</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（5）</w:t>
      </w:r>
      <w:r>
        <w:rPr>
          <w:rFonts w:hint="eastAsia" w:asciiTheme="minorEastAsia" w:hAnsiTheme="minorEastAsia" w:eastAsiaTheme="minorEastAsia"/>
        </w:rPr>
        <w:t>为缓解中小企业融资难题，深圳市推出政府采购订单融资改革举措。订单融资具体流程及试点金融机构订单融资服务承诺可参阅深圳市政府采购监管网（zfcg.sz.gov.cn）政府采购订单融资栏目</w:t>
      </w:r>
      <w:r>
        <w:rPr>
          <w:rFonts w:hint="eastAsia" w:asciiTheme="minorEastAsia" w:hAnsiTheme="minorEastAsia" w:eastAsiaTheme="minorEastAsia"/>
          <w:szCs w:val="21"/>
        </w:rPr>
        <w:t>。</w:t>
      </w:r>
    </w:p>
    <w:p>
      <w:pPr>
        <w:spacing w:line="360" w:lineRule="auto"/>
        <w:ind w:firstLine="424" w:firstLineChars="202"/>
        <w:jc w:val="left"/>
        <w:rPr>
          <w:rFonts w:asciiTheme="minorEastAsia" w:hAnsiTheme="minorEastAsia" w:eastAsiaTheme="minorEastAsia"/>
          <w:szCs w:val="21"/>
        </w:rPr>
      </w:pPr>
    </w:p>
    <w:p/>
    <w:p>
      <w:pPr>
        <w:widowControl/>
        <w:jc w:val="left"/>
        <w:rPr>
          <w:sz w:val="32"/>
        </w:rPr>
      </w:pPr>
      <w:r>
        <w:rPr>
          <w:rFonts w:eastAsiaTheme="minorEastAsia"/>
          <w:b/>
          <w:kern w:val="44"/>
          <w:sz w:val="32"/>
          <w:szCs w:val="28"/>
        </w:rPr>
        <w:br w:type="page"/>
      </w:r>
    </w:p>
    <w:p>
      <w:pPr>
        <w:widowControl/>
        <w:jc w:val="left"/>
        <w:rPr>
          <w:rFonts w:eastAsiaTheme="minorEastAsia"/>
          <w:b/>
          <w:kern w:val="44"/>
          <w:sz w:val="32"/>
          <w:szCs w:val="28"/>
        </w:rPr>
      </w:pPr>
    </w:p>
    <w:p>
      <w:pPr>
        <w:pStyle w:val="2"/>
        <w:spacing w:beforeLines="50"/>
      </w:pPr>
      <w:bookmarkStart w:id="17" w:name="_Toc107846027"/>
      <w:r>
        <w:rPr>
          <w:rFonts w:hint="eastAsia"/>
        </w:rPr>
        <w:t>第五章  投标人须知前附表</w:t>
      </w:r>
      <w:bookmarkEnd w:id="17"/>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项号</w:t>
            </w:r>
          </w:p>
        </w:tc>
        <w:tc>
          <w:tcPr>
            <w:tcW w:w="1038" w:type="dxa"/>
            <w:vAlign w:val="center"/>
          </w:tcPr>
          <w:p>
            <w:pPr>
              <w:pStyle w:val="26"/>
              <w:spacing w:line="360" w:lineRule="auto"/>
              <w:jc w:val="center"/>
              <w:rPr>
                <w:rFonts w:hAnsi="宋体"/>
              </w:rPr>
            </w:pPr>
            <w:r>
              <w:rPr>
                <w:rFonts w:hint="eastAsia" w:hAnsi="宋体"/>
              </w:rPr>
              <w:t>条款号</w:t>
            </w:r>
          </w:p>
        </w:tc>
        <w:tc>
          <w:tcPr>
            <w:tcW w:w="1843" w:type="dxa"/>
            <w:vAlign w:val="center"/>
          </w:tcPr>
          <w:p>
            <w:pPr>
              <w:pStyle w:val="26"/>
              <w:spacing w:line="360" w:lineRule="auto"/>
              <w:jc w:val="center"/>
              <w:rPr>
                <w:rFonts w:hAnsi="宋体"/>
              </w:rPr>
            </w:pPr>
            <w:r>
              <w:rPr>
                <w:rFonts w:hint="eastAsia" w:hAnsi="宋体"/>
              </w:rPr>
              <w:t>内容</w:t>
            </w:r>
          </w:p>
        </w:tc>
        <w:tc>
          <w:tcPr>
            <w:tcW w:w="6520" w:type="dxa"/>
          </w:tcPr>
          <w:p>
            <w:pPr>
              <w:pStyle w:val="26"/>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Ansi="宋体"/>
              </w:rPr>
              <w:t>1</w:t>
            </w:r>
          </w:p>
        </w:tc>
        <w:tc>
          <w:tcPr>
            <w:tcW w:w="1038" w:type="dxa"/>
            <w:vAlign w:val="center"/>
          </w:tcPr>
          <w:p>
            <w:pPr>
              <w:pStyle w:val="26"/>
              <w:spacing w:line="360" w:lineRule="auto"/>
              <w:jc w:val="center"/>
              <w:rPr>
                <w:rFonts w:hAnsi="宋体"/>
              </w:rPr>
            </w:pPr>
            <w:r>
              <w:rPr>
                <w:rFonts w:hAnsi="宋体"/>
              </w:rPr>
              <w:t>1.1</w:t>
            </w:r>
          </w:p>
        </w:tc>
        <w:tc>
          <w:tcPr>
            <w:tcW w:w="1843" w:type="dxa"/>
            <w:vAlign w:val="center"/>
          </w:tcPr>
          <w:p>
            <w:pPr>
              <w:pStyle w:val="26"/>
              <w:spacing w:line="360" w:lineRule="exact"/>
              <w:jc w:val="center"/>
              <w:rPr>
                <w:rFonts w:hAnsi="宋体"/>
              </w:rPr>
            </w:pPr>
            <w:r>
              <w:rPr>
                <w:rFonts w:hint="eastAsia" w:hAnsi="宋体"/>
              </w:rPr>
              <w:t>项目名称</w:t>
            </w:r>
          </w:p>
        </w:tc>
        <w:tc>
          <w:tcPr>
            <w:tcW w:w="6520" w:type="dxa"/>
            <w:vAlign w:val="center"/>
          </w:tcPr>
          <w:p>
            <w:pPr>
              <w:pStyle w:val="26"/>
              <w:spacing w:line="360" w:lineRule="exact"/>
            </w:pPr>
            <w:r>
              <w:rPr>
                <w:rFonts w:hint="eastAsia" w:asciiTheme="minorEastAsia" w:hAnsiTheme="minorEastAsia" w:eastAsiaTheme="minorEastAsia"/>
              </w:rPr>
              <w:t>鼻阻力仪采购</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2</w:t>
            </w:r>
          </w:p>
        </w:tc>
        <w:tc>
          <w:tcPr>
            <w:tcW w:w="1038" w:type="dxa"/>
            <w:vAlign w:val="center"/>
          </w:tcPr>
          <w:p>
            <w:pPr>
              <w:pStyle w:val="26"/>
              <w:spacing w:line="360" w:lineRule="auto"/>
              <w:jc w:val="center"/>
              <w:rPr>
                <w:rFonts w:hAnsi="宋体"/>
              </w:rPr>
            </w:pPr>
            <w:r>
              <w:rPr>
                <w:rFonts w:hAnsi="宋体"/>
              </w:rPr>
              <w:t>2.1</w:t>
            </w:r>
          </w:p>
        </w:tc>
        <w:tc>
          <w:tcPr>
            <w:tcW w:w="1843" w:type="dxa"/>
            <w:vAlign w:val="center"/>
          </w:tcPr>
          <w:p>
            <w:pPr>
              <w:pStyle w:val="26"/>
              <w:spacing w:line="360" w:lineRule="exact"/>
              <w:jc w:val="center"/>
              <w:rPr>
                <w:rFonts w:hAnsi="宋体"/>
              </w:rPr>
            </w:pPr>
            <w:r>
              <w:rPr>
                <w:rFonts w:hint="eastAsia" w:hAnsi="宋体"/>
              </w:rPr>
              <w:t>采购人</w:t>
            </w:r>
          </w:p>
        </w:tc>
        <w:tc>
          <w:tcPr>
            <w:tcW w:w="6520" w:type="dxa"/>
            <w:vAlign w:val="center"/>
          </w:tcPr>
          <w:p>
            <w:pPr>
              <w:pStyle w:val="26"/>
              <w:spacing w:line="360" w:lineRule="exact"/>
              <w:rPr>
                <w:rFonts w:hAnsi="宋体"/>
                <w:szCs w:val="24"/>
              </w:rPr>
            </w:pPr>
            <w:r>
              <w:rPr>
                <w:rFonts w:hint="eastAsia" w:hAnsi="宋体"/>
                <w:szCs w:val="24"/>
              </w:rPr>
              <w:t>深圳市儿童医院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3</w:t>
            </w:r>
          </w:p>
        </w:tc>
        <w:tc>
          <w:tcPr>
            <w:tcW w:w="1038" w:type="dxa"/>
            <w:vAlign w:val="center"/>
          </w:tcPr>
          <w:p>
            <w:pPr>
              <w:pStyle w:val="26"/>
              <w:spacing w:line="360" w:lineRule="auto"/>
              <w:jc w:val="center"/>
              <w:rPr>
                <w:rFonts w:hAnsi="宋体"/>
              </w:rPr>
            </w:pPr>
            <w:r>
              <w:rPr>
                <w:rFonts w:hAnsi="宋体"/>
              </w:rPr>
              <w:t>2.2</w:t>
            </w:r>
          </w:p>
        </w:tc>
        <w:tc>
          <w:tcPr>
            <w:tcW w:w="1843" w:type="dxa"/>
            <w:vAlign w:val="center"/>
          </w:tcPr>
          <w:p>
            <w:pPr>
              <w:pStyle w:val="26"/>
              <w:spacing w:line="360" w:lineRule="exact"/>
              <w:jc w:val="center"/>
              <w:rPr>
                <w:rFonts w:hAnsi="宋体"/>
              </w:rPr>
            </w:pPr>
            <w:r>
              <w:rPr>
                <w:rFonts w:hint="eastAsia" w:hAnsi="宋体"/>
              </w:rPr>
              <w:t>采购代理机构</w:t>
            </w:r>
          </w:p>
        </w:tc>
        <w:tc>
          <w:tcPr>
            <w:tcW w:w="6520" w:type="dxa"/>
            <w:vAlign w:val="center"/>
          </w:tcPr>
          <w:p>
            <w:pPr>
              <w:pStyle w:val="26"/>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6"/>
              <w:spacing w:line="360" w:lineRule="auto"/>
              <w:jc w:val="center"/>
              <w:rPr>
                <w:rFonts w:hAnsi="宋体"/>
              </w:rPr>
            </w:pPr>
            <w:r>
              <w:rPr>
                <w:rFonts w:hint="eastAsia" w:hAnsi="宋体"/>
              </w:rPr>
              <w:t>4</w:t>
            </w:r>
          </w:p>
        </w:tc>
        <w:tc>
          <w:tcPr>
            <w:tcW w:w="1038" w:type="dxa"/>
            <w:vAlign w:val="center"/>
          </w:tcPr>
          <w:p>
            <w:pPr>
              <w:pStyle w:val="26"/>
              <w:spacing w:line="360" w:lineRule="auto"/>
              <w:jc w:val="center"/>
              <w:rPr>
                <w:rFonts w:hAnsi="宋体"/>
              </w:rPr>
            </w:pPr>
            <w:r>
              <w:rPr>
                <w:rFonts w:hint="eastAsia" w:hAnsi="宋体"/>
              </w:rPr>
              <w:t>3.1</w:t>
            </w:r>
          </w:p>
        </w:tc>
        <w:tc>
          <w:tcPr>
            <w:tcW w:w="1843" w:type="dxa"/>
            <w:vAlign w:val="center"/>
          </w:tcPr>
          <w:p>
            <w:pPr>
              <w:pStyle w:val="26"/>
              <w:spacing w:line="360" w:lineRule="exact"/>
              <w:jc w:val="center"/>
              <w:rPr>
                <w:rFonts w:hAnsi="宋体"/>
              </w:rPr>
            </w:pPr>
            <w:r>
              <w:rPr>
                <w:rFonts w:hint="eastAsia" w:hAnsi="宋体"/>
              </w:rPr>
              <w:t>资金来源</w:t>
            </w:r>
          </w:p>
        </w:tc>
        <w:tc>
          <w:tcPr>
            <w:tcW w:w="6520" w:type="dxa"/>
            <w:vAlign w:val="center"/>
          </w:tcPr>
          <w:p>
            <w:pPr>
              <w:pStyle w:val="26"/>
              <w:spacing w:line="360" w:lineRule="exact"/>
              <w:rPr>
                <w:rFonts w:hAnsi="宋体"/>
              </w:rPr>
            </w:pPr>
            <w:r>
              <w:rPr>
                <w:rFonts w:hint="eastAsia" w:hAnsi="宋体" w:eastAsia="MS Mincho" w:cs="MS Mincho"/>
                <w:sz w:val="24"/>
                <w:szCs w:val="24"/>
              </w:rPr>
              <w:t>☑</w:t>
            </w:r>
            <w:r>
              <w:rPr>
                <w:rFonts w:hint="eastAsia" w:hAnsi="宋体"/>
              </w:rPr>
              <w:t>财政资金/□自筹资金/□其它资金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6"/>
              <w:spacing w:line="360" w:lineRule="auto"/>
              <w:jc w:val="center"/>
              <w:rPr>
                <w:rFonts w:hAnsi="宋体"/>
              </w:rPr>
            </w:pPr>
            <w:r>
              <w:rPr>
                <w:rFonts w:hint="eastAsia" w:hAnsi="宋体"/>
              </w:rPr>
              <w:t>5</w:t>
            </w:r>
          </w:p>
        </w:tc>
        <w:tc>
          <w:tcPr>
            <w:tcW w:w="1038" w:type="dxa"/>
            <w:vAlign w:val="center"/>
          </w:tcPr>
          <w:p>
            <w:pPr>
              <w:pStyle w:val="26"/>
              <w:spacing w:line="360" w:lineRule="auto"/>
              <w:jc w:val="center"/>
              <w:rPr>
                <w:rFonts w:hAnsi="宋体"/>
              </w:rPr>
            </w:pPr>
            <w:r>
              <w:rPr>
                <w:rFonts w:hint="eastAsia" w:hAnsi="宋体"/>
              </w:rPr>
              <w:t>4.7</w:t>
            </w:r>
          </w:p>
        </w:tc>
        <w:tc>
          <w:tcPr>
            <w:tcW w:w="1843" w:type="dxa"/>
            <w:vAlign w:val="center"/>
          </w:tcPr>
          <w:p>
            <w:pPr>
              <w:pStyle w:val="26"/>
              <w:spacing w:line="360" w:lineRule="auto"/>
              <w:jc w:val="center"/>
              <w:rPr>
                <w:rFonts w:hAnsi="宋体"/>
              </w:rPr>
            </w:pPr>
            <w:r>
              <w:rPr>
                <w:rFonts w:hint="eastAsia" w:hAnsi="宋体"/>
              </w:rPr>
              <w:t>投标人资格要求</w:t>
            </w:r>
          </w:p>
        </w:tc>
        <w:tc>
          <w:tcPr>
            <w:tcW w:w="6520" w:type="dxa"/>
            <w:vAlign w:val="center"/>
          </w:tcPr>
          <w:p>
            <w:pPr>
              <w:pStyle w:val="26"/>
              <w:spacing w:line="360" w:lineRule="auto"/>
              <w:rPr>
                <w:rFonts w:hAnsi="宋体"/>
                <w:szCs w:val="21"/>
              </w:rPr>
            </w:pPr>
            <w:r>
              <w:rPr>
                <w:rFonts w:hint="eastAsia" w:hAnsi="宋体"/>
                <w:szCs w:val="21"/>
              </w:rPr>
              <w:t>详见《第一章 投标邀请》“申请人的资格要求”</w:t>
            </w:r>
          </w:p>
          <w:p>
            <w:pPr>
              <w:pStyle w:val="26"/>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6</w:t>
            </w:r>
          </w:p>
        </w:tc>
        <w:tc>
          <w:tcPr>
            <w:tcW w:w="1038" w:type="dxa"/>
            <w:vAlign w:val="center"/>
          </w:tcPr>
          <w:p>
            <w:pPr>
              <w:pStyle w:val="26"/>
              <w:spacing w:line="360" w:lineRule="auto"/>
              <w:jc w:val="center"/>
              <w:rPr>
                <w:rFonts w:hAnsi="宋体"/>
              </w:rPr>
            </w:pPr>
            <w:r>
              <w:rPr>
                <w:rFonts w:hint="eastAsia" w:hAnsi="宋体"/>
              </w:rPr>
              <w:t>4.8</w:t>
            </w:r>
          </w:p>
        </w:tc>
        <w:tc>
          <w:tcPr>
            <w:tcW w:w="1843" w:type="dxa"/>
            <w:vAlign w:val="center"/>
          </w:tcPr>
          <w:p>
            <w:pPr>
              <w:pStyle w:val="26"/>
              <w:spacing w:line="360" w:lineRule="auto"/>
              <w:jc w:val="center"/>
              <w:rPr>
                <w:rFonts w:hAnsi="宋体"/>
              </w:rPr>
            </w:pPr>
            <w:r>
              <w:rPr>
                <w:rFonts w:hint="eastAsia" w:hAnsi="宋体"/>
              </w:rPr>
              <w:t>联合体投标</w:t>
            </w:r>
          </w:p>
        </w:tc>
        <w:tc>
          <w:tcPr>
            <w:tcW w:w="6520" w:type="dxa"/>
          </w:tcPr>
          <w:p>
            <w:pPr>
              <w:pStyle w:val="26"/>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7</w:t>
            </w:r>
          </w:p>
        </w:tc>
        <w:tc>
          <w:tcPr>
            <w:tcW w:w="1038" w:type="dxa"/>
            <w:vAlign w:val="center"/>
          </w:tcPr>
          <w:p>
            <w:pPr>
              <w:pStyle w:val="26"/>
              <w:spacing w:line="360" w:lineRule="auto"/>
              <w:jc w:val="center"/>
              <w:rPr>
                <w:rFonts w:hAnsi="宋体"/>
              </w:rPr>
            </w:pPr>
            <w:r>
              <w:rPr>
                <w:rFonts w:hint="eastAsia" w:hAnsi="宋体"/>
              </w:rPr>
              <w:t>6.1</w:t>
            </w:r>
          </w:p>
        </w:tc>
        <w:tc>
          <w:tcPr>
            <w:tcW w:w="1843" w:type="dxa"/>
            <w:vAlign w:val="center"/>
          </w:tcPr>
          <w:p>
            <w:pPr>
              <w:pStyle w:val="26"/>
              <w:spacing w:line="360" w:lineRule="auto"/>
              <w:jc w:val="center"/>
              <w:rPr>
                <w:rFonts w:hAnsi="宋体"/>
              </w:rPr>
            </w:pPr>
            <w:r>
              <w:rPr>
                <w:rFonts w:hint="eastAsia" w:hAnsi="宋体"/>
              </w:rPr>
              <w:t>踏勘现场</w:t>
            </w:r>
          </w:p>
        </w:tc>
        <w:tc>
          <w:tcPr>
            <w:tcW w:w="6520" w:type="dxa"/>
          </w:tcPr>
          <w:p>
            <w:pPr>
              <w:pStyle w:val="26"/>
              <w:spacing w:line="360" w:lineRule="auto"/>
              <w:rPr>
                <w:rFonts w:hAnsi="宋体"/>
              </w:rPr>
            </w:pPr>
            <w:r>
              <w:rPr>
                <w:rFonts w:hint="eastAsia" w:hAnsi="宋体"/>
              </w:rPr>
              <w:t>不统一组织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28" w:type="dxa"/>
            <w:vAlign w:val="center"/>
          </w:tcPr>
          <w:p>
            <w:pPr>
              <w:pStyle w:val="26"/>
              <w:spacing w:line="360" w:lineRule="auto"/>
              <w:jc w:val="center"/>
              <w:rPr>
                <w:rFonts w:hAnsi="宋体"/>
              </w:rPr>
            </w:pPr>
            <w:r>
              <w:rPr>
                <w:rFonts w:hint="eastAsia" w:hAnsi="宋体"/>
              </w:rPr>
              <w:t>8</w:t>
            </w:r>
          </w:p>
        </w:tc>
        <w:tc>
          <w:tcPr>
            <w:tcW w:w="1038" w:type="dxa"/>
            <w:vAlign w:val="center"/>
          </w:tcPr>
          <w:p>
            <w:pPr>
              <w:pStyle w:val="26"/>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6"/>
              <w:spacing w:line="360" w:lineRule="auto"/>
              <w:jc w:val="center"/>
              <w:rPr>
                <w:rFonts w:hAnsi="宋体"/>
              </w:rPr>
            </w:pPr>
            <w:r>
              <w:rPr>
                <w:rFonts w:hint="eastAsia" w:hAnsi="宋体"/>
              </w:rPr>
              <w:t>投标有效期</w:t>
            </w:r>
          </w:p>
        </w:tc>
        <w:tc>
          <w:tcPr>
            <w:tcW w:w="6520" w:type="dxa"/>
          </w:tcPr>
          <w:p>
            <w:pPr>
              <w:pStyle w:val="26"/>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28" w:type="dxa"/>
            <w:vAlign w:val="center"/>
          </w:tcPr>
          <w:p>
            <w:pPr>
              <w:pStyle w:val="26"/>
              <w:spacing w:line="360" w:lineRule="auto"/>
              <w:jc w:val="center"/>
              <w:rPr>
                <w:rFonts w:hAnsi="宋体"/>
              </w:rPr>
            </w:pPr>
            <w:r>
              <w:rPr>
                <w:rFonts w:hint="eastAsia" w:hAnsi="宋体"/>
              </w:rPr>
              <w:t>9</w:t>
            </w:r>
          </w:p>
        </w:tc>
        <w:tc>
          <w:tcPr>
            <w:tcW w:w="1038" w:type="dxa"/>
            <w:vAlign w:val="center"/>
          </w:tcPr>
          <w:p>
            <w:pPr>
              <w:pStyle w:val="26"/>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不要求向采购代理机构提交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6"/>
              <w:spacing w:line="360" w:lineRule="auto"/>
              <w:jc w:val="center"/>
              <w:rPr>
                <w:rFonts w:hAnsi="宋体"/>
              </w:rPr>
            </w:pPr>
            <w:r>
              <w:rPr>
                <w:rFonts w:hint="eastAsia" w:hAnsi="宋体"/>
              </w:rPr>
              <w:t>10</w:t>
            </w:r>
          </w:p>
        </w:tc>
        <w:tc>
          <w:tcPr>
            <w:tcW w:w="1038" w:type="dxa"/>
            <w:vAlign w:val="center"/>
          </w:tcPr>
          <w:p>
            <w:pPr>
              <w:pStyle w:val="26"/>
              <w:spacing w:line="360" w:lineRule="auto"/>
              <w:jc w:val="center"/>
              <w:rPr>
                <w:rFonts w:hAnsi="宋体"/>
              </w:rPr>
            </w:pPr>
            <w:r>
              <w:rPr>
                <w:rFonts w:hint="eastAsia" w:hAnsi="宋体"/>
              </w:rPr>
              <w:t>16.1</w:t>
            </w:r>
          </w:p>
        </w:tc>
        <w:tc>
          <w:tcPr>
            <w:tcW w:w="1843" w:type="dxa"/>
            <w:vAlign w:val="center"/>
          </w:tcPr>
          <w:p>
            <w:pPr>
              <w:pStyle w:val="26"/>
              <w:spacing w:line="360" w:lineRule="auto"/>
              <w:jc w:val="center"/>
              <w:rPr>
                <w:rFonts w:hAnsi="宋体"/>
              </w:rPr>
            </w:pPr>
            <w:r>
              <w:rPr>
                <w:rFonts w:hint="eastAsia" w:hAnsi="宋体"/>
              </w:rPr>
              <w:t>投标预备会</w:t>
            </w:r>
          </w:p>
          <w:p>
            <w:pPr>
              <w:pStyle w:val="26"/>
              <w:spacing w:line="360" w:lineRule="auto"/>
              <w:jc w:val="center"/>
              <w:rPr>
                <w:rFonts w:hAnsi="宋体"/>
              </w:rPr>
            </w:pPr>
            <w:r>
              <w:rPr>
                <w:rFonts w:hint="eastAsia" w:hAnsi="宋体"/>
              </w:rPr>
              <w:t>（答疑会）</w:t>
            </w:r>
          </w:p>
        </w:tc>
        <w:tc>
          <w:tcPr>
            <w:tcW w:w="6520" w:type="dxa"/>
            <w:vAlign w:val="center"/>
          </w:tcPr>
          <w:p>
            <w:pPr>
              <w:pStyle w:val="26"/>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11</w:t>
            </w:r>
          </w:p>
        </w:tc>
        <w:tc>
          <w:tcPr>
            <w:tcW w:w="1038" w:type="dxa"/>
            <w:vAlign w:val="center"/>
          </w:tcPr>
          <w:p>
            <w:pPr>
              <w:pStyle w:val="26"/>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6"/>
              <w:spacing w:line="360" w:lineRule="auto"/>
              <w:jc w:val="center"/>
              <w:rPr>
                <w:rFonts w:hAnsi="宋体"/>
              </w:rPr>
            </w:pPr>
            <w:r>
              <w:rPr>
                <w:rFonts w:hint="eastAsia" w:hAnsi="宋体"/>
              </w:rPr>
              <w:t>投标文件份数</w:t>
            </w:r>
          </w:p>
        </w:tc>
        <w:tc>
          <w:tcPr>
            <w:tcW w:w="6520" w:type="dxa"/>
          </w:tcPr>
          <w:p>
            <w:pPr>
              <w:pStyle w:val="26"/>
              <w:spacing w:line="360" w:lineRule="auto"/>
              <w:rPr>
                <w:rFonts w:hAnsi="宋体"/>
              </w:rPr>
            </w:pPr>
            <w:r>
              <w:rPr>
                <w:rFonts w:asciiTheme="minorEastAsia" w:hAnsiTheme="minorEastAsia" w:eastAsiaTheme="minorEastAsia"/>
              </w:rPr>
              <w:t>正本1份，副本</w:t>
            </w:r>
            <w:r>
              <w:rPr>
                <w:rFonts w:hint="eastAsia" w:asciiTheme="minorEastAsia" w:hAnsiTheme="minorEastAsia" w:eastAsiaTheme="minorEastAsia"/>
              </w:rPr>
              <w:t>5</w:t>
            </w:r>
            <w:r>
              <w:rPr>
                <w:rFonts w:asciiTheme="minorEastAsia" w:hAnsiTheme="minorEastAsia" w:eastAsiaTheme="minorEastAsia"/>
              </w:rPr>
              <w:t>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12</w:t>
            </w:r>
          </w:p>
        </w:tc>
        <w:tc>
          <w:tcPr>
            <w:tcW w:w="1038" w:type="dxa"/>
            <w:vAlign w:val="center"/>
          </w:tcPr>
          <w:p>
            <w:pPr>
              <w:pStyle w:val="26"/>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6"/>
              <w:spacing w:line="360" w:lineRule="auto"/>
              <w:jc w:val="center"/>
              <w:rPr>
                <w:rFonts w:hAnsi="宋体"/>
              </w:rPr>
            </w:pPr>
            <w:r>
              <w:rPr>
                <w:rFonts w:hint="eastAsia" w:hAnsi="宋体"/>
              </w:rPr>
              <w:t>开标</w:t>
            </w:r>
          </w:p>
        </w:tc>
        <w:tc>
          <w:tcPr>
            <w:tcW w:w="6520" w:type="dxa"/>
          </w:tcPr>
          <w:p>
            <w:pPr>
              <w:pStyle w:val="26"/>
              <w:spacing w:line="360" w:lineRule="auto"/>
              <w:rPr>
                <w:rFonts w:hAnsi="宋体"/>
                <w:b/>
              </w:rPr>
            </w:pPr>
            <w:r>
              <w:rPr>
                <w:rFonts w:hAnsi="宋体"/>
                <w:b/>
              </w:rPr>
              <w:t>时间：</w:t>
            </w:r>
            <w:r>
              <w:rPr>
                <w:rFonts w:hint="eastAsia" w:hAnsi="宋体"/>
                <w:b/>
                <w:snapToGrid w:val="0"/>
                <w:szCs w:val="18"/>
              </w:rPr>
              <w:t>2022年</w:t>
            </w:r>
            <w:r>
              <w:rPr>
                <w:rFonts w:hint="eastAsia" w:hAnsi="宋体"/>
                <w:b/>
                <w:snapToGrid w:val="0"/>
                <w:szCs w:val="18"/>
                <w:lang w:val="en-US" w:eastAsia="zh-CN"/>
              </w:rPr>
              <w:t>8</w:t>
            </w:r>
            <w:r>
              <w:rPr>
                <w:rFonts w:hint="eastAsia" w:hAnsi="宋体"/>
                <w:b/>
                <w:snapToGrid w:val="0"/>
                <w:szCs w:val="18"/>
              </w:rPr>
              <w:t>月</w:t>
            </w:r>
            <w:r>
              <w:rPr>
                <w:rFonts w:hint="eastAsia" w:hAnsi="宋体"/>
                <w:b/>
                <w:snapToGrid w:val="0"/>
                <w:szCs w:val="18"/>
                <w:lang w:val="en-US" w:eastAsia="zh-CN"/>
              </w:rPr>
              <w:t>11</w:t>
            </w:r>
            <w:r>
              <w:rPr>
                <w:rFonts w:hint="eastAsia" w:hAnsi="宋体"/>
                <w:b/>
                <w:snapToGrid w:val="0"/>
                <w:szCs w:val="18"/>
              </w:rPr>
              <w:t>日</w:t>
            </w:r>
            <w:r>
              <w:rPr>
                <w:rFonts w:hint="eastAsia" w:hAnsi="宋体"/>
                <w:b/>
                <w:snapToGrid w:val="0"/>
                <w:szCs w:val="18"/>
                <w:lang w:val="en-US" w:eastAsia="zh-CN"/>
              </w:rPr>
              <w:t>09</w:t>
            </w:r>
            <w:r>
              <w:rPr>
                <w:rFonts w:hint="eastAsia" w:hAnsi="宋体"/>
                <w:b/>
                <w:snapToGrid w:val="0"/>
                <w:szCs w:val="18"/>
              </w:rPr>
              <w:t>点30分</w:t>
            </w:r>
            <w:r>
              <w:rPr>
                <w:rFonts w:hAnsi="宋体"/>
                <w:b/>
              </w:rPr>
              <w:t>（北京时间）</w:t>
            </w:r>
          </w:p>
          <w:p>
            <w:pPr>
              <w:pStyle w:val="26"/>
              <w:spacing w:line="360" w:lineRule="auto"/>
              <w:rPr>
                <w:rFonts w:hAnsi="宋体"/>
              </w:rPr>
            </w:pPr>
            <w:r>
              <w:rPr>
                <w:rFonts w:hAnsi="宋体"/>
              </w:rPr>
              <w:t>地点：</w:t>
            </w:r>
            <w:r>
              <w:rPr>
                <w:rFonts w:hint="eastAsia" w:hAnsi="宋体"/>
                <w:snapToGrid w:val="0"/>
              </w:rPr>
              <w:t>深圳市福田区民田路171号新华保险大厦903中正招标会议室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13</w:t>
            </w:r>
          </w:p>
        </w:tc>
        <w:tc>
          <w:tcPr>
            <w:tcW w:w="1038" w:type="dxa"/>
            <w:vAlign w:val="center"/>
          </w:tcPr>
          <w:p>
            <w:pPr>
              <w:pStyle w:val="26"/>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投标截止时间</w:t>
            </w:r>
          </w:p>
        </w:tc>
        <w:tc>
          <w:tcPr>
            <w:tcW w:w="6520" w:type="dxa"/>
          </w:tcPr>
          <w:p>
            <w:pPr>
              <w:pStyle w:val="26"/>
              <w:spacing w:line="360" w:lineRule="auto"/>
              <w:rPr>
                <w:rFonts w:hAnsi="宋体"/>
                <w:b/>
              </w:rPr>
            </w:pPr>
            <w:r>
              <w:rPr>
                <w:rFonts w:hint="eastAsia" w:hAnsi="宋体"/>
                <w:b/>
                <w:snapToGrid w:val="0"/>
                <w:szCs w:val="18"/>
              </w:rPr>
              <w:t>2022年</w:t>
            </w:r>
            <w:r>
              <w:rPr>
                <w:rFonts w:hint="eastAsia" w:hAnsi="宋体"/>
                <w:b/>
                <w:snapToGrid w:val="0"/>
                <w:szCs w:val="18"/>
                <w:lang w:val="en-US" w:eastAsia="zh-CN"/>
              </w:rPr>
              <w:t>8</w:t>
            </w:r>
            <w:r>
              <w:rPr>
                <w:rFonts w:hint="eastAsia" w:hAnsi="宋体"/>
                <w:b/>
                <w:snapToGrid w:val="0"/>
                <w:szCs w:val="18"/>
              </w:rPr>
              <w:t>月</w:t>
            </w:r>
            <w:r>
              <w:rPr>
                <w:rFonts w:hint="eastAsia" w:hAnsi="宋体"/>
                <w:b/>
                <w:snapToGrid w:val="0"/>
                <w:szCs w:val="18"/>
                <w:lang w:val="en-US" w:eastAsia="zh-CN"/>
              </w:rPr>
              <w:t>11</w:t>
            </w:r>
            <w:bookmarkStart w:id="92" w:name="_GoBack"/>
            <w:bookmarkEnd w:id="92"/>
            <w:r>
              <w:rPr>
                <w:rFonts w:hint="eastAsia" w:hAnsi="宋体"/>
                <w:b/>
                <w:snapToGrid w:val="0"/>
                <w:szCs w:val="18"/>
              </w:rPr>
              <w:t>日</w:t>
            </w:r>
            <w:r>
              <w:rPr>
                <w:rFonts w:hint="eastAsia" w:hAnsi="宋体"/>
                <w:b/>
                <w:snapToGrid w:val="0"/>
                <w:szCs w:val="18"/>
                <w:lang w:val="en-US" w:eastAsia="zh-CN"/>
              </w:rPr>
              <w:t>09</w:t>
            </w:r>
            <w:r>
              <w:rPr>
                <w:rFonts w:hint="eastAsia" w:hAnsi="宋体"/>
                <w:b/>
                <w:snapToGrid w:val="0"/>
                <w:szCs w:val="18"/>
              </w:rPr>
              <w:t>点30分</w:t>
            </w:r>
            <w:r>
              <w:rPr>
                <w:rFonts w:hint="eastAsia" w:hAnsi="宋体"/>
                <w:b/>
              </w:rPr>
              <w:t>（北京时间）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14</w:t>
            </w:r>
          </w:p>
        </w:tc>
        <w:tc>
          <w:tcPr>
            <w:tcW w:w="1038" w:type="dxa"/>
            <w:vAlign w:val="center"/>
          </w:tcPr>
          <w:p>
            <w:pPr>
              <w:pStyle w:val="26"/>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6"/>
              <w:spacing w:line="360" w:lineRule="auto"/>
              <w:jc w:val="center"/>
              <w:rPr>
                <w:rFonts w:hAnsi="宋体"/>
              </w:rPr>
            </w:pPr>
            <w:r>
              <w:rPr>
                <w:rFonts w:hint="eastAsia" w:hAnsi="宋体"/>
              </w:rPr>
              <w:t>评标办法</w:t>
            </w:r>
          </w:p>
        </w:tc>
        <w:tc>
          <w:tcPr>
            <w:tcW w:w="6520" w:type="dxa"/>
          </w:tcPr>
          <w:p>
            <w:pPr>
              <w:pStyle w:val="26"/>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15</w:t>
            </w:r>
          </w:p>
        </w:tc>
        <w:tc>
          <w:tcPr>
            <w:tcW w:w="1038" w:type="dxa"/>
            <w:vAlign w:val="center"/>
          </w:tcPr>
          <w:p>
            <w:pPr>
              <w:pStyle w:val="26"/>
              <w:spacing w:line="360" w:lineRule="auto"/>
              <w:jc w:val="center"/>
              <w:rPr>
                <w:rFonts w:hAnsi="宋体"/>
              </w:rPr>
            </w:pPr>
            <w:r>
              <w:rPr>
                <w:rFonts w:hint="eastAsia" w:hAnsi="宋体"/>
              </w:rPr>
              <w:t>33</w:t>
            </w:r>
            <w:r>
              <w:rPr>
                <w:rFonts w:hAnsi="宋体"/>
              </w:rPr>
              <w:t>.1</w:t>
            </w:r>
          </w:p>
        </w:tc>
        <w:tc>
          <w:tcPr>
            <w:tcW w:w="1843" w:type="dxa"/>
            <w:vAlign w:val="center"/>
          </w:tcPr>
          <w:p>
            <w:pPr>
              <w:pStyle w:val="26"/>
              <w:spacing w:line="360" w:lineRule="auto"/>
              <w:jc w:val="center"/>
              <w:rPr>
                <w:snapToGrid w:val="0"/>
                <w:kern w:val="0"/>
              </w:rPr>
            </w:pPr>
            <w:r>
              <w:rPr>
                <w:rFonts w:hint="eastAsia"/>
                <w:snapToGrid w:val="0"/>
                <w:kern w:val="0"/>
              </w:rPr>
              <w:t>履约保证金</w:t>
            </w:r>
          </w:p>
        </w:tc>
        <w:tc>
          <w:tcPr>
            <w:tcW w:w="6520" w:type="dxa"/>
          </w:tcPr>
          <w:p>
            <w:pPr>
              <w:pStyle w:val="26"/>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16</w:t>
            </w:r>
          </w:p>
        </w:tc>
        <w:tc>
          <w:tcPr>
            <w:tcW w:w="1038" w:type="dxa"/>
            <w:vAlign w:val="center"/>
          </w:tcPr>
          <w:p>
            <w:pPr>
              <w:pStyle w:val="26"/>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6"/>
              <w:spacing w:line="360" w:lineRule="auto"/>
              <w:jc w:val="center"/>
              <w:rPr>
                <w:rFonts w:hAnsi="宋体"/>
              </w:rPr>
            </w:pPr>
            <w:r>
              <w:rPr>
                <w:rFonts w:hint="eastAsia" w:hAnsi="宋体"/>
              </w:rPr>
              <w:t>中标服务费</w:t>
            </w:r>
          </w:p>
        </w:tc>
        <w:tc>
          <w:tcPr>
            <w:tcW w:w="6520" w:type="dxa"/>
          </w:tcPr>
          <w:p>
            <w:pPr>
              <w:pStyle w:val="26"/>
              <w:spacing w:line="360" w:lineRule="auto"/>
              <w:rPr>
                <w:rFonts w:hAnsi="宋体"/>
              </w:rPr>
            </w:pPr>
            <w:r>
              <w:rPr>
                <w:rFonts w:hint="eastAsia" w:asciiTheme="minorEastAsia" w:hAnsiTheme="minorEastAsia" w:eastAsiaTheme="minorEastAsia"/>
                <w:szCs w:val="21"/>
              </w:rPr>
              <w:t>按深财购[2018]27号文件的代理费用参考标准（</w:t>
            </w:r>
            <w:r>
              <w:rPr>
                <w:rFonts w:hint="eastAsia" w:asciiTheme="minorEastAsia" w:hAnsiTheme="minorEastAsia" w:eastAsiaTheme="minorEastAsia"/>
              </w:rPr>
              <w:t>详见《投标人须知》</w:t>
            </w:r>
            <w:r>
              <w:rPr>
                <w:rFonts w:hint="eastAsia" w:asciiTheme="minorEastAsia" w:hAnsiTheme="minorEastAsia" w:eastAsiaTheme="minorEastAsia"/>
                <w:szCs w:val="21"/>
              </w:rPr>
              <w:t>），向中标供应商收取</w:t>
            </w:r>
            <w:r>
              <w:rPr>
                <w:rFonts w:hint="eastAsia" w:asciiTheme="minorEastAsia" w:hAnsiTheme="minorEastAsia" w:eastAsiaTheme="minorEastAsia"/>
              </w:rPr>
              <w:t>，最低收取人民币6000元。</w:t>
            </w:r>
          </w:p>
        </w:tc>
      </w:tr>
    </w:tbl>
    <w:p>
      <w:pPr>
        <w:widowControl/>
        <w:jc w:val="left"/>
      </w:pPr>
      <w:r>
        <w:br w:type="page"/>
      </w:r>
    </w:p>
    <w:p/>
    <w:p>
      <w:pPr>
        <w:pStyle w:val="2"/>
      </w:pPr>
      <w:bookmarkStart w:id="18" w:name="_Toc107846028"/>
      <w:r>
        <w:rPr>
          <w:rFonts w:hint="eastAsia"/>
        </w:rPr>
        <w:t>第六章  投标人须知</w:t>
      </w:r>
      <w:bookmarkEnd w:id="18"/>
    </w:p>
    <w:p>
      <w:pPr>
        <w:pStyle w:val="4"/>
        <w:spacing w:before="0" w:after="0"/>
      </w:pPr>
      <w:bookmarkStart w:id="19" w:name="_Toc107846029"/>
      <w:r>
        <w:rPr>
          <w:rFonts w:hint="eastAsia"/>
        </w:rPr>
        <w:t>一、说明</w:t>
      </w:r>
      <w:bookmarkEnd w:id="19"/>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及有关招投标法规、规章、规定通过招标来择优选定投标人。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”是指前附表第2项所述。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”是提前附表第3项所述。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  “投标人”是指向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  “货物”是指各种形态和种类的物品，包括原材料、燃料、设备、产品等。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“工程”是指建设工程，包括建筑物和构筑物的新建、改建、扩建、装修、拆除、修缮等。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  “服务”是指除货物和工程以外的其他政府采购对象，包括政府自身需要的服务和政府向社会公众提供的公共服务。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（2）投标联合体各方必须有一方先行注册成深圳市政府采购中心供应商。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将按前附表第7项的规定，组织投标人对现场及周围环境进行踏勘，以便投标人获取须自己负责的有关编制投标文件和签署合同所需的所有资料。踏勘现场所发生的费用由投标人自己承担。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0" w:name="q5"/>
      <w:bookmarkEnd w:id="20"/>
    </w:p>
    <w:p>
      <w:pPr>
        <w:pStyle w:val="4"/>
        <w:spacing w:before="0" w:after="0"/>
      </w:pPr>
      <w:bookmarkStart w:id="21" w:name="_Toc107846030"/>
      <w:r>
        <w:rPr>
          <w:rFonts w:hint="eastAsia"/>
        </w:rPr>
        <w:t>二、招标文件说明</w:t>
      </w:r>
      <w:bookmarkEnd w:id="2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招标文件是用以阐明所需设备及服务的情况，以及招标、投标程序和相应的合同条款。招标文件由下述部份组成：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采购代理机构。采购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在投标截止日3日前，采购代理机构可主动或依据投标人要求澄清的问题修改招标文件，并以书面形式通知所有购买招标文件的每一投标人，对方在收到该通知后应立即以书面的形式予以确认。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4"/>
        <w:spacing w:before="0" w:after="0"/>
      </w:pPr>
      <w:bookmarkStart w:id="22" w:name="q6"/>
      <w:bookmarkEnd w:id="22"/>
      <w:bookmarkStart w:id="23" w:name="_Toc107846031"/>
      <w:r>
        <w:rPr>
          <w:rFonts w:hint="eastAsia"/>
        </w:rPr>
        <w:t>三、投标文件的编写</w:t>
      </w:r>
      <w:bookmarkEnd w:id="23"/>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snapToGrid w:val="0"/>
          <w:kern w:val="0"/>
          <w:szCs w:val="21"/>
        </w:rPr>
        <w:t>法定代表人证明书及授权委托书</w:t>
      </w:r>
      <w:r>
        <w:rPr>
          <w:rFonts w:hint="eastAsia" w:asciiTheme="minorEastAsia" w:hAnsiTheme="minorEastAsia" w:eastAsiaTheme="minorEastAsia"/>
          <w:snapToGrid w:val="0"/>
          <w:kern w:val="0"/>
        </w:rPr>
        <w:t>（投标文件格式2）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（5）投标函（投标文件格式3） </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（8）技术规格（投标文件格式7）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（9）交付进度（投标文件格式8）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（10）售后服务和质量承诺（投标文件格式9）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 xml:space="preserve"> （投标文件格式10）</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（12）偏离表（投标文件格式11）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（13）招标文件要求的其他资料或投标人认为需要补充的资料（投标文件格式12）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（14）装有“法定代表人证明书、法定代表人授权书”和“开标一览表”单独密封的信封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（15）装有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（16）产品样品或产品样板（如有）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投标报价应为到指定地点价，以人民币为结算单位。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 投标人应分别在招标文件所附的“开标一览表”（投标文件格式5）和“报价表”（投标文件格式6）上写明投标货物的单价和投标总价。投标人对每种项目只允许有一个报价，采购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投标人必须提交证明其有资格进行投标，和中标后有能力履行合同的证明文件（投标文件格式1与格式10），作为投标文件的一部分。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投标保证金（本项目不适用）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投标保证金为投标文件的组成部份之一。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提交一笔不少于前附表第9项所规定的投标保证金。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ind w:left="630" w:hanging="630" w:hangingChars="300"/>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未中标的投标人的投标保证金，采购代理机构将在中标通知书发出且收到投标人的《投标保证金退还申请表》后5个工作日内退还。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中标人的投标保证金，采购代理机构将在中标人签订合同并支付中标服务费后5个工作日内退还。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已递交了投标保证金的投标人放弃投标，而没有在投标保证金递交截止时间前书面通知采购代理机构的；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如果中标人未能做到：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另行书面通知的时间（招标文件提供期限截止后）和地点，派出代表出席</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投标文件数量按前附表第11项所述，须在每一份投标文件上明确注明“正本”或“副本”字样。一旦正本和副本有差异，以正本为准。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17.6  投标文件不符合上述规定，为无效投标。</w:t>
      </w:r>
    </w:p>
    <w:p>
      <w:pPr>
        <w:adjustRightInd w:val="0"/>
        <w:spacing w:line="360" w:lineRule="auto"/>
        <w:rPr>
          <w:rFonts w:asciiTheme="minorEastAsia" w:hAnsiTheme="minorEastAsia" w:eastAsiaTheme="minorEastAsia"/>
          <w:snapToGrid w:val="0"/>
          <w:kern w:val="0"/>
        </w:rPr>
      </w:pPr>
    </w:p>
    <w:p>
      <w:pPr>
        <w:pStyle w:val="4"/>
        <w:spacing w:before="0" w:after="0"/>
      </w:pPr>
      <w:bookmarkStart w:id="24" w:name="q7"/>
      <w:bookmarkEnd w:id="24"/>
      <w:bookmarkStart w:id="25" w:name="_Toc107846032"/>
      <w:r>
        <w:rPr>
          <w:rFonts w:hint="eastAsia"/>
        </w:rPr>
        <w:t>四、投标文件的递交</w:t>
      </w:r>
      <w:bookmarkEnd w:id="25"/>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w:t>
      </w:r>
      <w:r>
        <w:rPr>
          <w:rFonts w:hint="eastAsia" w:asciiTheme="minorEastAsia" w:hAnsiTheme="minorEastAsia" w:eastAsiaTheme="minorEastAsia"/>
          <w:snapToGrid w:val="0"/>
          <w:kern w:val="0"/>
        </w:rPr>
        <w:t>信封，在信封上注明“备份光盘（或U盘）”。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将投标文件“正本”、“副本”和密封好的“备份光盘（或U盘）”一起封装在同一个外层包封中，同时还应在封套上载明以下信息：</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w:t>
      </w:r>
      <w:r>
        <w:rPr>
          <w:rFonts w:hint="eastAsia"/>
          <w:snapToGrid w:val="0"/>
          <w:kern w:val="0"/>
        </w:rPr>
        <w:t>备份光</w:t>
      </w:r>
      <w:r>
        <w:rPr>
          <w:rFonts w:hint="eastAsia" w:asciiTheme="minorEastAsia" w:hAnsiTheme="minorEastAsia" w:eastAsiaTheme="minorEastAsia"/>
          <w:snapToGrid w:val="0"/>
          <w:kern w:val="0"/>
        </w:rPr>
        <w:t>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e.  年月日时分（开标时间）前不得开封。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18.4投标人应将“法定代表人证明书、法定代表人授权委托证明书”和“开标一览表”单独密封于一信封，在递交投标文件时单独交与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注明：“开标一览表”和“法定代表人证明书、法定代表人授权委托证明书”；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e.  年月日时分（开标时间）前不得开封。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采购代理机构将拒收或者告知投标人，采购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投标人应按18.1～18.7中的规定进行密封和标记后，将投标文件按照前附表第12项中注明的地址送至采购代理机构。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w:t>
      </w:r>
      <w:bookmarkStart w:id="26" w:name="_Hlt35050056"/>
      <w:bookmarkEnd w:id="26"/>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4"/>
        <w:spacing w:before="0" w:after="0"/>
      </w:pPr>
      <w:bookmarkStart w:id="27" w:name="q8"/>
      <w:bookmarkEnd w:id="27"/>
      <w:bookmarkStart w:id="28" w:name="_Toc107846033"/>
      <w:r>
        <w:rPr>
          <w:rFonts w:hint="eastAsia"/>
        </w:rPr>
        <w:t>五、开标和评标</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招标机构就投标文件中的资格证明等内容对投标供应商进行资格审查，审查不合格的，认定其投标无效。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zCs w:val="21"/>
        </w:rPr>
        <w:t xml:space="preserve">    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在对投标文件进行详细评估之前，评标委员会将依据投标人提供的“资格证明文件”审查投标人的财务、技术和生产能力。如果确定投标人无资格履行合同，其投标将被拒绝。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24.8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24.9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r>
        <w:rPr>
          <w:rFonts w:hint="eastAsia" w:asciiTheme="minorEastAsia" w:hAnsiTheme="minorEastAsia" w:eastAsiaTheme="minorEastAsia"/>
          <w:szCs w:val="21"/>
        </w:rPr>
        <w:t>。</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评标方法和标准”所述进行详细评审，并推荐中标候选人。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29" w:name="q9"/>
      <w:bookmarkEnd w:id="29"/>
    </w:p>
    <w:p>
      <w:pPr>
        <w:pStyle w:val="4"/>
        <w:spacing w:before="0" w:after="0"/>
      </w:pPr>
      <w:bookmarkStart w:id="30" w:name="_Toc107846034"/>
      <w:r>
        <w:rPr>
          <w:rFonts w:hint="eastAsia"/>
        </w:rPr>
        <w:t>六、授予合同</w:t>
      </w:r>
      <w:bookmarkEnd w:id="30"/>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中标人向采购代理机构支付中标服务费后，领取《中标通知书》。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中标人应按《中标通知书》或按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招标文件、中标人的投标文件及其澄清文件等，均为签订合同的依据。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中标人须按招标文件的规定或根据合同条款的规定向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31"/>
        <w:gridCol w:w="1897"/>
        <w:gridCol w:w="1898"/>
        <w:gridCol w:w="18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5" w:hRule="atLeast"/>
          <w:jc w:val="center"/>
        </w:trPr>
        <w:tc>
          <w:tcPr>
            <w:tcW w:w="2131" w:type="dxa"/>
          </w:tcPr>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pict>
                <v:shape id="__TH_B3733" o:spid="_x0000_s3091" o:spt="202" type="#_x0000_t202" style="position:absolute;left:0pt;margin-left:56.4pt;margin-top:43.5pt;height:9.4pt;width:4.3pt;z-index:25167462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元</w:t>
                        </w:r>
                      </w:p>
                    </w:txbxContent>
                  </v:textbox>
                </v:shape>
              </w:pict>
            </w:r>
            <w:r>
              <w:rPr>
                <w:rFonts w:asciiTheme="minorEastAsia" w:hAnsiTheme="minorEastAsia" w:eastAsiaTheme="minorEastAsia"/>
              </w:rPr>
              <w:pict>
                <v:shape id="__TH_B3632" o:spid="_x0000_s3090" o:spt="202" type="#_x0000_t202" style="position:absolute;left:0pt;margin-left:44.55pt;margin-top:42.35pt;height:9.4pt;width:9.85pt;z-index:25167360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万</w:t>
                        </w:r>
                      </w:p>
                    </w:txbxContent>
                  </v:textbox>
                </v:shape>
              </w:pict>
            </w:r>
            <w:r>
              <w:rPr>
                <w:rFonts w:asciiTheme="minorEastAsia" w:hAnsiTheme="minorEastAsia" w:eastAsiaTheme="minorEastAsia"/>
              </w:rPr>
              <w:pict>
                <v:shape id="__TH_B3531" o:spid="_x0000_s3089" o:spt="202" type="#_x0000_t202" style="position:absolute;left:0pt;margin-left:38.45pt;margin-top:41.2pt;height:9.4pt;width:3.9pt;z-index:251672576;mso-width-relative:page;mso-height-relative:page;" filled="f" stroked="f" coordsize="21600,21600">
                  <v:path/>
                  <v:fill on="f" focussize="0,0"/>
                  <v:stroke on="f" joinstyle="miter"/>
                  <v:imagedata o:title=""/>
                  <o:lock v:ext="edit"/>
                  <v:textbox inset="0mm,0mm,0mm,0mm">
                    <w:txbxContent>
                      <w:p>
                        <w:pPr>
                          <w:snapToGrid w:val="0"/>
                          <w:rPr>
                            <w:sz w:val="15"/>
                          </w:rPr>
                        </w:pPr>
                        <w:r>
                          <w:rPr>
                            <w:sz w:val="15"/>
                          </w:rPr>
                          <w:t>(</w:t>
                        </w:r>
                      </w:p>
                    </w:txbxContent>
                  </v:textbox>
                </v:shape>
              </w:pict>
            </w:r>
            <w:r>
              <w:rPr>
                <w:rFonts w:asciiTheme="minorEastAsia" w:hAnsiTheme="minorEastAsia" w:eastAsiaTheme="minorEastAsia"/>
              </w:rPr>
              <w:pict>
                <v:shape id="__TH_B3430" o:spid="_x0000_s3088" o:spt="202" type="#_x0000_t202" style="position:absolute;left:0pt;margin-left:26.35pt;margin-top:40.05pt;height:9.4pt;width:9.9pt;z-index:251671552;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额</w:t>
                        </w:r>
                      </w:p>
                    </w:txbxContent>
                  </v:textbox>
                </v:shape>
              </w:pict>
            </w:r>
            <w:r>
              <w:rPr>
                <w:rFonts w:asciiTheme="minorEastAsia" w:hAnsiTheme="minorEastAsia" w:eastAsiaTheme="minorEastAsia"/>
              </w:rPr>
              <w:pict>
                <v:shape id="__TH_B3329" o:spid="_x0000_s3087" o:spt="202" type="#_x0000_t202" style="position:absolute;left:0pt;margin-left:17.3pt;margin-top:38.9pt;height:9.4pt;width:9.85pt;z-index:251670528;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金</w:t>
                        </w:r>
                      </w:p>
                    </w:txbxContent>
                  </v:textbox>
                </v:shape>
              </w:pict>
            </w:r>
            <w:r>
              <w:rPr>
                <w:rFonts w:asciiTheme="minorEastAsia" w:hAnsiTheme="minorEastAsia" w:eastAsiaTheme="minorEastAsia"/>
              </w:rPr>
              <w:pict>
                <v:shape id="__TH_B3228" o:spid="_x0000_s3086" o:spt="202" type="#_x0000_t202" style="position:absolute;left:0pt;margin-left:8.2pt;margin-top:37.75pt;height:9.4pt;width:9.9pt;z-index:25166950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标</w:t>
                        </w:r>
                      </w:p>
                    </w:txbxContent>
                  </v:textbox>
                </v:shape>
              </w:pict>
            </w:r>
            <w:r>
              <w:rPr>
                <w:rFonts w:asciiTheme="minorEastAsia" w:hAnsiTheme="minorEastAsia" w:eastAsiaTheme="minorEastAsia"/>
              </w:rPr>
              <w:pict>
                <v:shape id="__TH_B3127" o:spid="_x0000_s3085" o:spt="202" type="#_x0000_t202" style="position:absolute;left:0pt;margin-left:-0.85pt;margin-top:36.6pt;height:9.4pt;width:9.85pt;z-index:25166848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中</w:t>
                        </w:r>
                      </w:p>
                    </w:txbxContent>
                  </v:textbox>
                </v:shape>
              </w:pict>
            </w:r>
            <w:r>
              <w:rPr>
                <w:rFonts w:asciiTheme="minorEastAsia" w:hAnsiTheme="minorEastAsia" w:eastAsiaTheme="minorEastAsia"/>
              </w:rPr>
              <w:pict>
                <v:shape id="__TH_B2226" o:spid="_x0000_s3084" o:spt="202" type="#_x0000_t202" style="position:absolute;left:0pt;margin-left:63.4pt;margin-top:32.05pt;height:9.35pt;width:9.85pt;z-index:251667456;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率</w:t>
                        </w:r>
                      </w:p>
                    </w:txbxContent>
                  </v:textbox>
                </v:shape>
              </w:pict>
            </w:r>
            <w:r>
              <w:rPr>
                <w:rFonts w:asciiTheme="minorEastAsia" w:hAnsiTheme="minorEastAsia" w:eastAsiaTheme="minorEastAsia"/>
              </w:rPr>
              <w:pict>
                <v:shape id="__TH_B2125" o:spid="_x0000_s3083" o:spt="202" type="#_x0000_t202" style="position:absolute;left:0pt;margin-left:19.95pt;margin-top:10.05pt;height:9.4pt;width:9.9pt;z-index:251666432;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费</w:t>
                        </w:r>
                      </w:p>
                    </w:txbxContent>
                  </v:textbox>
                </v:shape>
              </w:pict>
            </w:r>
            <w:r>
              <w:rPr>
                <w:rFonts w:asciiTheme="minorEastAsia" w:hAnsiTheme="minorEastAsia" w:eastAsiaTheme="minorEastAsia"/>
              </w:rPr>
              <w:pict>
                <v:shape id="__TH_B1424" o:spid="_x0000_s3082" o:spt="202" type="#_x0000_t202" style="position:absolute;left:0pt;margin-left:88.65pt;margin-top:32.35pt;height:9.35pt;width:9.85pt;z-index:251665408;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型</w:t>
                        </w:r>
                      </w:p>
                    </w:txbxContent>
                  </v:textbox>
                </v:shape>
              </w:pict>
            </w:r>
            <w:r>
              <w:rPr>
                <w:rFonts w:asciiTheme="minorEastAsia" w:hAnsiTheme="minorEastAsia" w:eastAsiaTheme="minorEastAsia"/>
              </w:rPr>
              <w:pict>
                <v:shape id="__TH_B1323" o:spid="_x0000_s3081" o:spt="202" type="#_x0000_t202" style="position:absolute;left:0pt;margin-left:83.95pt;margin-top:22.8pt;height:9.4pt;width:9.85pt;z-index:25166438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类</w:t>
                        </w:r>
                      </w:p>
                    </w:txbxContent>
                  </v:textbox>
                </v:shape>
              </w:pict>
            </w:r>
            <w:r>
              <w:rPr>
                <w:rFonts w:asciiTheme="minorEastAsia" w:hAnsiTheme="minorEastAsia" w:eastAsiaTheme="minorEastAsia"/>
              </w:rPr>
              <w:pict>
                <v:shape id="__TH_B1222" o:spid="_x0000_s3080" o:spt="202" type="#_x0000_t202" style="position:absolute;left:0pt;margin-left:79.25pt;margin-top:13.3pt;height:9.4pt;width:9.85pt;z-index:25166336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务</w:t>
                        </w:r>
                      </w:p>
                    </w:txbxContent>
                  </v:textbox>
                </v:shape>
              </w:pict>
            </w:r>
            <w:r>
              <w:rPr>
                <w:rFonts w:asciiTheme="minorEastAsia" w:hAnsiTheme="minorEastAsia" w:eastAsiaTheme="minorEastAsia"/>
              </w:rPr>
              <w:pict>
                <v:shape id="__TH_B1121" o:spid="_x0000_s3079" o:spt="202" type="#_x0000_t202" style="position:absolute;left:0pt;margin-left:74.55pt;margin-top:3.8pt;height:9.4pt;width:9.85pt;z-index:251662336;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服</w:t>
                        </w:r>
                      </w:p>
                    </w:txbxContent>
                  </v:textbox>
                </v:shape>
              </w:pict>
            </w:r>
            <w:r>
              <w:rPr>
                <w:rFonts w:asciiTheme="minorEastAsia" w:hAnsiTheme="minorEastAsia" w:eastAsiaTheme="minorEastAsia"/>
              </w:rPr>
              <w:pict>
                <v:line id="__TH_L20" o:spid="_x0000_s3078" o:spt="20" style="position:absolute;left:0pt;margin-left:-5.15pt;margin-top:26.85pt;height:26.8pt;width:106pt;z-index:251661312;mso-width-relative:page;mso-height-relative:page;" coordsize="21600,21600">
                  <v:path arrowok="t"/>
                  <v:fill focussize="0,0"/>
                  <v:stroke weight="0.5pt"/>
                  <v:imagedata o:title=""/>
                  <o:lock v:ext="edit"/>
                </v:line>
              </w:pict>
            </w:r>
            <w:r>
              <w:rPr>
                <w:rFonts w:asciiTheme="minorEastAsia" w:hAnsiTheme="minorEastAsia" w:eastAsiaTheme="minorEastAsia"/>
              </w:rPr>
              <w:pict>
                <v:line id="__TH_L19" o:spid="_x0000_s3077" o:spt="20" style="position:absolute;left:0pt;margin-left:47.85pt;margin-top:0pt;height:53.65pt;width:53pt;z-index:251660288;mso-width-relative:page;mso-height-relative:page;" coordsize="21600,21600">
                  <v:path arrowok="t"/>
                  <v:fill focussize="0,0"/>
                  <v:stroke weight="0.5pt"/>
                  <v:imagedata o:title=""/>
                  <o:lock v:ext="edit"/>
                </v:line>
              </w:pict>
            </w:r>
          </w:p>
        </w:tc>
        <w:tc>
          <w:tcPr>
            <w:tcW w:w="1897" w:type="dxa"/>
            <w:tcBorders>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工程招标</w:t>
            </w:r>
          </w:p>
        </w:tc>
        <w:tc>
          <w:tcPr>
            <w:tcW w:w="1898" w:type="dxa"/>
            <w:tcBorders>
              <w:left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货物招标</w:t>
            </w:r>
          </w:p>
        </w:tc>
        <w:tc>
          <w:tcPr>
            <w:tcW w:w="1898" w:type="dxa"/>
            <w:tcBorders>
              <w:lef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服务招标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1.00%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100-500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0.70%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1.10%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500-1000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0.45%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1000-5000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0.35%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5000-10000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10000-100000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100000以上</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注：1、中标服务费按差额定率累进法计算。例如：某货物类项目中标金额为1000万元，计算中标服务费如下：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（500-100）万元×1.1%=4.4万元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（1000-500）×0.8%=4万元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合计收费=1.5+4.4+4＝9.9（万元）</w:t>
      </w:r>
    </w:p>
    <w:p>
      <w:pPr>
        <w:spacing w:line="360" w:lineRule="auto"/>
        <w:ind w:firstLine="1044" w:firstLineChars="200"/>
        <w:rPr>
          <w:b/>
          <w:sz w:val="52"/>
          <w:szCs w:val="52"/>
        </w:rPr>
      </w:pPr>
    </w:p>
    <w:p>
      <w:pPr>
        <w:pStyle w:val="4"/>
        <w:spacing w:before="0" w:after="0"/>
      </w:pPr>
      <w:bookmarkStart w:id="31" w:name="_Toc107846035"/>
      <w:r>
        <w:rPr>
          <w:rFonts w:hint="eastAsia"/>
        </w:rPr>
        <w:t>七、质疑处理</w:t>
      </w:r>
      <w:bookmarkEnd w:id="31"/>
    </w:p>
    <w:p>
      <w:pPr>
        <w:spacing w:line="360" w:lineRule="auto"/>
        <w:rPr>
          <w:rFonts w:asciiTheme="majorEastAsia" w:hAnsiTheme="majorEastAsia" w:eastAsiaTheme="majorEastAsia"/>
          <w:b/>
          <w:bCs/>
          <w:szCs w:val="21"/>
        </w:rPr>
      </w:pPr>
      <w:bookmarkStart w:id="32" w:name="_Hlk72439706"/>
      <w:r>
        <w:rPr>
          <w:rFonts w:hint="eastAsia" w:asciiTheme="majorEastAsia" w:hAnsiTheme="majorEastAsia" w:eastAsiaTheme="majorEastAsia"/>
          <w:b/>
          <w:bCs/>
          <w:szCs w:val="21"/>
        </w:rPr>
        <w:t>35.质疑提出与答复</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szCs w:val="21"/>
        </w:rPr>
        <w:t>35.1提出质疑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参与政府采购活动的供应商认为自己的权益在采购活动中受到损害的，应当自知道或者应当知道其权益受到损害之日起七个工作日内向采购人、采购代理机构以书面形式提出质疑。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35.2</w:t>
      </w:r>
      <w:r>
        <w:rPr>
          <w:rFonts w:asciiTheme="majorEastAsia" w:hAnsiTheme="majorEastAsia" w:eastAsiaTheme="majorEastAsia"/>
          <w:szCs w:val="21"/>
        </w:rPr>
        <w:t>法律依据</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《中华人民共和国政府采购法》、《中华人民共和国政府采购法实施条例》、</w:t>
      </w:r>
      <w:r>
        <w:rPr>
          <w:rFonts w:asciiTheme="majorEastAsia" w:hAnsiTheme="majorEastAsia" w:eastAsiaTheme="majorEastAsia"/>
          <w:szCs w:val="21"/>
        </w:rPr>
        <w:t>《</w:t>
      </w:r>
      <w:r>
        <w:rPr>
          <w:rFonts w:hint="eastAsia" w:asciiTheme="majorEastAsia" w:hAnsiTheme="majorEastAsia" w:eastAsiaTheme="majorEastAsia"/>
          <w:szCs w:val="21"/>
        </w:rPr>
        <w:t>深圳经济特区政府采购</w:t>
      </w:r>
      <w:r>
        <w:rPr>
          <w:rFonts w:asciiTheme="majorEastAsia" w:hAnsiTheme="majorEastAsia" w:eastAsiaTheme="majorEastAsia"/>
          <w:szCs w:val="21"/>
        </w:rPr>
        <w:t>条例</w:t>
      </w:r>
      <w:r>
        <w:rPr>
          <w:rFonts w:hint="eastAsia" w:asciiTheme="majorEastAsia" w:hAnsiTheme="majorEastAsia" w:eastAsiaTheme="majorEastAsia"/>
          <w:szCs w:val="21"/>
        </w:rPr>
        <w:t>》、《深圳经济特区政府采购条例实施细则》、《政府采购质疑和投诉办法》（财政部令第94号）和其他有关法律法规规定。</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35.3质疑条件</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35.3.1提出质疑的供应商应当是参与所质疑项目采购活动的供应商；</w:t>
      </w:r>
      <w:bookmarkStart w:id="33" w:name="_Hlk75374941"/>
      <w:r>
        <w:rPr>
          <w:rFonts w:hint="eastAsia" w:asciiTheme="majorEastAsia" w:hAnsiTheme="majorEastAsia" w:eastAsiaTheme="majorEastAsia"/>
          <w:szCs w:val="21"/>
        </w:rPr>
        <w:t>以联合体形式参与的，质疑应当由组成联合体的所有成员共同提出</w:t>
      </w:r>
      <w:bookmarkEnd w:id="33"/>
      <w:r>
        <w:rPr>
          <w:rFonts w:hint="eastAsia" w:asciiTheme="majorEastAsia" w:hAnsiTheme="majorEastAsia" w:eastAsiaTheme="majorEastAsia"/>
          <w:szCs w:val="21"/>
        </w:rPr>
        <w:t>；</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35.3.3应提交书面质疑函，质疑函应当包括以下内容：</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（1）供应商的名称（或者姓名）、地址、邮编、邮箱、联系人及联系电话；</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（2）质疑项目的名称、编号；</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（3）具体、明确的质疑对象、质疑事项和质疑请求；</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（4）因质疑事项而受损害的权益；</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（5）事实依据；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（6）必要的法律依据；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（7）提出质疑的日期。</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供应商为自然人的，应当由本人签字；供应商为法人或者其他组织的，应当由法定代表人（负责人），或者其授权代理人签字或者盖章，并加盖公章。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35.4提交</w:t>
      </w:r>
      <w:r>
        <w:rPr>
          <w:rFonts w:asciiTheme="majorEastAsia" w:hAnsiTheme="majorEastAsia" w:eastAsiaTheme="majorEastAsia"/>
          <w:szCs w:val="21"/>
        </w:rPr>
        <w:t>材料</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供应商可以委托代理人进行质疑。</w:t>
      </w:r>
      <w:r>
        <w:rPr>
          <w:rFonts w:asciiTheme="majorEastAsia" w:hAnsiTheme="majorEastAsia" w:eastAsiaTheme="majorEastAsia"/>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35.5提交方式</w:t>
      </w:r>
    </w:p>
    <w:p>
      <w:pPr>
        <w:spacing w:line="360" w:lineRule="auto"/>
        <w:ind w:firstLine="420"/>
        <w:rPr>
          <w:rFonts w:asciiTheme="majorEastAsia" w:hAnsiTheme="majorEastAsia" w:eastAsiaTheme="majorEastAsia"/>
          <w:b/>
          <w:bCs/>
          <w:szCs w:val="21"/>
        </w:rPr>
      </w:pPr>
      <w:r>
        <w:rPr>
          <w:rFonts w:hint="eastAsia" w:asciiTheme="majorEastAsia" w:hAnsiTheme="majorEastAsia" w:eastAsiaTheme="majorEastAsia"/>
          <w:szCs w:val="21"/>
        </w:rPr>
        <w:t>质疑供应商应根据本须知35.3.3、35.4款规定，至</w:t>
      </w:r>
      <w:r>
        <w:rPr>
          <w:rFonts w:hint="eastAsia" w:asciiTheme="majorEastAsia" w:hAnsiTheme="majorEastAsia" w:eastAsiaTheme="majorEastAsia"/>
          <w:bCs/>
          <w:szCs w:val="21"/>
        </w:rPr>
        <w:t>采购代理机构</w:t>
      </w:r>
      <w:r>
        <w:rPr>
          <w:rFonts w:hint="eastAsia" w:asciiTheme="majorEastAsia" w:hAnsiTheme="majorEastAsia" w:eastAsiaTheme="majorEastAsia"/>
          <w:szCs w:val="21"/>
        </w:rPr>
        <w:t>现场递交质疑材料</w:t>
      </w:r>
      <w:r>
        <w:rPr>
          <w:rFonts w:hint="eastAsia" w:asciiTheme="majorEastAsia" w:hAnsiTheme="majorEastAsia" w:eastAsiaTheme="majorEastAsia"/>
          <w:bCs/>
          <w:szCs w:val="21"/>
        </w:rPr>
        <w:t>，地址：深圳市福田区民田路171号新华保险大厦903深圳市中正招标有限公司，质疑咨询电话：0755-83026699。</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35.6质疑受理</w:t>
      </w:r>
      <w:r>
        <w:rPr>
          <w:rFonts w:asciiTheme="majorEastAsia" w:hAnsiTheme="majorEastAsia" w:eastAsiaTheme="majorEastAsia"/>
          <w:szCs w:val="21"/>
        </w:rPr>
        <w:t>程序</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35.6.1供应商提交的质疑符合受理条件的，采购代理机构自收到质疑材料之日起即为受理，并向供应商出具质疑函受理回执并可以要求其递交质疑的法定代表人（负责人）或者授权代理人签署质疑文书送达地址确认书。</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35.6.2供应商提交的质疑材料不符合质疑条件的，视情况处理：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供应商提交的质疑材料不全或者未按要求签字或者盖章的，采购代理机构应当一次性告知供应商需补正的内容和补正期限。</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供应商提交的质疑存在下列情形之一的，不予受理：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（1）质疑主体不满足要求的；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（2）供应商自身权益未受到损害的；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（3）供应商未在法定质疑期限内提出质疑的；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（4）质疑材料不全或者未按要求签字或者盖章的情况下，要求补正后，逾期未补正或者补正后仍不符合规定的；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（5）其他不符合受理条件情形的。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质疑事项不予受理的，采购代理机构应当向供应商出具不符合质疑条件告知书。</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35.7质疑答复时限</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自收文之日起七个工作日内。</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35.8投诉</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对质疑答复不满意或者未在规定时间内答复的，提出质疑的供应商可以在答复期满后15个工作日内向同级财政部门投诉。</w:t>
      </w:r>
      <w:bookmarkEnd w:id="32"/>
    </w:p>
    <w:p/>
    <w:p/>
    <w:p/>
    <w:p/>
    <w:p/>
    <w:p/>
    <w:p/>
    <w:p>
      <w:pPr>
        <w:widowControl/>
        <w:jc w:val="left"/>
      </w:pPr>
      <w:r>
        <w:br w:type="page"/>
      </w:r>
    </w:p>
    <w:p/>
    <w:p>
      <w:pPr>
        <w:pStyle w:val="2"/>
      </w:pPr>
      <w:bookmarkStart w:id="34" w:name="_Toc107846036"/>
      <w:r>
        <w:rPr>
          <w:rFonts w:hint="eastAsia"/>
        </w:rPr>
        <w:t>第七章  投标文件格式</w:t>
      </w:r>
      <w:bookmarkEnd w:id="34"/>
    </w:p>
    <w:p>
      <w:pPr>
        <w:jc w:val="center"/>
        <w:rPr>
          <w:b/>
          <w:sz w:val="52"/>
          <w:szCs w:val="52"/>
        </w:rPr>
      </w:pPr>
    </w:p>
    <w:p>
      <w:pPr>
        <w:pStyle w:val="4"/>
        <w:spacing w:line="400" w:lineRule="exact"/>
        <w:rPr>
          <w:rFonts w:ascii="仿宋" w:hAnsi="仿宋" w:eastAsia="仿宋"/>
        </w:rPr>
      </w:pPr>
      <w:bookmarkStart w:id="35" w:name="_Toc44691163"/>
      <w:bookmarkStart w:id="36" w:name="_Toc11772"/>
      <w:bookmarkStart w:id="37" w:name="_Toc44690704"/>
      <w:bookmarkStart w:id="38" w:name="_Toc14934"/>
      <w:bookmarkStart w:id="39" w:name="_Toc25194"/>
      <w:bookmarkStart w:id="40" w:name="_Toc44690431"/>
      <w:bookmarkStart w:id="41" w:name="_Toc31468"/>
      <w:bookmarkStart w:id="42" w:name="_Toc107846037"/>
      <w:bookmarkStart w:id="43" w:name="_Toc44691395"/>
      <w:r>
        <w:rPr>
          <w:rFonts w:hint="eastAsia" w:ascii="仿宋" w:hAnsi="仿宋" w:eastAsia="仿宋"/>
        </w:rPr>
        <w:t>投标文件编制说明</w:t>
      </w:r>
      <w:bookmarkEnd w:id="35"/>
      <w:bookmarkEnd w:id="36"/>
      <w:bookmarkEnd w:id="37"/>
      <w:bookmarkEnd w:id="38"/>
      <w:bookmarkEnd w:id="39"/>
      <w:bookmarkEnd w:id="40"/>
      <w:bookmarkEnd w:id="41"/>
      <w:bookmarkEnd w:id="42"/>
      <w:bookmarkEnd w:id="43"/>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法定代表人证明书、法定代表人授权委托证明书和开标一览表（封包2）。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投标文件中，复印件或扫描件应加盖公章。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3.4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p>
    <w:p>
      <w:pPr>
        <w:spacing w:line="480" w:lineRule="auto"/>
        <w:ind w:firstLine="1275" w:firstLineChars="529"/>
        <w:rPr>
          <w:b/>
          <w:bCs/>
          <w:sz w:val="24"/>
          <w:u w:val="single"/>
        </w:rPr>
      </w:pPr>
      <w:r>
        <w:rPr>
          <w:rFonts w:hint="eastAsia"/>
          <w:b/>
          <w:bCs/>
          <w:sz w:val="24"/>
        </w:rPr>
        <w:t>项 目  编 号：</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p>
    <w:p>
      <w:pPr>
        <w:spacing w:line="480" w:lineRule="auto"/>
        <w:ind w:firstLine="1275" w:firstLineChars="529"/>
        <w:rPr>
          <w:b/>
          <w:bCs/>
          <w:sz w:val="24"/>
          <w:u w:val="dotted"/>
        </w:rPr>
      </w:pPr>
      <w:r>
        <w:rPr>
          <w:rFonts w:hint="eastAsia"/>
          <w:b/>
          <w:bCs/>
          <w:sz w:val="24"/>
        </w:rPr>
        <w:t>投   标   人：</w:t>
      </w:r>
    </w:p>
    <w:p>
      <w:pPr>
        <w:spacing w:line="480" w:lineRule="auto"/>
        <w:ind w:firstLine="1275" w:firstLineChars="529"/>
      </w:pPr>
      <w:r>
        <w:rPr>
          <w:rFonts w:hint="eastAsia"/>
          <w:b/>
          <w:bCs/>
          <w:sz w:val="24"/>
        </w:rPr>
        <w:t>日        期：年月日</w:t>
      </w:r>
    </w:p>
    <w:p>
      <w:pPr>
        <w:rPr>
          <w:b/>
          <w:bCs/>
        </w:rPr>
      </w:pPr>
    </w:p>
    <w:p>
      <w:pPr>
        <w:rPr>
          <w:b/>
          <w:bCs/>
        </w:rPr>
      </w:pPr>
      <w:bookmarkStart w:id="44" w:name="_投标文件格式（第一册）"/>
      <w:bookmarkEnd w:id="44"/>
      <w:bookmarkStart w:id="45" w:name="q0"/>
      <w:r>
        <w:rPr>
          <w:rFonts w:ascii="仿宋" w:hAnsi="仿宋" w:eastAsia="仿宋"/>
        </w:rPr>
        <w:br w:type="page"/>
      </w:r>
    </w:p>
    <w:p>
      <w:pPr>
        <w:pStyle w:val="4"/>
        <w:spacing w:line="400" w:lineRule="exact"/>
        <w:rPr>
          <w:rFonts w:ascii="仿宋" w:hAnsi="仿宋" w:eastAsia="仿宋"/>
        </w:rPr>
      </w:pPr>
    </w:p>
    <w:p>
      <w:pPr>
        <w:pStyle w:val="4"/>
        <w:spacing w:line="400" w:lineRule="exact"/>
        <w:rPr>
          <w:rFonts w:ascii="仿宋" w:hAnsi="仿宋" w:eastAsia="仿宋"/>
        </w:rPr>
      </w:pPr>
      <w:bookmarkStart w:id="46" w:name="_Toc107846038"/>
      <w:r>
        <w:rPr>
          <w:rFonts w:hint="eastAsia" w:ascii="仿宋" w:hAnsi="仿宋" w:eastAsia="仿宋"/>
        </w:rPr>
        <w:t>投标文件格式</w:t>
      </w:r>
      <w:bookmarkEnd w:id="46"/>
    </w:p>
    <w:bookmarkEnd w:id="45"/>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目录（自拟）</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评标指引表</w:t>
      </w:r>
    </w:p>
    <w:p>
      <w:pPr>
        <w:numPr>
          <w:ilvl w:val="0"/>
          <w:numId w:val="4"/>
        </w:numPr>
        <w:adjustRightInd w:val="0"/>
        <w:spacing w:line="360" w:lineRule="auto"/>
        <w:rPr>
          <w:snapToGrid w:val="0"/>
          <w:kern w:val="0"/>
          <w:szCs w:val="21"/>
        </w:rPr>
      </w:pPr>
      <w:r>
        <w:rPr>
          <w:rFonts w:hint="eastAsia"/>
          <w:snapToGrid w:val="0"/>
          <w:kern w:val="0"/>
          <w:szCs w:val="21"/>
        </w:rPr>
        <w:t>投标人资格证明文件（格式1）</w:t>
      </w:r>
    </w:p>
    <w:p>
      <w:pPr>
        <w:numPr>
          <w:ilvl w:val="0"/>
          <w:numId w:val="4"/>
        </w:numPr>
        <w:adjustRightInd w:val="0"/>
        <w:spacing w:line="360" w:lineRule="auto"/>
        <w:rPr>
          <w:snapToGrid w:val="0"/>
          <w:kern w:val="0"/>
          <w:szCs w:val="21"/>
        </w:rPr>
      </w:pPr>
      <w:r>
        <w:rPr>
          <w:rFonts w:hint="eastAsia"/>
          <w:snapToGrid w:val="0"/>
          <w:kern w:val="0"/>
          <w:szCs w:val="21"/>
        </w:rPr>
        <w:t>法定代表人证明书及授权委托书</w:t>
      </w:r>
      <w:r>
        <w:rPr>
          <w:rFonts w:hint="eastAsia" w:ascii="宋体" w:hAnsi="宋体"/>
          <w:snapToGrid w:val="0"/>
          <w:kern w:val="0"/>
          <w:szCs w:val="21"/>
        </w:rPr>
        <w:t>（格式2）</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投标函（格式3）</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评分中涉及的承诺及声明函（格式4）</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开标一览表（格式5）</w:t>
      </w:r>
    </w:p>
    <w:p>
      <w:pPr>
        <w:adjustRightInd w:val="0"/>
        <w:spacing w:line="360" w:lineRule="auto"/>
        <w:ind w:firstLine="422" w:firstLineChars="200"/>
        <w:rPr>
          <w:rFonts w:ascii="宋体" w:hAnsi="宋体"/>
          <w:b/>
          <w:bCs/>
          <w:snapToGrid w:val="0"/>
          <w:kern w:val="0"/>
          <w:szCs w:val="21"/>
        </w:rPr>
      </w:pPr>
      <w:r>
        <w:rPr>
          <w:rFonts w:hint="eastAsia" w:ascii="宋体" w:hAnsi="宋体"/>
          <w:b/>
          <w:snapToGrid w:val="0"/>
          <w:kern w:val="0"/>
          <w:szCs w:val="21"/>
        </w:rPr>
        <w:t>注：此表应与“法定代表人证明书、法定代表人授权委托证明书”一起密封于一信封，在递交投标文件时单独交与</w:t>
      </w:r>
      <w:r>
        <w:rPr>
          <w:rFonts w:hint="eastAsia" w:ascii="宋体" w:hAnsi="宋体"/>
          <w:b/>
          <w:bCs/>
          <w:snapToGrid w:val="0"/>
          <w:kern w:val="0"/>
          <w:szCs w:val="21"/>
        </w:rPr>
        <w:t>采购代理机构。</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报价表（格式6）</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技术规格（格式7）</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交付进度（格式8）</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售后服务和质量承诺（格式9）</w:t>
      </w:r>
    </w:p>
    <w:p>
      <w:pPr>
        <w:numPr>
          <w:ilvl w:val="0"/>
          <w:numId w:val="4"/>
        </w:numPr>
        <w:adjustRightInd w:val="0"/>
        <w:spacing w:line="360" w:lineRule="auto"/>
        <w:rPr>
          <w:rFonts w:ascii="宋体" w:hAnsi="宋体"/>
          <w:snapToGrid w:val="0"/>
          <w:kern w:val="0"/>
          <w:szCs w:val="21"/>
        </w:rPr>
      </w:pPr>
      <w:r>
        <w:rPr>
          <w:rFonts w:ascii="宋体" w:hAnsi="宋体"/>
          <w:snapToGrid w:val="0"/>
          <w:kern w:val="0"/>
        </w:rPr>
        <w:t>投标人情况介绍</w:t>
      </w:r>
      <w:r>
        <w:rPr>
          <w:rFonts w:hint="eastAsia" w:ascii="宋体" w:hAnsi="宋体"/>
          <w:snapToGrid w:val="0"/>
          <w:kern w:val="0"/>
        </w:rPr>
        <w:t>（</w:t>
      </w:r>
      <w:r>
        <w:rPr>
          <w:rFonts w:ascii="宋体" w:hAnsi="宋体"/>
          <w:snapToGrid w:val="0"/>
          <w:kern w:val="0"/>
        </w:rPr>
        <w:t>格式</w:t>
      </w:r>
      <w:r>
        <w:rPr>
          <w:rFonts w:hint="eastAsia" w:ascii="宋体" w:hAnsi="宋体"/>
          <w:snapToGrid w:val="0"/>
          <w:kern w:val="0"/>
        </w:rPr>
        <w:t>10</w:t>
      </w:r>
      <w:r>
        <w:rPr>
          <w:rFonts w:ascii="宋体" w:hAnsi="宋体"/>
          <w:snapToGrid w:val="0"/>
          <w:kern w:val="0"/>
        </w:rPr>
        <w:t>）</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偏离</w:t>
      </w:r>
      <w:r>
        <w:rPr>
          <w:rFonts w:ascii="宋体" w:hAnsi="宋体"/>
          <w:snapToGrid w:val="0"/>
          <w:kern w:val="0"/>
          <w:szCs w:val="21"/>
        </w:rPr>
        <w:t>表（格式</w:t>
      </w:r>
      <w:r>
        <w:rPr>
          <w:rFonts w:hint="eastAsia" w:ascii="宋体" w:hAnsi="宋体"/>
          <w:snapToGrid w:val="0"/>
          <w:kern w:val="0"/>
          <w:szCs w:val="21"/>
        </w:rPr>
        <w:t>11</w:t>
      </w:r>
      <w:r>
        <w:rPr>
          <w:rFonts w:ascii="宋体" w:hAnsi="宋体"/>
          <w:snapToGrid w:val="0"/>
          <w:kern w:val="0"/>
          <w:szCs w:val="21"/>
        </w:rPr>
        <w:t>）</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rPr>
        <w:t>招标文件要求的其他资料或投标人认为需要补充的资料</w:t>
      </w:r>
      <w:r>
        <w:rPr>
          <w:rFonts w:hint="eastAsia" w:ascii="宋体" w:hAnsi="宋体"/>
          <w:snapToGrid w:val="0"/>
          <w:kern w:val="0"/>
          <w:szCs w:val="21"/>
        </w:rPr>
        <w:t>（格式12）</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7" w:name="_格式1__投标人资格证明文件"/>
      <w:bookmarkEnd w:id="47"/>
      <w:r>
        <w:br w:type="page"/>
      </w:r>
    </w:p>
    <w:p>
      <w:pPr>
        <w:adjustRightInd w:val="0"/>
        <w:snapToGrid w:val="0"/>
        <w:spacing w:line="300" w:lineRule="auto"/>
        <w:jc w:val="center"/>
      </w:pPr>
    </w:p>
    <w:p>
      <w:pPr>
        <w:pStyle w:val="4"/>
        <w:spacing w:line="400" w:lineRule="exact"/>
        <w:rPr>
          <w:rFonts w:ascii="仿宋" w:hAnsi="仿宋" w:eastAsia="仿宋"/>
        </w:rPr>
      </w:pPr>
      <w:bookmarkStart w:id="48" w:name="_Toc107846039"/>
      <w:bookmarkStart w:id="49" w:name="_Toc73610158"/>
      <w:r>
        <w:rPr>
          <w:rFonts w:hint="eastAsia" w:ascii="仿宋" w:hAnsi="仿宋" w:eastAsia="仿宋"/>
        </w:rPr>
        <w:t>评标指引表</w:t>
      </w:r>
      <w:bookmarkEnd w:id="48"/>
      <w:bookmarkEnd w:id="49"/>
    </w:p>
    <w:p>
      <w:pPr>
        <w:jc w:val="center"/>
        <w:rPr>
          <w:b/>
          <w:szCs w:val="21"/>
        </w:rPr>
      </w:pPr>
    </w:p>
    <w:p>
      <w:pPr>
        <w:spacing w:line="360" w:lineRule="auto"/>
        <w:ind w:firstLine="420" w:firstLineChars="200"/>
        <w:rPr>
          <w:rFonts w:ascii="宋体" w:hAnsi="宋体"/>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auto"/>
        <w:ind w:firstLine="420" w:firstLineChars="200"/>
        <w:rPr>
          <w:rFonts w:ascii="宋体" w:hAnsi="宋体"/>
          <w:szCs w:val="21"/>
        </w:rPr>
      </w:pP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综合评分指引（参见第四章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85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169"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szCs w:val="21"/>
              </w:rPr>
              <w:t>《节能产品政府采购品目清单》或《环境标志产品政府采购品目清单》中列示的产品，或</w:t>
            </w: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评标方法和标准”政府采购扶持政策</w:t>
            </w:r>
            <w:r>
              <w:rPr>
                <w:rFonts w:hint="eastAsia" w:asciiTheme="minorEastAsia" w:hAnsiTheme="minorEastAsia" w:eastAsiaTheme="minorEastAsia"/>
                <w:bCs/>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pStyle w:val="26"/>
        <w:spacing w:line="360" w:lineRule="auto"/>
        <w:ind w:firstLine="424" w:firstLineChars="201"/>
        <w:rPr>
          <w:rFonts w:hAnsi="宋体"/>
          <w:b/>
          <w:szCs w:val="21"/>
        </w:rPr>
      </w:pPr>
    </w:p>
    <w:p>
      <w:pPr>
        <w:pStyle w:val="26"/>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pStyle w:val="3"/>
        <w:jc w:val="center"/>
      </w:pPr>
    </w:p>
    <w:p/>
    <w:p/>
    <w:p/>
    <w:p/>
    <w:p/>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bookmarkStart w:id="50" w:name="_Toc44690705"/>
      <w:bookmarkStart w:id="51" w:name="_Toc44691164"/>
      <w:bookmarkStart w:id="52" w:name="_Toc44690432"/>
      <w:bookmarkStart w:id="53" w:name="_Toc44691396"/>
      <w:r>
        <w:rPr>
          <w:rFonts w:hint="eastAsia" w:asciiTheme="minorEastAsia" w:hAnsiTheme="minorEastAsia" w:eastAsiaTheme="minorEastAsia"/>
          <w:sz w:val="24"/>
        </w:rPr>
        <w:t>格式1  投标人资格证明文件</w:t>
      </w:r>
      <w:bookmarkEnd w:id="50"/>
      <w:bookmarkEnd w:id="51"/>
      <w:bookmarkEnd w:id="52"/>
      <w:bookmarkEnd w:id="53"/>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宋体" w:hAnsi="宋体"/>
        </w:rPr>
      </w:pPr>
      <w:r>
        <w:rPr>
          <w:rFonts w:hint="eastAsia" w:ascii="宋体" w:hAnsi="宋体"/>
        </w:rPr>
        <w:t>3、股东构成审查表</w:t>
      </w:r>
    </w:p>
    <w:p>
      <w:pPr>
        <w:adjustRightInd w:val="0"/>
        <w:snapToGrid w:val="0"/>
        <w:spacing w:line="360" w:lineRule="auto"/>
        <w:ind w:firstLine="424" w:firstLineChars="202"/>
        <w:rPr>
          <w:rFonts w:ascii="宋体" w:hAnsi="宋体"/>
        </w:rPr>
      </w:pPr>
      <w:r>
        <w:rPr>
          <w:rFonts w:hint="eastAsia" w:ascii="宋体" w:hAnsi="宋体"/>
        </w:rPr>
        <w:t>4、其它资格证明材料（如有，按第一章投标邀请“申请人的资格要求”提供）</w:t>
      </w:r>
    </w:p>
    <w:p>
      <w:pPr>
        <w:adjustRightInd w:val="0"/>
        <w:snapToGrid w:val="0"/>
        <w:spacing w:line="360" w:lineRule="auto"/>
        <w:rPr>
          <w:rFonts w:ascii="宋体" w:hAnsi="宋体"/>
          <w:bCs/>
          <w:snapToGrid w:val="0"/>
          <w:kern w:val="0"/>
        </w:rPr>
      </w:pPr>
    </w:p>
    <w:p>
      <w:pPr>
        <w:adjustRightInd w:val="0"/>
        <w:snapToGrid w:val="0"/>
        <w:spacing w:line="360" w:lineRule="auto"/>
        <w:ind w:firstLine="424" w:firstLineChars="201"/>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widowControl/>
        <w:jc w:val="left"/>
        <w:rPr>
          <w:b/>
          <w:snapToGrid w:val="0"/>
          <w:sz w:val="32"/>
          <w:szCs w:val="32"/>
        </w:rPr>
      </w:pPr>
      <w:r>
        <w:rPr>
          <w:b/>
          <w:snapToGrid w:val="0"/>
          <w:sz w:val="32"/>
          <w:szCs w:val="32"/>
        </w:rPr>
        <w:br w:type="page"/>
      </w:r>
    </w:p>
    <w:p>
      <w:pPr>
        <w:adjustRightInd w:val="0"/>
        <w:snapToGrid w:val="0"/>
        <w:spacing w:line="300" w:lineRule="auto"/>
        <w:jc w:val="center"/>
        <w:rPr>
          <w:b/>
          <w:snapToGrid w:val="0"/>
          <w:sz w:val="32"/>
          <w:szCs w:val="32"/>
        </w:rPr>
      </w:pP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1.我单位满足《中华人民共和国政府采购法》第二十二条规定的条件。</w:t>
      </w:r>
    </w:p>
    <w:p>
      <w:pPr>
        <w:spacing w:line="400" w:lineRule="exact"/>
        <w:ind w:firstLine="420" w:firstLineChars="200"/>
        <w:rPr>
          <w:rFonts w:ascii="宋体" w:hAnsi="宋体"/>
          <w:szCs w:val="21"/>
        </w:rPr>
      </w:pPr>
      <w:r>
        <w:rPr>
          <w:rFonts w:hint="eastAsia" w:ascii="宋体" w:hAnsi="宋体"/>
          <w:szCs w:val="21"/>
        </w:rPr>
        <w:t>2.我单位参与本项目投标前三年内，在经营活动中没有重大违法记录。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6.我单位参与该项目投标，严格遵循公平竞争的原则，不恶意串通，不妨碍其他投标人的竞争行为，不损害采购人或者其他投标人的合法权益。我单位已清楚，如违反上述要求，将作投标无效处理。</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r>
        <w:br w:type="page"/>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bookmarkStart w:id="54" w:name="_Toc73610159"/>
      <w:bookmarkStart w:id="55" w:name="_Toc105681830"/>
      <w:r>
        <w:rPr>
          <w:rFonts w:hint="eastAsia"/>
          <w:b/>
          <w:snapToGrid w:val="0"/>
          <w:kern w:val="0"/>
          <w:sz w:val="28"/>
        </w:rPr>
        <w:t>股东构成审查表</w:t>
      </w:r>
      <w:bookmarkEnd w:id="54"/>
      <w:bookmarkEnd w:id="55"/>
    </w:p>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napToGrid w:val="0"/>
          <w:szCs w:val="21"/>
        </w:rPr>
        <w:t>项目</w:t>
      </w:r>
      <w:r>
        <w:rPr>
          <w:rFonts w:hint="eastAsia" w:asciiTheme="minorEastAsia" w:hAnsiTheme="minorEastAsia" w:eastAsiaTheme="minorEastAsia"/>
          <w:szCs w:val="21"/>
        </w:rPr>
        <w:t>名称：</w:t>
      </w:r>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zCs w:val="21"/>
        </w:rPr>
        <w:t>项目编号：</w:t>
      </w:r>
    </w:p>
    <w:tbl>
      <w:tblPr>
        <w:tblStyle w:val="50"/>
        <w:tblW w:w="10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244"/>
        <w:gridCol w:w="1748"/>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101"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524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投标人股东构成审查内容</w:t>
            </w:r>
          </w:p>
        </w:tc>
        <w:tc>
          <w:tcPr>
            <w:tcW w:w="1748"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投标人响应情况</w:t>
            </w:r>
          </w:p>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（是或否）</w:t>
            </w:r>
          </w:p>
        </w:tc>
        <w:tc>
          <w:tcPr>
            <w:tcW w:w="2222"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是否存在“与投标供应商单位负责人（法定代表人）为同一人的不同单位”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是否存在“与投标供应商存在管理关系的不同单位”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投标供应商是否有控股的子公司</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股东情况：控股投标供应商的股东名单</w:t>
            </w:r>
          </w:p>
        </w:tc>
        <w:tc>
          <w:tcPr>
            <w:tcW w:w="1748"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2222" w:type="dxa"/>
            <w:vAlign w:val="center"/>
          </w:tcPr>
          <w:p>
            <w:pPr>
              <w:spacing w:line="360" w:lineRule="auto"/>
              <w:jc w:val="center"/>
              <w:rPr>
                <w:rFonts w:asciiTheme="minorEastAsia" w:hAnsiTheme="minorEastAsia" w:eastAsiaTheme="minorEastAsia"/>
                <w:szCs w:val="21"/>
              </w:rPr>
            </w:pPr>
          </w:p>
        </w:tc>
      </w:tr>
    </w:tbl>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注：</w:t>
      </w:r>
    </w:p>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1、响应情况为“是”，需在“名单”栏中提供相应的单位、子公司和股东的名单；响应情况为“否”，在“名单”栏填写“无”；第4项“股东情况”无需填写响应情况，仅需列明股东名单即可（如有）。</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2、管理关系是指：投标供应商与特定企业之间因通过间接控股、投资关系、协议或者其他安排，存在实际管理关系。</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pPr>
        <w:spacing w:line="360" w:lineRule="auto"/>
        <w:rPr>
          <w:rFonts w:ascii="仿宋_GB2312" w:eastAsia="仿宋_GB2312" w:hAnsiTheme="minorEastAsia"/>
          <w:b/>
          <w:color w:val="FF0000"/>
          <w:sz w:val="24"/>
        </w:rPr>
      </w:pPr>
      <w:r>
        <w:rPr>
          <w:rFonts w:hint="eastAsia" w:ascii="仿宋_GB2312" w:eastAsia="仿宋_GB2312" w:hAnsiTheme="minorEastAsia"/>
          <w:b/>
          <w:color w:val="FF0000"/>
          <w:sz w:val="24"/>
        </w:rPr>
        <w:t>根据《中华人民共和国政府采购法实施条例》第十八条规定：“单位负责人为同一人或者存在直接控股、管理关系的不同供应商，不得参加同一合同项下的政府采购活动。”</w:t>
      </w:r>
    </w:p>
    <w:p>
      <w:pPr>
        <w:spacing w:line="300" w:lineRule="auto"/>
        <w:rPr>
          <w:rFonts w:asciiTheme="minorEastAsia" w:hAnsiTheme="minorEastAsia" w:eastAsiaTheme="minorEastAsia"/>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投标单位：（盖章）</w:t>
      </w: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授权代表或法定代表人：（签字）</w:t>
      </w:r>
    </w:p>
    <w:p>
      <w:pPr>
        <w:spacing w:line="360" w:lineRule="auto"/>
        <w:ind w:firstLine="600"/>
        <w:jc w:val="right"/>
        <w:rPr>
          <w:b/>
          <w:snapToGrid w:val="0"/>
          <w:sz w:val="32"/>
          <w:szCs w:val="32"/>
        </w:rPr>
      </w:pPr>
      <w:r>
        <w:rPr>
          <w:rFonts w:hint="eastAsia" w:asciiTheme="minorEastAsia" w:hAnsiTheme="minorEastAsia" w:eastAsiaTheme="minorEastAsia"/>
          <w:szCs w:val="21"/>
        </w:rPr>
        <w:t>年     月    日</w:t>
      </w:r>
      <w:r>
        <w:rPr>
          <w:b/>
          <w:snapToGrid w:val="0"/>
          <w:sz w:val="32"/>
          <w:szCs w:val="32"/>
        </w:rPr>
        <w:br w:type="page"/>
      </w:r>
    </w:p>
    <w:p>
      <w:pPr>
        <w:adjustRightInd w:val="0"/>
        <w:snapToGrid w:val="0"/>
        <w:spacing w:line="300" w:lineRule="auto"/>
        <w:jc w:val="center"/>
        <w:rPr>
          <w:b/>
          <w:snapToGrid w:val="0"/>
          <w:sz w:val="32"/>
          <w:szCs w:val="32"/>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r>
        <w:rPr>
          <w:rFonts w:hint="eastAsia" w:asciiTheme="minorEastAsia" w:hAnsiTheme="minorEastAsia" w:eastAsiaTheme="minorEastAsia"/>
          <w:sz w:val="24"/>
        </w:rPr>
        <w:t>格式2  法定代表人证明书及授权委托书</w:t>
      </w:r>
    </w:p>
    <w:p>
      <w:pPr>
        <w:adjustRightInd w:val="0"/>
        <w:snapToGrid w:val="0"/>
        <w:spacing w:line="300" w:lineRule="auto"/>
        <w:jc w:val="center"/>
        <w:rPr>
          <w:b/>
          <w:snapToGrid w:val="0"/>
          <w:sz w:val="32"/>
          <w:szCs w:val="32"/>
        </w:rPr>
      </w:pPr>
    </w:p>
    <w:p>
      <w:pPr>
        <w:tabs>
          <w:tab w:val="left" w:pos="450"/>
        </w:tabs>
        <w:jc w:val="center"/>
        <w:rPr>
          <w:rFonts w:ascii="宋体" w:hAnsi="宋体"/>
          <w:b/>
          <w:sz w:val="28"/>
          <w:szCs w:val="28"/>
        </w:rPr>
      </w:pPr>
      <w:r>
        <w:rPr>
          <w:rFonts w:hint="eastAsia" w:ascii="宋体" w:hAnsi="宋体"/>
          <w:b/>
          <w:sz w:val="28"/>
          <w:szCs w:val="28"/>
        </w:rPr>
        <w:t>法定代表人证明书（参考）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______________同志，现任我单位职务，为法定代表人，特此证明。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有效日期与本公司投标文件中标注的投标有效期相同。签发日期：年月日</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w:pict>
          <v:rect id="Rectangle 5" o:spid="_x0000_s3096" o:spt="1" style="position:absolute;left:0pt;margin-left:250.65pt;margin-top:10.75pt;height:156pt;width:243pt;z-index:251678720;mso-width-relative:page;mso-height-relative:page;" coordsize="21600,21600">
            <v:path/>
            <v:fill focussize="0,0"/>
            <v:stroke/>
            <v:imagedata o:title=""/>
            <o:lock v:ext="edit"/>
            <v:textbox>
              <w:txbxContent>
                <w:p>
                  <w:pPr>
                    <w:ind w:firstLine="1260" w:firstLineChars="600"/>
                  </w:pPr>
                  <w:r>
                    <w:rPr>
                      <w:rFonts w:hint="eastAsia"/>
                    </w:rPr>
                    <w:t xml:space="preserve">     法定代表人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w:r>
      <w:r>
        <w:rPr>
          <w:rFonts w:ascii="宋体"/>
          <w:b/>
          <w:bCs/>
        </w:rPr>
        <w:pict>
          <v:rect id="Rectangle 4" o:spid="_x0000_s3095" o:spt="1" style="position:absolute;left:0pt;margin-left:-11.85pt;margin-top:10.75pt;height:156pt;width:243pt;z-index:251677696;mso-width-relative:page;mso-height-relative:page;" coordsize="21600,21600">
            <v:path/>
            <v:fill focussize="0,0"/>
            <v:stroke/>
            <v:imagedata o:title=""/>
            <o:lock v:ext="edit"/>
            <v:textbox>
              <w:txbxContent>
                <w:p>
                  <w:pPr>
                    <w:ind w:firstLine="1260" w:firstLineChars="600"/>
                    <w:jc w:val="left"/>
                  </w:pPr>
                  <w:r>
                    <w:rPr>
                      <w:rFonts w:hint="eastAsia"/>
                    </w:rPr>
                    <w:t xml:space="preserve">     法定代表人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360" w:lineRule="auto"/>
        <w:ind w:firstLine="539" w:firstLineChars="257"/>
      </w:pPr>
    </w:p>
    <w:p>
      <w:pPr>
        <w:spacing w:line="360" w:lineRule="auto"/>
        <w:ind w:firstLine="539" w:firstLineChars="257"/>
      </w:pPr>
      <w:r>
        <w:rPr>
          <w:rFonts w:hint="eastAsia"/>
        </w:rPr>
        <w:t>单位名称：（公章）：</w:t>
      </w:r>
    </w:p>
    <w:p>
      <w:pPr>
        <w:spacing w:line="360" w:lineRule="auto"/>
        <w:ind w:firstLine="539" w:firstLineChars="257"/>
      </w:pPr>
    </w:p>
    <w:p>
      <w:pPr>
        <w:spacing w:line="360" w:lineRule="auto"/>
        <w:ind w:firstLine="539" w:firstLineChars="257"/>
      </w:pPr>
      <w:r>
        <w:rPr>
          <w:rFonts w:hint="eastAsia"/>
        </w:rPr>
        <w:t>日期：年月 日</w:t>
      </w:r>
    </w:p>
    <w:p>
      <w:pPr>
        <w:widowControl/>
        <w:jc w:val="left"/>
        <w:rPr>
          <w:b/>
          <w:bCs/>
          <w:sz w:val="28"/>
        </w:rPr>
      </w:pPr>
      <w:r>
        <w:rPr>
          <w:b/>
          <w:bCs/>
          <w:sz w:val="28"/>
        </w:rPr>
        <w:br w:type="page"/>
      </w:r>
    </w:p>
    <w:p>
      <w:pPr>
        <w:ind w:firstLine="2249" w:firstLineChars="800"/>
        <w:rPr>
          <w:b/>
          <w:bCs/>
          <w:sz w:val="28"/>
        </w:rPr>
      </w:pPr>
    </w:p>
    <w:p>
      <w:pPr>
        <w:jc w:val="center"/>
        <w:rPr>
          <w:b/>
          <w:bCs/>
          <w:sz w:val="28"/>
        </w:rPr>
      </w:pPr>
      <w:r>
        <w:rPr>
          <w:rFonts w:hint="eastAsia"/>
          <w:b/>
          <w:bCs/>
          <w:sz w:val="28"/>
        </w:rPr>
        <w:t>法定代表人授权委托证明书（参考）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            性别：</w:t>
      </w:r>
    </w:p>
    <w:p>
      <w:pPr>
        <w:adjustRightInd w:val="0"/>
        <w:snapToGrid w:val="0"/>
        <w:spacing w:line="360" w:lineRule="auto"/>
        <w:ind w:firstLine="629"/>
        <w:rPr>
          <w:b/>
          <w:bCs/>
        </w:rPr>
      </w:pPr>
      <w:r>
        <w:rPr>
          <w:rFonts w:hint="eastAsia"/>
        </w:rPr>
        <w:t>年龄：</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p>
    <w:p>
      <w:pPr>
        <w:adjustRightInd w:val="0"/>
        <w:snapToGrid w:val="0"/>
        <w:spacing w:line="360" w:lineRule="auto"/>
        <w:ind w:firstLine="629"/>
      </w:pPr>
      <w:r>
        <w:rPr>
          <w:rFonts w:hint="eastAsia"/>
        </w:rPr>
        <w:t>通讯地址：</w:t>
      </w:r>
    </w:p>
    <w:p>
      <w:pPr>
        <w:adjustRightInd w:val="0"/>
        <w:snapToGrid w:val="0"/>
        <w:spacing w:line="360" w:lineRule="auto"/>
        <w:ind w:firstLine="629"/>
      </w:pPr>
      <w:r>
        <w:rPr>
          <w:rFonts w:hint="eastAsia"/>
        </w:rPr>
        <w:t>电话：</w:t>
      </w:r>
    </w:p>
    <w:p>
      <w:pPr>
        <w:adjustRightInd w:val="0"/>
        <w:snapToGrid w:val="0"/>
        <w:spacing w:line="360" w:lineRule="auto"/>
        <w:ind w:firstLine="629"/>
      </w:pPr>
    </w:p>
    <w:p>
      <w:pPr>
        <w:ind w:firstLine="630"/>
      </w:pPr>
      <w:r>
        <w:rPr>
          <w:rFonts w:hint="eastAsia"/>
        </w:rPr>
        <w:t>单位名称：（公章）</w:t>
      </w:r>
    </w:p>
    <w:p>
      <w:pPr>
        <w:ind w:firstLine="630"/>
      </w:pPr>
    </w:p>
    <w:p>
      <w:pPr>
        <w:ind w:firstLine="630"/>
      </w:pPr>
      <w:r>
        <w:rPr>
          <w:rFonts w:hint="eastAsia"/>
        </w:rPr>
        <w:t>法定代表人：（签字）</w:t>
      </w:r>
    </w:p>
    <w:p>
      <w:pPr>
        <w:ind w:firstLine="630"/>
      </w:pPr>
    </w:p>
    <w:p>
      <w:pPr>
        <w:adjustRightInd w:val="0"/>
        <w:snapToGrid w:val="0"/>
        <w:spacing w:line="300" w:lineRule="auto"/>
        <w:ind w:firstLine="5317" w:firstLineChars="2532"/>
      </w:pPr>
      <w:r>
        <w:rPr>
          <w:rFonts w:hint="eastAsia"/>
        </w:rPr>
        <w:t>年月日</w:t>
      </w:r>
    </w:p>
    <w:p>
      <w:pPr>
        <w:spacing w:line="440" w:lineRule="exact"/>
        <w:rPr>
          <w:rFonts w:ascii="黑体" w:eastAsia="黑体"/>
        </w:rPr>
      </w:pPr>
      <w:bookmarkStart w:id="56" w:name="_Toc226217114"/>
      <w:r>
        <w:rPr>
          <w:rFonts w:ascii="宋体"/>
        </w:rPr>
        <w:pict>
          <v:rect id="Rectangle 2" o:spid="_x0000_s3093" o:spt="1" style="position:absolute;left:0pt;margin-left:-10.35pt;margin-top:5.6pt;height:156pt;width:243pt;z-index:251675648;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w:r>
      <w:r>
        <w:rPr>
          <w:rFonts w:ascii="黑体" w:eastAsia="黑体"/>
        </w:rPr>
        <w:pict>
          <v:rect id="Rectangle 3" o:spid="_x0000_s3094" o:spt="1" style="position:absolute;left:0pt;margin-left:249.9pt;margin-top:5.6pt;height:156pt;width:243pt;z-index:251676672;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w:r>
      <w:bookmarkEnd w:id="56"/>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pPr>
      <w:r>
        <w:rPr>
          <w:rFonts w:hint="eastAsia" w:asciiTheme="majorEastAsia" w:hAnsiTheme="majorEastAsia" w:eastAsiaTheme="majorEastAsia"/>
          <w:b/>
          <w:sz w:val="24"/>
        </w:rPr>
        <w:t>注：法定代表人证明书和法定代表人授权委托证明书除装订于投标文件中外，还须另置一份按“投标人须知”18.4项要求单独密封。</w:t>
      </w:r>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格式3  投标函</w:t>
      </w:r>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2．我单位提交的投标文件为：投标书正本一份，副本五份，电子备份光盘（或U盘）一份（内容为投标文件正本盖章扫描件）。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4．我单位愿意提供采购代理机构在招标文件中要求的所有资料，且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6．我单位愿按《中华人民共和国民法典》履行自己的全部责任。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同意中标后向采购代理机构支付招标文件要求数额的中标服务费。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rPr>
          <w:rFonts w:hint="eastAsia"/>
        </w:rPr>
        <w:t>授权代表： （签字）</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r>
        <w:rPr>
          <w:rFonts w:asciiTheme="minorEastAsia" w:hAnsiTheme="minorEastAsia" w:eastAsiaTheme="minorEastAsia"/>
          <w:sz w:val="24"/>
        </w:rPr>
        <w:br w:type="page"/>
      </w: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格式4  评分中涉及的承诺及声明函</w:t>
      </w:r>
    </w:p>
    <w:p>
      <w:pPr>
        <w:adjustRightInd w:val="0"/>
        <w:spacing w:line="300" w:lineRule="auto"/>
        <w:ind w:hanging="2"/>
        <w:jc w:val="center"/>
        <w:rPr>
          <w:b/>
          <w:snapToGrid w:val="0"/>
          <w:kern w:val="0"/>
          <w:sz w:val="28"/>
        </w:rPr>
      </w:pPr>
      <w:r>
        <w:rPr>
          <w:rFonts w:hint="eastAsia"/>
          <w:b/>
          <w:snapToGrid w:val="0"/>
          <w:kern w:val="0"/>
          <w:sz w:val="28"/>
        </w:rPr>
        <w:t>诚信承诺函</w:t>
      </w:r>
    </w:p>
    <w:p>
      <w:pPr>
        <w:pStyle w:val="413"/>
        <w:keepNext w:val="0"/>
        <w:adjustRightInd/>
        <w:spacing w:before="0" w:after="0" w:line="240" w:lineRule="auto"/>
        <w:outlineLvl w:val="2"/>
        <w:rPr>
          <w:rFonts w:hAnsi="宋体"/>
          <w:szCs w:val="24"/>
        </w:rPr>
      </w:pPr>
    </w:p>
    <w:p>
      <w:pPr>
        <w:spacing w:line="360" w:lineRule="auto"/>
        <w:rPr>
          <w:rFonts w:cs="Courier New"/>
          <w:snapToGrid w:val="0"/>
          <w:szCs w:val="18"/>
        </w:rPr>
      </w:pPr>
      <w:r>
        <w:rPr>
          <w:rFonts w:hint="eastAsia" w:cs="Courier New"/>
          <w:snapToGrid w:val="0"/>
          <w:szCs w:val="18"/>
        </w:rPr>
        <w:t>深圳市中正招标有限公司：</w:t>
      </w:r>
    </w:p>
    <w:p>
      <w:pPr>
        <w:spacing w:line="360" w:lineRule="auto"/>
        <w:ind w:firstLine="420" w:firstLineChars="200"/>
        <w:rPr>
          <w:rFonts w:cs="Courier New"/>
          <w:snapToGrid w:val="0"/>
          <w:szCs w:val="18"/>
        </w:rPr>
      </w:pPr>
      <w:r>
        <w:rPr>
          <w:rFonts w:hint="eastAsia" w:cs="Courier New"/>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pPr>
        <w:spacing w:line="360" w:lineRule="auto"/>
        <w:ind w:firstLine="420" w:firstLineChars="200"/>
        <w:rPr>
          <w:rFonts w:cs="Courier New"/>
          <w:snapToGrid w:val="0"/>
          <w:szCs w:val="18"/>
        </w:rPr>
      </w:pPr>
      <w:r>
        <w:rPr>
          <w:rFonts w:hint="eastAsia" w:cs="Courier New"/>
          <w:snapToGrid w:val="0"/>
          <w:szCs w:val="18"/>
        </w:rPr>
        <w:t>我单位承诺，在参加政府采购活动中没有出现下列行为之一：</w:t>
      </w:r>
    </w:p>
    <w:p>
      <w:pPr>
        <w:spacing w:line="360" w:lineRule="auto"/>
        <w:ind w:firstLine="420" w:firstLineChars="200"/>
        <w:rPr>
          <w:rFonts w:cs="Courier New"/>
          <w:snapToGrid w:val="0"/>
          <w:szCs w:val="18"/>
        </w:rPr>
      </w:pPr>
      <w:r>
        <w:rPr>
          <w:rFonts w:hint="eastAsia" w:cs="Courier New"/>
          <w:snapToGrid w:val="0"/>
          <w:szCs w:val="18"/>
        </w:rPr>
        <w:t>（一）投标截止后，无正当理由撤销其投标行为，导致项目无法正常开评标的；</w:t>
      </w:r>
    </w:p>
    <w:p>
      <w:pPr>
        <w:spacing w:line="360" w:lineRule="auto"/>
        <w:ind w:firstLine="420" w:firstLineChars="200"/>
        <w:rPr>
          <w:rFonts w:cs="Courier New"/>
          <w:snapToGrid w:val="0"/>
          <w:szCs w:val="18"/>
        </w:rPr>
      </w:pPr>
      <w:r>
        <w:rPr>
          <w:rFonts w:hint="eastAsia" w:cs="Courier New"/>
          <w:snapToGrid w:val="0"/>
          <w:szCs w:val="18"/>
        </w:rPr>
        <w:t>（二）未按《采购条例》规定签订、履行采购合同，严重影响采购人日常工作的；</w:t>
      </w:r>
    </w:p>
    <w:p>
      <w:pPr>
        <w:spacing w:line="360" w:lineRule="auto"/>
        <w:ind w:firstLine="420" w:firstLineChars="200"/>
        <w:rPr>
          <w:rFonts w:cs="Courier New"/>
          <w:snapToGrid w:val="0"/>
          <w:szCs w:val="18"/>
        </w:rPr>
      </w:pPr>
      <w:r>
        <w:rPr>
          <w:rFonts w:hint="eastAsia" w:cs="Courier New"/>
          <w:snapToGrid w:val="0"/>
          <w:szCs w:val="18"/>
        </w:rPr>
        <w:t>（三）在投标文件中未说明且未经采购人同意，将中标项目分包给他人，情节严重的；</w:t>
      </w:r>
    </w:p>
    <w:p>
      <w:pPr>
        <w:spacing w:line="360" w:lineRule="auto"/>
        <w:ind w:firstLine="420" w:firstLineChars="200"/>
        <w:rPr>
          <w:rFonts w:cs="Courier New"/>
          <w:snapToGrid w:val="0"/>
          <w:szCs w:val="18"/>
        </w:rPr>
      </w:pPr>
      <w:r>
        <w:rPr>
          <w:rFonts w:hint="eastAsia" w:cs="Courier New"/>
          <w:snapToGrid w:val="0"/>
          <w:szCs w:val="18"/>
        </w:rPr>
        <w:t>（四）严重违反合同约定，擅自降低货物质量等次和售后服务，货物、工程或者服务存在严重质量问题的；</w:t>
      </w:r>
    </w:p>
    <w:p>
      <w:pPr>
        <w:spacing w:line="360" w:lineRule="auto"/>
        <w:ind w:firstLine="420" w:firstLineChars="200"/>
        <w:rPr>
          <w:rFonts w:cs="Courier New"/>
          <w:snapToGrid w:val="0"/>
          <w:szCs w:val="18"/>
        </w:rPr>
      </w:pPr>
      <w:r>
        <w:rPr>
          <w:rFonts w:hint="eastAsia" w:cs="Courier New"/>
          <w:snapToGrid w:val="0"/>
          <w:szCs w:val="18"/>
        </w:rPr>
        <w:t>（五）严重违反合同约定，未能完成全部货物、服务或工程项目，中途停止配送或者变相增加费用的；</w:t>
      </w:r>
    </w:p>
    <w:p>
      <w:pPr>
        <w:spacing w:line="360" w:lineRule="auto"/>
        <w:ind w:firstLine="420" w:firstLineChars="200"/>
        <w:rPr>
          <w:rFonts w:cs="Courier New"/>
          <w:snapToGrid w:val="0"/>
          <w:szCs w:val="18"/>
        </w:rPr>
      </w:pPr>
      <w:r>
        <w:rPr>
          <w:rFonts w:hint="eastAsia" w:cs="Courier New"/>
          <w:snapToGrid w:val="0"/>
          <w:szCs w:val="18"/>
        </w:rPr>
        <w:t>（六）捏造事实、提供虚假材料进行质疑的；</w:t>
      </w:r>
    </w:p>
    <w:p>
      <w:pPr>
        <w:spacing w:line="360" w:lineRule="auto"/>
        <w:ind w:firstLine="420" w:firstLineChars="200"/>
        <w:rPr>
          <w:rFonts w:cs="Courier New"/>
          <w:snapToGrid w:val="0"/>
          <w:szCs w:val="18"/>
        </w:rPr>
      </w:pPr>
      <w:r>
        <w:rPr>
          <w:rFonts w:hint="eastAsia" w:cs="Courier New"/>
          <w:snapToGrid w:val="0"/>
          <w:szCs w:val="18"/>
        </w:rPr>
        <w:t>（七）假冒他人名义质疑的；</w:t>
      </w:r>
    </w:p>
    <w:p>
      <w:pPr>
        <w:spacing w:line="360" w:lineRule="auto"/>
        <w:ind w:firstLine="420" w:firstLineChars="200"/>
        <w:rPr>
          <w:rFonts w:cs="Courier New"/>
          <w:snapToGrid w:val="0"/>
          <w:szCs w:val="18"/>
        </w:rPr>
      </w:pPr>
      <w:r>
        <w:rPr>
          <w:rFonts w:hint="eastAsia" w:cs="Courier New"/>
          <w:snapToGrid w:val="0"/>
          <w:szCs w:val="18"/>
        </w:rPr>
        <w:t>（八）无正当理由拒不配合进行质疑调查的。</w:t>
      </w:r>
    </w:p>
    <w:p>
      <w:pPr>
        <w:spacing w:line="360" w:lineRule="auto"/>
        <w:ind w:firstLine="420" w:firstLineChars="200"/>
        <w:rPr>
          <w:rFonts w:cs="Courier New"/>
          <w:snapToGrid w:val="0"/>
          <w:szCs w:val="18"/>
        </w:rPr>
      </w:pPr>
      <w:r>
        <w:rPr>
          <w:rFonts w:hint="eastAsia" w:cs="Courier New"/>
          <w:snapToGrid w:val="0"/>
          <w:szCs w:val="18"/>
        </w:rPr>
        <w:t>特此承诺。</w:t>
      </w:r>
    </w:p>
    <w:p>
      <w:pPr>
        <w:spacing w:line="360" w:lineRule="auto"/>
        <w:ind w:firstLine="420" w:firstLineChars="2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
    <w:p>
      <w:pPr>
        <w:adjustRightInd w:val="0"/>
        <w:spacing w:line="300" w:lineRule="auto"/>
        <w:ind w:hanging="2"/>
        <w:jc w:val="center"/>
        <w:rPr>
          <w:b/>
          <w:snapToGrid w:val="0"/>
          <w:kern w:val="0"/>
          <w:sz w:val="28"/>
        </w:rPr>
      </w:pPr>
    </w:p>
    <w:p>
      <w:pPr>
        <w:widowControl/>
        <w:jc w:val="left"/>
        <w:rPr>
          <w:b/>
          <w:snapToGrid w:val="0"/>
          <w:kern w:val="0"/>
          <w:sz w:val="28"/>
        </w:rPr>
      </w:pPr>
      <w:r>
        <w:rPr>
          <w:b/>
          <w:snapToGrid w:val="0"/>
          <w:kern w:val="0"/>
          <w:sz w:val="28"/>
        </w:rPr>
        <w:br w:type="page"/>
      </w:r>
    </w:p>
    <w:p>
      <w:pPr>
        <w:adjustRightInd w:val="0"/>
        <w:spacing w:line="300" w:lineRule="auto"/>
        <w:ind w:hanging="2"/>
        <w:jc w:val="center"/>
        <w:rPr>
          <w:b/>
          <w:snapToGrid w:val="0"/>
          <w:kern w:val="0"/>
          <w:sz w:val="28"/>
        </w:rPr>
      </w:pPr>
    </w:p>
    <w:p>
      <w:pPr>
        <w:pStyle w:val="5"/>
        <w:tabs>
          <w:tab w:val="left" w:pos="0"/>
        </w:tabs>
        <w:jc w:val="center"/>
        <w:rPr>
          <w:rFonts w:ascii="宋体" w:hAnsi="宋体" w:eastAsia="宋体"/>
        </w:rPr>
      </w:pPr>
      <w:r>
        <w:rPr>
          <w:rFonts w:hint="eastAsia" w:ascii="宋体" w:hAnsi="宋体" w:eastAsia="宋体"/>
        </w:rPr>
        <w:t>中小企业声明函</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提供的货物全部由符合政策要求的中小企业制造</w:t>
      </w:r>
      <w:r>
        <w:rPr>
          <w:rFonts w:asciiTheme="minorEastAsia" w:hAnsiTheme="minorEastAsia" w:eastAsiaTheme="minorEastAsia"/>
          <w:szCs w:val="21"/>
        </w:rPr>
        <w:t>。相关企业（含联合体中的中小企业、签订分包意向协议的中小企业）的具体情况如下：</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ab/>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lang w:val="en-US" w:eastAsia="zh-CN"/>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ab/>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lang w:val="en-US" w:eastAsia="zh-CN"/>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0"/>
        <w:spacing w:before="108" w:line="304" w:lineRule="auto"/>
        <w:ind w:right="-1" w:firstLine="408"/>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jc w:val="right"/>
        <w:rPr>
          <w:rFonts w:ascii="宋体" w:hAnsi="宋体"/>
          <w:szCs w:val="21"/>
        </w:rPr>
      </w:pPr>
      <w:r>
        <w:rPr>
          <w:rFonts w:hint="eastAsia" w:ascii="宋体" w:hAnsi="宋体"/>
          <w:szCs w:val="21"/>
        </w:rPr>
        <w:t>企业名称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相关规定。如不符合前述相关规定所确定的</w:t>
      </w:r>
      <w:r>
        <w:rPr>
          <w:rFonts w:hint="eastAsia" w:ascii="宋体" w:hAnsi="宋体"/>
          <w:b/>
          <w:szCs w:val="21"/>
        </w:rPr>
        <w:t>小型和微型企业</w:t>
      </w:r>
      <w:r>
        <w:rPr>
          <w:rFonts w:hint="eastAsia" w:ascii="宋体" w:hAnsi="宋体"/>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r>
        <w:rPr>
          <w:rFonts w:hint="eastAsia" w:ascii="宋体" w:hAnsi="宋体"/>
          <w:szCs w:val="21"/>
        </w:rPr>
        <w:t>3、供应商提供的货物既有中小企业制造货物，也有大型企业制造货物的，不享受中小企业扶持政策。</w:t>
      </w:r>
    </w:p>
    <w:p>
      <w:pPr>
        <w:pStyle w:val="5"/>
        <w:tabs>
          <w:tab w:val="left" w:pos="0"/>
        </w:tabs>
        <w:jc w:val="center"/>
        <w:rPr>
          <w:rFonts w:ascii="宋体" w:hAnsi="宋体" w:eastAsia="宋体"/>
        </w:rPr>
      </w:pPr>
      <w:r>
        <w:rPr>
          <w:rFonts w:hint="eastAsia" w:ascii="宋体" w:hAnsi="宋体" w:eastAsia="宋体"/>
        </w:rPr>
        <w:t>监狱企业声明函</w:t>
      </w:r>
    </w:p>
    <w:p>
      <w:pPr>
        <w:spacing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pStyle w:val="5"/>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单位的项目采购活动提供本单位制造的货物，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jc w:val="left"/>
        <w:rPr>
          <w:rFonts w:ascii="宋体" w:hAnsi="宋体"/>
          <w:szCs w:val="21"/>
        </w:rPr>
      </w:pPr>
      <w:r>
        <w:rPr>
          <w:rFonts w:hint="eastAsia" w:ascii="宋体" w:hAnsi="宋体"/>
          <w:szCs w:val="21"/>
        </w:rPr>
        <w:t xml:space="preserve">    备注：填写前请认真阅读《财政部、民政部、中国残疾人联合会关于促进残疾人就业政府采购政策的通知》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pStyle w:val="5"/>
        <w:tabs>
          <w:tab w:val="left" w:pos="0"/>
        </w:tabs>
        <w:jc w:val="center"/>
        <w:rPr>
          <w:rFonts w:ascii="宋体" w:hAnsi="宋体" w:eastAsia="宋体"/>
        </w:rPr>
      </w:pPr>
      <w:r>
        <w:rPr>
          <w:rFonts w:hint="eastAsia" w:ascii="宋体" w:hAnsi="宋体" w:eastAsia="宋体"/>
        </w:rPr>
        <w:t>列入政府优先采购清单的投标产品一览表</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989"/>
        <w:gridCol w:w="1080"/>
        <w:gridCol w:w="1464"/>
        <w:gridCol w:w="150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restart"/>
            <w:vAlign w:val="center"/>
          </w:tcPr>
          <w:p>
            <w:pPr>
              <w:rPr>
                <w:b/>
                <w:szCs w:val="21"/>
              </w:rPr>
            </w:pPr>
            <w:r>
              <w:rPr>
                <w:rFonts w:hint="eastAsia"/>
                <w:b/>
                <w:szCs w:val="21"/>
              </w:rPr>
              <w:t>序号</w:t>
            </w:r>
          </w:p>
        </w:tc>
        <w:tc>
          <w:tcPr>
            <w:tcW w:w="1213" w:type="dxa"/>
            <w:vMerge w:val="restart"/>
            <w:vAlign w:val="center"/>
          </w:tcPr>
          <w:p>
            <w:pPr>
              <w:jc w:val="center"/>
              <w:rPr>
                <w:b/>
                <w:szCs w:val="21"/>
              </w:rPr>
            </w:pPr>
            <w:r>
              <w:rPr>
                <w:rFonts w:hint="eastAsia"/>
                <w:b/>
                <w:szCs w:val="21"/>
              </w:rPr>
              <w:t>投标产品名称</w:t>
            </w:r>
          </w:p>
        </w:tc>
        <w:tc>
          <w:tcPr>
            <w:tcW w:w="1840" w:type="dxa"/>
            <w:vMerge w:val="restart"/>
            <w:vAlign w:val="center"/>
          </w:tcPr>
          <w:p>
            <w:pPr>
              <w:jc w:val="center"/>
              <w:rPr>
                <w:b/>
                <w:szCs w:val="21"/>
              </w:rPr>
            </w:pPr>
            <w:r>
              <w:rPr>
                <w:rFonts w:hint="eastAsia"/>
                <w:b/>
                <w:szCs w:val="21"/>
              </w:rPr>
              <w:t>规格及型号</w:t>
            </w:r>
          </w:p>
        </w:tc>
        <w:tc>
          <w:tcPr>
            <w:tcW w:w="4351" w:type="dxa"/>
            <w:gridSpan w:val="4"/>
          </w:tcPr>
          <w:p>
            <w:pPr>
              <w:jc w:val="center"/>
              <w:rPr>
                <w:b/>
                <w:szCs w:val="21"/>
              </w:rPr>
            </w:pPr>
            <w:r>
              <w:rPr>
                <w:rFonts w:hint="eastAsia"/>
                <w:b/>
                <w:szCs w:val="21"/>
              </w:rPr>
              <w:t>该投标产品报价及占投标总价的比例</w:t>
            </w:r>
          </w:p>
        </w:tc>
        <w:tc>
          <w:tcPr>
            <w:tcW w:w="1503" w:type="dxa"/>
            <w:vMerge w:val="restart"/>
            <w:vAlign w:val="center"/>
          </w:tcPr>
          <w:p>
            <w:pPr>
              <w:rPr>
                <w:b/>
                <w:szCs w:val="21"/>
              </w:rPr>
            </w:pPr>
            <w:r>
              <w:rPr>
                <w:rFonts w:hint="eastAsia"/>
                <w:b/>
                <w:szCs w:val="21"/>
              </w:rPr>
              <w:t>属于优先采购清单的类别</w:t>
            </w:r>
          </w:p>
        </w:tc>
        <w:tc>
          <w:tcPr>
            <w:tcW w:w="720" w:type="dxa"/>
            <w:vMerge w:val="restart"/>
            <w:vAlign w:val="center"/>
          </w:tcPr>
          <w:p>
            <w:pP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vAlign w:val="center"/>
          </w:tcPr>
          <w:p>
            <w:pPr>
              <w:rPr>
                <w:szCs w:val="21"/>
              </w:rPr>
            </w:pPr>
          </w:p>
        </w:tc>
        <w:tc>
          <w:tcPr>
            <w:tcW w:w="1213" w:type="dxa"/>
            <w:vMerge w:val="continue"/>
            <w:vAlign w:val="center"/>
          </w:tcPr>
          <w:p>
            <w:pPr>
              <w:rPr>
                <w:szCs w:val="21"/>
              </w:rPr>
            </w:pPr>
          </w:p>
        </w:tc>
        <w:tc>
          <w:tcPr>
            <w:tcW w:w="1840" w:type="dxa"/>
            <w:vMerge w:val="continue"/>
            <w:vAlign w:val="center"/>
          </w:tcPr>
          <w:p>
            <w:pPr>
              <w:rPr>
                <w:szCs w:val="21"/>
              </w:rPr>
            </w:pPr>
          </w:p>
        </w:tc>
        <w:tc>
          <w:tcPr>
            <w:tcW w:w="818" w:type="dxa"/>
            <w:vAlign w:val="center"/>
          </w:tcPr>
          <w:p>
            <w:pPr>
              <w:rPr>
                <w:szCs w:val="21"/>
              </w:rPr>
            </w:pPr>
            <w:r>
              <w:rPr>
                <w:rFonts w:hint="eastAsia"/>
                <w:szCs w:val="21"/>
              </w:rPr>
              <w:t>数量</w:t>
            </w:r>
          </w:p>
        </w:tc>
        <w:tc>
          <w:tcPr>
            <w:tcW w:w="989" w:type="dxa"/>
            <w:vAlign w:val="center"/>
          </w:tcPr>
          <w:p>
            <w:pPr>
              <w:rPr>
                <w:szCs w:val="21"/>
              </w:rPr>
            </w:pPr>
            <w:r>
              <w:rPr>
                <w:rFonts w:hint="eastAsia"/>
                <w:szCs w:val="21"/>
              </w:rPr>
              <w:t>投标单价（元）</w:t>
            </w:r>
          </w:p>
        </w:tc>
        <w:tc>
          <w:tcPr>
            <w:tcW w:w="1080" w:type="dxa"/>
            <w:vAlign w:val="center"/>
          </w:tcPr>
          <w:p>
            <w:pPr>
              <w:rPr>
                <w:szCs w:val="21"/>
              </w:rPr>
            </w:pPr>
            <w:r>
              <w:rPr>
                <w:rFonts w:hint="eastAsia"/>
                <w:szCs w:val="21"/>
              </w:rPr>
              <w:t>投标合计报价（元）</w:t>
            </w:r>
          </w:p>
        </w:tc>
        <w:tc>
          <w:tcPr>
            <w:tcW w:w="1464" w:type="dxa"/>
            <w:vAlign w:val="center"/>
          </w:tcPr>
          <w:p>
            <w:pPr>
              <w:rPr>
                <w:szCs w:val="21"/>
              </w:rPr>
            </w:pPr>
            <w:r>
              <w:rPr>
                <w:rFonts w:hint="eastAsia"/>
                <w:szCs w:val="21"/>
              </w:rPr>
              <w:t>占投标总价的比例（%）</w:t>
            </w:r>
          </w:p>
        </w:tc>
        <w:tc>
          <w:tcPr>
            <w:tcW w:w="1503" w:type="dxa"/>
            <w:vMerge w:val="continue"/>
            <w:vAlign w:val="center"/>
          </w:tcPr>
          <w:p>
            <w:pPr>
              <w:rPr>
                <w:szCs w:val="21"/>
              </w:rPr>
            </w:pPr>
          </w:p>
        </w:tc>
        <w:tc>
          <w:tcPr>
            <w:tcW w:w="720"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1</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2</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bl>
    <w:p>
      <w:pPr>
        <w:spacing w:line="360" w:lineRule="auto"/>
        <w:rPr>
          <w:szCs w:val="21"/>
        </w:rPr>
      </w:pPr>
      <w:r>
        <w:rPr>
          <w:rFonts w:hint="eastAsia"/>
          <w:szCs w:val="21"/>
        </w:rPr>
        <w:t>注</w:t>
      </w:r>
      <w:r>
        <w:rPr>
          <w:rFonts w:hint="eastAsia" w:ascii="宋体" w:hAnsi="宋体"/>
          <w:szCs w:val="21"/>
        </w:rPr>
        <w:t xml:space="preserve">：1. </w:t>
      </w:r>
      <w:r>
        <w:rPr>
          <w:rFonts w:hint="eastAsia"/>
          <w:szCs w:val="21"/>
        </w:rPr>
        <w:t>投标人的投标产品若不属于招标文件第四章“政府采购扶持政策</w:t>
      </w:r>
      <w:r>
        <w:rPr>
          <w:rFonts w:hint="eastAsia"/>
          <w:bCs/>
          <w:szCs w:val="21"/>
        </w:rPr>
        <w:t>”</w:t>
      </w:r>
      <w:r>
        <w:rPr>
          <w:rFonts w:hint="eastAsia"/>
          <w:szCs w:val="21"/>
        </w:rPr>
        <w:t>中所述清单或目录范围内，则无需填写该表。</w:t>
      </w:r>
    </w:p>
    <w:p>
      <w:pPr>
        <w:spacing w:line="360" w:lineRule="auto"/>
        <w:rPr>
          <w:rFonts w:ascii="宋体" w:hAnsi="宋体"/>
          <w:szCs w:val="21"/>
        </w:rPr>
      </w:pPr>
      <w:r>
        <w:rPr>
          <w:rFonts w:hint="eastAsia" w:ascii="宋体" w:hAnsi="宋体"/>
          <w:szCs w:val="21"/>
        </w:rPr>
        <w:t>2. “该投标产品报价及占投标总价的比例”栏中须准确填报该投标产品的投标单价、数量、投标合计报价及占</w:t>
      </w:r>
      <w:r>
        <w:rPr>
          <w:rFonts w:hint="eastAsia"/>
          <w:szCs w:val="21"/>
        </w:rPr>
        <w:t>投标总</w:t>
      </w:r>
      <w:r>
        <w:rPr>
          <w:rFonts w:hint="eastAsia" w:ascii="宋体" w:hAnsi="宋体"/>
          <w:szCs w:val="21"/>
        </w:rPr>
        <w:t>价的比例。</w:t>
      </w:r>
    </w:p>
    <w:p>
      <w:pPr>
        <w:spacing w:line="360" w:lineRule="auto"/>
        <w:rPr>
          <w:rFonts w:ascii="宋体" w:hAnsi="宋体"/>
          <w:szCs w:val="21"/>
        </w:rPr>
      </w:pPr>
      <w:r>
        <w:rPr>
          <w:rFonts w:hint="eastAsia" w:ascii="宋体" w:hAnsi="宋体"/>
          <w:szCs w:val="21"/>
        </w:rPr>
        <w:t>3. “属于优先采购清单的类别”栏中填写“《节能产品政府采购品目清单》”、“《环境标志产品政府采购品目清单》”（以</w:t>
      </w:r>
      <w:r>
        <w:rPr>
          <w:rFonts w:hint="eastAsia" w:ascii="宋体" w:hAnsi="宋体"/>
          <w:bCs/>
          <w:szCs w:val="21"/>
        </w:rPr>
        <w:t>中国政府采购网（http://www.ccgp.gov.cn/）最新一期查询结果为准</w:t>
      </w:r>
      <w:r>
        <w:rPr>
          <w:rFonts w:hint="eastAsia" w:ascii="宋体" w:hAnsi="宋体"/>
          <w:szCs w:val="21"/>
        </w:rPr>
        <w:t>）。</w:t>
      </w:r>
    </w:p>
    <w:p>
      <w:pPr>
        <w:spacing w:line="360" w:lineRule="auto"/>
        <w:jc w:val="left"/>
      </w:pPr>
      <w:r>
        <w:rPr>
          <w:rFonts w:hint="eastAsia" w:ascii="宋体" w:hAnsi="宋体"/>
          <w:b/>
          <w:szCs w:val="21"/>
        </w:rPr>
        <w:t>4. 对上表所列</w:t>
      </w:r>
      <w:r>
        <w:rPr>
          <w:rFonts w:ascii="宋体" w:hAnsi="宋体"/>
          <w:b/>
          <w:szCs w:val="21"/>
        </w:rPr>
        <w:t>属于</w:t>
      </w:r>
      <w:r>
        <w:rPr>
          <w:rFonts w:hint="eastAsia" w:ascii="宋体" w:hAnsi="宋体"/>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hint="eastAsia" w:ascii="宋体" w:hAnsi="宋体"/>
          <w:b/>
          <w:szCs w:val="21"/>
        </w:rPr>
        <w:t>内</w:t>
      </w:r>
      <w:r>
        <w:rPr>
          <w:rFonts w:ascii="宋体" w:hAnsi="宋体"/>
          <w:b/>
          <w:szCs w:val="21"/>
        </w:rPr>
        <w:t>的</w:t>
      </w:r>
      <w:r>
        <w:rPr>
          <w:rFonts w:hint="eastAsia" w:ascii="宋体" w:hAnsi="宋体"/>
          <w:b/>
          <w:szCs w:val="21"/>
        </w:rPr>
        <w:t>产品，投标人须提供</w:t>
      </w:r>
      <w:r>
        <w:rPr>
          <w:rFonts w:ascii="宋体" w:hAnsi="宋体"/>
          <w:b/>
          <w:szCs w:val="21"/>
        </w:rPr>
        <w:t>国家确定的认证机构出具的、处于有效期之内的节能产品、环境标志产品认证证书，</w:t>
      </w:r>
      <w:r>
        <w:rPr>
          <w:rFonts w:hint="eastAsia" w:ascii="宋体" w:hAnsi="宋体"/>
          <w:b/>
          <w:szCs w:val="21"/>
        </w:rPr>
        <w:t>以及相应的品目清单，并显著标识投标产品所处位置。</w:t>
      </w:r>
      <w:r>
        <w:rPr>
          <w:rFonts w:hint="eastAsia" w:ascii="宋体" w:hAnsi="宋体"/>
          <w:szCs w:val="21"/>
        </w:rPr>
        <w:t>提供以上证明材料的扫描件或复印件加盖投标人公章，提供的证书若存在不齐全、已过有效期或其他未被评标委员会接受的瑕疵将不予认可。</w:t>
      </w: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left"/>
      </w:pPr>
    </w:p>
    <w:p>
      <w:pPr>
        <w:adjustRightInd w:val="0"/>
        <w:snapToGrid w:val="0"/>
        <w:spacing w:line="360" w:lineRule="auto"/>
        <w:ind w:firstLine="600"/>
        <w:jc w:val="left"/>
      </w:pPr>
    </w:p>
    <w:p>
      <w:pPr>
        <w:widowControl/>
        <w:jc w:val="left"/>
      </w:pPr>
      <w:r>
        <w:br w:type="page"/>
      </w:r>
    </w:p>
    <w:p>
      <w:pPr>
        <w:adjustRightInd w:val="0"/>
        <w:snapToGrid w:val="0"/>
        <w:spacing w:line="360" w:lineRule="auto"/>
        <w:ind w:firstLine="600"/>
        <w:jc w:val="left"/>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7" w:name="_Toc44690433"/>
      <w:bookmarkStart w:id="58" w:name="_Toc44691397"/>
      <w:bookmarkStart w:id="59" w:name="_Toc44690706"/>
      <w:bookmarkStart w:id="60" w:name="_Toc44691165"/>
      <w:r>
        <w:rPr>
          <w:rFonts w:hint="eastAsia" w:asciiTheme="minorEastAsia" w:hAnsiTheme="minorEastAsia" w:eastAsiaTheme="minorEastAsia"/>
          <w:sz w:val="24"/>
        </w:rPr>
        <w:t>格式5  开标一览表</w:t>
      </w:r>
      <w:bookmarkEnd w:id="57"/>
      <w:bookmarkEnd w:id="58"/>
      <w:bookmarkEnd w:id="59"/>
      <w:bookmarkEnd w:id="60"/>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4396"/>
        <w:gridCol w:w="226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97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39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pPr>
              <w:adjustRightInd w:val="0"/>
              <w:snapToGrid w:val="0"/>
              <w:spacing w:line="360" w:lineRule="auto"/>
              <w:jc w:val="center"/>
              <w:rPr>
                <w:snapToGrid w:val="0"/>
                <w:kern w:val="0"/>
              </w:rPr>
            </w:pPr>
            <w:r>
              <w:rPr>
                <w:snapToGrid w:val="0"/>
                <w:kern w:val="0"/>
              </w:rPr>
              <w:t>（人民币元）</w:t>
            </w:r>
          </w:p>
        </w:tc>
        <w:tc>
          <w:tcPr>
            <w:tcW w:w="2261"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2976" w:type="dxa"/>
            <w:tcBorders>
              <w:top w:val="single" w:color="auto" w:sz="4" w:space="0"/>
            </w:tcBorders>
            <w:vAlign w:val="center"/>
          </w:tcPr>
          <w:p>
            <w:pPr>
              <w:adjustRightInd w:val="0"/>
              <w:snapToGrid w:val="0"/>
              <w:spacing w:line="360" w:lineRule="auto"/>
              <w:jc w:val="center"/>
            </w:pPr>
            <w:r>
              <w:rPr>
                <w:rFonts w:hint="eastAsia"/>
              </w:rPr>
              <w:t>鼻阻力仪采购</w:t>
            </w:r>
          </w:p>
        </w:tc>
        <w:tc>
          <w:tcPr>
            <w:tcW w:w="4396" w:type="dxa"/>
            <w:tcBorders>
              <w:top w:val="single" w:color="auto" w:sz="4" w:space="0"/>
            </w:tcBorders>
            <w:vAlign w:val="center"/>
          </w:tcPr>
          <w:p>
            <w:pPr>
              <w:adjustRightInd w:val="0"/>
              <w:snapToGrid w:val="0"/>
              <w:spacing w:line="360" w:lineRule="auto"/>
              <w:rPr>
                <w:snapToGrid w:val="0"/>
                <w:kern w:val="0"/>
                <w:u w:val="single"/>
              </w:rPr>
            </w:pPr>
            <w:r>
              <w:rPr>
                <w:snapToGrid w:val="0"/>
                <w:kern w:val="0"/>
              </w:rPr>
              <w:t>大写：</w:t>
            </w:r>
          </w:p>
          <w:p>
            <w:pPr>
              <w:adjustRightInd w:val="0"/>
              <w:snapToGrid w:val="0"/>
              <w:spacing w:line="360" w:lineRule="auto"/>
              <w:rPr>
                <w:snapToGrid w:val="0"/>
                <w:kern w:val="0"/>
                <w:u w:val="single"/>
              </w:rPr>
            </w:pPr>
            <w:r>
              <w:rPr>
                <w:snapToGrid w:val="0"/>
                <w:kern w:val="0"/>
              </w:rPr>
              <w:t>小写：</w:t>
            </w:r>
          </w:p>
        </w:tc>
        <w:tc>
          <w:tcPr>
            <w:tcW w:w="2261"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bCs/>
        </w:rPr>
        <w:t>投标</w:t>
      </w:r>
      <w:r>
        <w:rPr>
          <w:rFonts w:hint="eastAsia"/>
          <w:snapToGrid w:val="0"/>
          <w:kern w:val="0"/>
        </w:rPr>
        <w:t>总</w:t>
      </w:r>
      <w:r>
        <w:rPr>
          <w:rFonts w:hint="eastAsia" w:ascii="宋体" w:hAnsi="宋体"/>
          <w:bCs/>
        </w:rPr>
        <w:t>价必须是完成该项目的一切费用总和，包含设备费、运输费、装卸费、安装费、调试费、保险费、技术培训费、售后服务费、国家规定的各项税费等全部费用。</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Pr>
        <w:pStyle w:val="28"/>
        <w:adjustRightInd w:val="0"/>
        <w:snapToGrid w:val="0"/>
        <w:spacing w:line="312" w:lineRule="auto"/>
        <w:jc w:val="center"/>
        <w:rPr>
          <w:rFonts w:ascii="Times New Roman" w:hAnsi="Times New Roman"/>
          <w:b/>
          <w:sz w:val="28"/>
        </w:rPr>
      </w:pPr>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1" w:name="_Toc44691166"/>
      <w:bookmarkStart w:id="62" w:name="_Toc44691398"/>
      <w:bookmarkStart w:id="63" w:name="_Toc44690707"/>
      <w:bookmarkStart w:id="64" w:name="_Toc44690434"/>
      <w:r>
        <w:rPr>
          <w:rFonts w:hint="eastAsia" w:asciiTheme="minorEastAsia" w:hAnsiTheme="minorEastAsia" w:eastAsiaTheme="minorEastAsia"/>
          <w:sz w:val="24"/>
        </w:rPr>
        <w:t>格式6  报价表</w:t>
      </w:r>
      <w:bookmarkEnd w:id="61"/>
      <w:bookmarkEnd w:id="62"/>
      <w:bookmarkEnd w:id="63"/>
      <w:bookmarkEnd w:id="64"/>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报价包</w:t>
      </w:r>
      <w:r>
        <w:rPr>
          <w:rFonts w:hint="eastAsia" w:ascii="宋体" w:hAnsi="宋体"/>
          <w:bCs/>
        </w:rPr>
        <w:t>含</w:t>
      </w:r>
      <w:r>
        <w:rPr>
          <w:rFonts w:hint="eastAsia" w:asciiTheme="minorEastAsia" w:hAnsiTheme="minorEastAsia" w:eastAsiaTheme="minorEastAsia"/>
          <w:bCs/>
        </w:rPr>
        <w:t>设备费、运输费、装卸费、安装费、调试费、保险费、技术培训费、售后服务费、国家规定的各项税费等全部费用</w:t>
      </w:r>
      <w:r>
        <w:rPr>
          <w:rFonts w:hint="eastAsia" w:asciiTheme="minorEastAsia" w:hAnsiTheme="minorEastAsia" w:eastAsiaTheme="minorEastAsia"/>
          <w:snapToGrid w:val="0"/>
          <w:kern w:val="0"/>
        </w:rPr>
        <w:t>。</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“分项价格表”应将所有设备报价，并分别列出“品牌、型号、产地及制造厂商”。</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1.4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p>
      <w:pPr>
        <w:adjustRightInd w:val="0"/>
        <w:snapToGrid w:val="0"/>
        <w:spacing w:line="300" w:lineRule="auto"/>
        <w:rPr>
          <w:snapToGrid w:val="0"/>
          <w:kern w:val="0"/>
        </w:rPr>
      </w:pPr>
    </w:p>
    <w:p>
      <w:pPr>
        <w:adjustRightInd w:val="0"/>
        <w:snapToGrid w:val="0"/>
        <w:spacing w:line="300" w:lineRule="auto"/>
        <w:jc w:val="center"/>
        <w:rPr>
          <w:rFonts w:asciiTheme="minorEastAsia" w:hAnsiTheme="minorEastAsia" w:eastAsiaTheme="minorEastAsia"/>
          <w:bCs/>
          <w:snapToGrid w:val="0"/>
          <w:kern w:val="0"/>
          <w:sz w:val="24"/>
          <w:u w:val="single"/>
        </w:rPr>
      </w:pPr>
      <w:r>
        <w:rPr>
          <w:rFonts w:hint="eastAsia" w:asciiTheme="minorEastAsia" w:hAnsiTheme="minorEastAsia" w:eastAsiaTheme="minorEastAsia"/>
          <w:snapToGrid w:val="0"/>
          <w:kern w:val="0"/>
          <w:sz w:val="24"/>
        </w:rPr>
        <w:t>（一）</w:t>
      </w:r>
      <w:r>
        <w:rPr>
          <w:rFonts w:hint="eastAsia" w:asciiTheme="minorEastAsia" w:hAnsiTheme="minorEastAsia" w:eastAsiaTheme="minorEastAsia"/>
          <w:bCs/>
          <w:snapToGrid w:val="0"/>
          <w:kern w:val="0"/>
          <w:sz w:val="24"/>
        </w:rPr>
        <w:t>报价总表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p>
    <w:p>
      <w:pPr>
        <w:adjustRightInd w:val="0"/>
        <w:snapToGrid w:val="0"/>
        <w:spacing w:line="300" w:lineRule="auto"/>
        <w:rPr>
          <w:rFonts w:asciiTheme="minorEastAsia" w:hAnsiTheme="minorEastAsia" w:eastAsiaTheme="minorEastAsia"/>
          <w:bCs/>
          <w:snapToGrid w:val="0"/>
          <w:kern w:val="0"/>
        </w:rPr>
      </w:pPr>
      <w:r>
        <w:rPr>
          <w:rFonts w:hint="eastAsia" w:asciiTheme="minorEastAsia" w:hAnsiTheme="minorEastAsia" w:eastAsiaTheme="minorEastAsia"/>
          <w:bCs/>
          <w:snapToGrid w:val="0"/>
          <w:kern w:val="0"/>
        </w:rPr>
        <w:t>项目编号：</w:t>
      </w:r>
    </w:p>
    <w:tbl>
      <w:tblPr>
        <w:tblStyle w:val="50"/>
        <w:tblW w:w="1051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4939"/>
        <w:gridCol w:w="483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序号</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名称</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总价（单位：元）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设备费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运输费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装卸费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安装费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调试费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保险费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技术培训费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售后服务费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国家规定的各项税费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其它</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85" w:type="dxa"/>
            <w:gridSpan w:val="2"/>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   计</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bl>
    <w:p>
      <w:pPr>
        <w:rPr>
          <w:rFonts w:asciiTheme="minorEastAsia" w:hAnsiTheme="minorEastAsia" w:eastAsiaTheme="minorEastAsia"/>
          <w:szCs w:val="21"/>
        </w:rPr>
      </w:pPr>
      <w:r>
        <w:rPr>
          <w:rFonts w:hint="eastAsia" w:asciiTheme="minorEastAsia" w:hAnsiTheme="minorEastAsia" w:eastAsiaTheme="minorEastAsia"/>
          <w:szCs w:val="21"/>
        </w:rPr>
        <w:t>备注：1、</w:t>
      </w:r>
      <w:r>
        <w:rPr>
          <w:rFonts w:hint="eastAsia" w:asciiTheme="minorEastAsia" w:hAnsiTheme="minorEastAsia" w:eastAsiaTheme="minorEastAsia"/>
          <w:bCs/>
          <w:szCs w:val="21"/>
        </w:rPr>
        <w:t>本表格仅为指导性范本，供应商可根据项目具体情况对各分项内容进行调整。</w:t>
      </w:r>
    </w:p>
    <w:p>
      <w:pPr>
        <w:adjustRightInd w:val="0"/>
        <w:jc w:val="left"/>
        <w:rPr>
          <w:rFonts w:asciiTheme="minorEastAsia" w:hAnsiTheme="minorEastAsia" w:eastAsiaTheme="minorEastAsia"/>
          <w:snapToGrid w:val="0"/>
          <w:kern w:val="0"/>
          <w:szCs w:val="21"/>
        </w:rPr>
      </w:pPr>
      <w:r>
        <w:rPr>
          <w:rFonts w:hint="eastAsia" w:asciiTheme="minorEastAsia" w:hAnsiTheme="minorEastAsia" w:eastAsiaTheme="minorEastAsia"/>
          <w:szCs w:val="21"/>
        </w:rPr>
        <w:t xml:space="preserve">      2、</w:t>
      </w:r>
      <w:r>
        <w:rPr>
          <w:rFonts w:hint="eastAsia" w:asciiTheme="minorEastAsia" w:hAnsiTheme="minorEastAsia" w:eastAsiaTheme="minorEastAsia"/>
        </w:rPr>
        <w:t>开标一览表中的投标</w:t>
      </w:r>
      <w:r>
        <w:rPr>
          <w:rFonts w:hint="eastAsia"/>
          <w:snapToGrid w:val="0"/>
          <w:kern w:val="0"/>
        </w:rPr>
        <w:t>总</w:t>
      </w:r>
      <w:r>
        <w:rPr>
          <w:rFonts w:hint="eastAsia" w:asciiTheme="minorEastAsia" w:hAnsiTheme="minorEastAsia" w:eastAsiaTheme="minorEastAsia"/>
        </w:rPr>
        <w:t>价应与本表中的报价合计金额一致</w:t>
      </w:r>
      <w:r>
        <w:rPr>
          <w:rFonts w:hint="eastAsia" w:asciiTheme="minorEastAsia" w:hAnsiTheme="minorEastAsia" w:eastAsiaTheme="minorEastAsia"/>
          <w:szCs w:val="21"/>
        </w:rPr>
        <w:t>。</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bCs/>
        </w:rPr>
      </w:pPr>
      <w:r>
        <w:rPr>
          <w:rFonts w:hint="eastAsia" w:asciiTheme="minorEastAsia" w:hAnsiTheme="minorEastAsia" w:eastAsiaTheme="minorEastAsia"/>
          <w:snapToGrid w:val="0"/>
          <w:kern w:val="0"/>
          <w:sz w:val="24"/>
        </w:rPr>
        <w:t>（二）</w:t>
      </w:r>
      <w:r>
        <w:rPr>
          <w:rFonts w:asciiTheme="minorEastAsia" w:hAnsiTheme="minorEastAsia" w:eastAsiaTheme="minorEastAsia"/>
          <w:snapToGrid w:val="0"/>
          <w:kern w:val="0"/>
          <w:sz w:val="24"/>
        </w:rPr>
        <w:t>分项价格表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p>
    <w:p>
      <w:pPr>
        <w:adjustRightInd w:val="0"/>
        <w:snapToGrid w:val="0"/>
        <w:spacing w:line="300" w:lineRule="auto"/>
        <w:rPr>
          <w:rFonts w:asciiTheme="minorEastAsia" w:hAnsiTheme="minorEastAsia" w:eastAsiaTheme="minorEastAsia"/>
          <w:snapToGrid w:val="0"/>
          <w:kern w:val="0"/>
          <w:sz w:val="24"/>
        </w:rPr>
      </w:pPr>
      <w:r>
        <w:rPr>
          <w:rFonts w:hint="eastAsia" w:asciiTheme="minorEastAsia" w:hAnsiTheme="minorEastAsia" w:eastAsiaTheme="minorEastAsia"/>
          <w:bCs/>
          <w:snapToGrid w:val="0"/>
          <w:kern w:val="0"/>
        </w:rPr>
        <w:t>项目编号：</w:t>
      </w:r>
    </w:p>
    <w:tbl>
      <w:tblPr>
        <w:tblStyle w:val="50"/>
        <w:tblW w:w="10565"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821"/>
        <w:gridCol w:w="709"/>
        <w:gridCol w:w="851"/>
        <w:gridCol w:w="1417"/>
        <w:gridCol w:w="992"/>
        <w:gridCol w:w="651"/>
        <w:gridCol w:w="725"/>
        <w:gridCol w:w="709"/>
        <w:gridCol w:w="773"/>
        <w:gridCol w:w="12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序号</w:t>
            </w:r>
          </w:p>
        </w:tc>
        <w:tc>
          <w:tcPr>
            <w:tcW w:w="182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货物</w:t>
            </w:r>
            <w:r>
              <w:rPr>
                <w:rFonts w:asciiTheme="minorEastAsia" w:hAnsiTheme="minorEastAsia" w:eastAsiaTheme="minorEastAsia"/>
                <w:snapToGrid w:val="0"/>
                <w:kern w:val="0"/>
              </w:rPr>
              <w:t>名称</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品牌</w:t>
            </w: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zCs w:val="21"/>
              </w:rPr>
              <w:t>规格/型号</w:t>
            </w: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制造厂商</w:t>
            </w: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原产地</w:t>
            </w: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数量</w:t>
            </w: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单位</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单价</w:t>
            </w:r>
          </w:p>
        </w:tc>
        <w:tc>
          <w:tcPr>
            <w:tcW w:w="77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w:t>
            </w:r>
            <w:r>
              <w:rPr>
                <w:rFonts w:asciiTheme="minorEastAsia" w:hAnsiTheme="minorEastAsia" w:eastAsiaTheme="minorEastAsia"/>
                <w:snapToGrid w:val="0"/>
                <w:kern w:val="0"/>
              </w:rPr>
              <w:t>价</w:t>
            </w:r>
          </w:p>
        </w:tc>
        <w:tc>
          <w:tcPr>
            <w:tcW w:w="1248" w:type="dxa"/>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是否为进口产品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2</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3</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4</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5</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565" w:type="dxa"/>
            <w:gridSpan w:val="11"/>
            <w:vAlign w:val="center"/>
          </w:tcPr>
          <w:p>
            <w:pPr>
              <w:adjustRightInd w:val="0"/>
              <w:snapToGrid w:val="0"/>
              <w:spacing w:line="300" w:lineRule="auto"/>
              <w:jc w:val="left"/>
              <w:rPr>
                <w:rFonts w:asciiTheme="minorEastAsia" w:hAnsiTheme="minorEastAsia" w:eastAsiaTheme="minorEastAsia"/>
                <w:snapToGrid w:val="0"/>
                <w:kern w:val="0"/>
              </w:rPr>
            </w:pPr>
            <w:r>
              <w:rPr>
                <w:rFonts w:hint="eastAsia" w:asciiTheme="minorEastAsia" w:hAnsiTheme="minorEastAsia" w:eastAsiaTheme="minorEastAsia"/>
                <w:sz w:val="24"/>
              </w:rPr>
              <w:t>总计（即投标总价；币种：人民币；单位：元）：</w:t>
            </w:r>
          </w:p>
        </w:tc>
      </w:tr>
    </w:tbl>
    <w:p>
      <w:pPr>
        <w:rPr>
          <w:rFonts w:asciiTheme="minorEastAsia" w:hAnsiTheme="minorEastAsia" w:eastAsiaTheme="minorEastAsia"/>
        </w:rPr>
      </w:pPr>
      <w:r>
        <w:rPr>
          <w:rFonts w:hint="eastAsia" w:asciiTheme="minorEastAsia" w:hAnsiTheme="minorEastAsia" w:eastAsiaTheme="minorEastAsia"/>
          <w:snapToGrid w:val="0"/>
          <w:kern w:val="0"/>
        </w:rPr>
        <w:t>注：</w:t>
      </w:r>
      <w:r>
        <w:rPr>
          <w:rFonts w:hint="eastAsia" w:asciiTheme="minorEastAsia" w:hAnsiTheme="minorEastAsia" w:eastAsiaTheme="minorEastAsia"/>
        </w:rPr>
        <w:t>1. 本表</w:t>
      </w:r>
      <w:r>
        <w:rPr>
          <w:rFonts w:asciiTheme="minorEastAsia" w:hAnsiTheme="minorEastAsia" w:eastAsiaTheme="minorEastAsia"/>
        </w:rPr>
        <w:t>应</w:t>
      </w:r>
      <w:r>
        <w:rPr>
          <w:rFonts w:hint="eastAsia" w:asciiTheme="minorEastAsia" w:hAnsiTheme="minorEastAsia" w:eastAsiaTheme="minorEastAsia"/>
        </w:rPr>
        <w:t>根据</w:t>
      </w:r>
      <w:r>
        <w:rPr>
          <w:rFonts w:hint="eastAsia" w:ascii="宋体" w:hAnsi="宋体" w:cs="Arial"/>
          <w:bCs/>
          <w:szCs w:val="21"/>
        </w:rPr>
        <w:t>招标文件第二章《项目需求》中</w:t>
      </w:r>
      <w:r>
        <w:rPr>
          <w:rFonts w:hint="eastAsia" w:asciiTheme="minorEastAsia" w:hAnsiTheme="minorEastAsia" w:eastAsiaTheme="minorEastAsia"/>
        </w:rPr>
        <w:t>“一、采购范围”的</w:t>
      </w:r>
      <w:r>
        <w:rPr>
          <w:rFonts w:hint="eastAsia" w:asciiTheme="minorEastAsia" w:hAnsiTheme="minorEastAsia" w:eastAsiaTheme="minorEastAsia"/>
          <w:b/>
          <w:szCs w:val="21"/>
        </w:rPr>
        <w:t>“（二）货物清单明细”</w:t>
      </w:r>
      <w:r>
        <w:rPr>
          <w:rFonts w:hint="eastAsia" w:asciiTheme="minorEastAsia" w:hAnsiTheme="minorEastAsia" w:eastAsiaTheme="minorEastAsia"/>
        </w:rPr>
        <w:t>填写</w:t>
      </w:r>
      <w:r>
        <w:rPr>
          <w:rFonts w:asciiTheme="minorEastAsia" w:hAnsiTheme="minorEastAsia" w:eastAsiaTheme="minorEastAsia"/>
        </w:rPr>
        <w:t>，</w:t>
      </w:r>
      <w:r>
        <w:rPr>
          <w:rFonts w:hint="eastAsia" w:asciiTheme="minorEastAsia" w:hAnsiTheme="minorEastAsia" w:eastAsiaTheme="minorEastAsia"/>
          <w:b/>
        </w:rPr>
        <w:t>本表格式不得修改</w:t>
      </w:r>
      <w:r>
        <w:rPr>
          <w:rFonts w:hint="eastAsia" w:asciiTheme="minorEastAsia" w:hAnsiTheme="minorEastAsia" w:eastAsiaTheme="minorEastAsia"/>
        </w:rPr>
        <w:t>（续行除外）。</w:t>
      </w:r>
      <w:r>
        <w:rPr>
          <w:rFonts w:hint="eastAsia" w:asciiTheme="minorEastAsia" w:hAnsiTheme="minorEastAsia" w:eastAsiaTheme="minorEastAsia"/>
          <w:b/>
        </w:rPr>
        <w:t>对于定制类产品，可以不填写品牌、型号等信息，但必须注明“定制”，否则该产品技术参数按负偏离处理</w:t>
      </w:r>
      <w:r>
        <w:rPr>
          <w:rFonts w:asciiTheme="minorEastAsia" w:hAnsiTheme="minorEastAsia" w:eastAsiaTheme="minorEastAsia"/>
          <w:b/>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2、</w:t>
      </w:r>
      <w:r>
        <w:rPr>
          <w:rFonts w:hint="eastAsia" w:ascii="宋体" w:hAnsi="宋体"/>
          <w:szCs w:val="21"/>
        </w:rPr>
        <w:t>投标人必须对照进口产品的规定明确其投标产品是否为进口产品。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r>
        <w:rPr>
          <w:rFonts w:hint="eastAsia" w:asciiTheme="minorEastAsia" w:hAnsiTheme="minorEastAsia" w:eastAsiaTheme="minorEastAsia"/>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3、投标总价应为以上各分项价格之和；投标总价和表中单个采购条目报价均不得超过对应的财政预算限额，否则将导致无效投标。</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4、开标一览表中的投标</w:t>
      </w:r>
      <w:r>
        <w:rPr>
          <w:rFonts w:hint="eastAsia"/>
          <w:snapToGrid w:val="0"/>
          <w:kern w:val="0"/>
        </w:rPr>
        <w:t>总</w:t>
      </w:r>
      <w:r>
        <w:rPr>
          <w:rFonts w:hint="eastAsia" w:asciiTheme="minorEastAsia" w:hAnsiTheme="minorEastAsia" w:eastAsiaTheme="minorEastAsia"/>
        </w:rPr>
        <w:t>价应与本表中的投标总价金额一致。</w:t>
      </w:r>
    </w:p>
    <w:p>
      <w:pPr>
        <w:adjustRightInd w:val="0"/>
        <w:snapToGrid w:val="0"/>
        <w:spacing w:line="300" w:lineRule="auto"/>
        <w:rPr>
          <w:rFonts w:asciiTheme="minorEastAsia" w:hAnsiTheme="minorEastAsia" w:eastAsiaTheme="minorEastAsia"/>
          <w:snapToGrid w:val="0"/>
          <w:kern w:val="0"/>
        </w:rPr>
      </w:pPr>
      <w:r>
        <w:rPr>
          <w:rFonts w:hint="eastAsia" w:asciiTheme="minorEastAsia" w:hAnsiTheme="minorEastAsia" w:eastAsiaTheme="minorEastAsia"/>
        </w:rPr>
        <w:t>5、“原产地”是指该产品的实际生产加工地，而非品牌总公司所在地。</w:t>
      </w:r>
    </w:p>
    <w:p>
      <w:pPr>
        <w:adjustRightInd w:val="0"/>
        <w:snapToGrid w:val="0"/>
        <w:spacing w:line="300" w:lineRule="auto"/>
        <w:jc w:val="center"/>
        <w:rPr>
          <w:rFonts w:asciiTheme="minorEastAsia" w:hAnsiTheme="minorEastAsia" w:eastAsiaTheme="minorEastAsia"/>
          <w:snapToGrid w:val="0"/>
          <w:kern w:val="0"/>
        </w:rPr>
      </w:pP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（三）【可选】零配件、消耗品和延续保修合同报价明细清单</w:t>
      </w: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（该部分报价不包括在投标总价内）</w:t>
      </w:r>
    </w:p>
    <w:tbl>
      <w:tblPr>
        <w:tblStyle w:val="50"/>
        <w:tblW w:w="902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136"/>
        <w:gridCol w:w="1843"/>
        <w:gridCol w:w="1417"/>
        <w:gridCol w:w="1134"/>
        <w:gridCol w:w="267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snapToGrid w:val="0"/>
                <w:color w:val="000000"/>
                <w:kern w:val="0"/>
              </w:rPr>
              <w:t>序号</w:t>
            </w:r>
          </w:p>
        </w:tc>
        <w:tc>
          <w:tcPr>
            <w:tcW w:w="1136" w:type="dxa"/>
            <w:vAlign w:val="center"/>
          </w:tcPr>
          <w:p>
            <w:pPr>
              <w:adjustRightInd w:val="0"/>
              <w:snapToGrid w:val="0"/>
              <w:spacing w:line="300" w:lineRule="auto"/>
              <w:jc w:val="center"/>
              <w:rPr>
                <w:snapToGrid w:val="0"/>
                <w:kern w:val="0"/>
              </w:rPr>
            </w:pPr>
            <w:r>
              <w:rPr>
                <w:rFonts w:hint="eastAsia"/>
                <w:snapToGrid w:val="0"/>
                <w:kern w:val="0"/>
              </w:rPr>
              <w:t>货物</w:t>
            </w:r>
            <w:r>
              <w:rPr>
                <w:snapToGrid w:val="0"/>
                <w:kern w:val="0"/>
              </w:rPr>
              <w:t>名称</w:t>
            </w:r>
          </w:p>
        </w:tc>
        <w:tc>
          <w:tcPr>
            <w:tcW w:w="1843" w:type="dxa"/>
            <w:vAlign w:val="center"/>
          </w:tcPr>
          <w:p>
            <w:pPr>
              <w:adjustRightInd w:val="0"/>
              <w:snapToGrid w:val="0"/>
              <w:spacing w:line="300" w:lineRule="auto"/>
              <w:jc w:val="center"/>
              <w:rPr>
                <w:snapToGrid w:val="0"/>
                <w:kern w:val="0"/>
              </w:rPr>
            </w:pPr>
            <w:r>
              <w:rPr>
                <w:rFonts w:hint="eastAsia"/>
                <w:szCs w:val="21"/>
              </w:rPr>
              <w:t>规格/型号</w:t>
            </w:r>
          </w:p>
        </w:tc>
        <w:tc>
          <w:tcPr>
            <w:tcW w:w="1417" w:type="dxa"/>
            <w:vAlign w:val="center"/>
          </w:tcPr>
          <w:p>
            <w:pPr>
              <w:adjustRightInd w:val="0"/>
              <w:snapToGrid w:val="0"/>
              <w:spacing w:line="300" w:lineRule="auto"/>
              <w:jc w:val="center"/>
              <w:rPr>
                <w:snapToGrid w:val="0"/>
                <w:kern w:val="0"/>
              </w:rPr>
            </w:pPr>
            <w:r>
              <w:rPr>
                <w:snapToGrid w:val="0"/>
                <w:kern w:val="0"/>
              </w:rPr>
              <w:t>制造厂商</w:t>
            </w:r>
          </w:p>
        </w:tc>
        <w:tc>
          <w:tcPr>
            <w:tcW w:w="1134" w:type="dxa"/>
            <w:vAlign w:val="center"/>
          </w:tcPr>
          <w:p>
            <w:pPr>
              <w:adjustRightInd w:val="0"/>
              <w:snapToGrid w:val="0"/>
              <w:spacing w:line="300" w:lineRule="auto"/>
              <w:jc w:val="center"/>
              <w:rPr>
                <w:snapToGrid w:val="0"/>
                <w:kern w:val="0"/>
              </w:rPr>
            </w:pPr>
            <w:r>
              <w:rPr>
                <w:rFonts w:hint="eastAsia"/>
                <w:snapToGrid w:val="0"/>
                <w:kern w:val="0"/>
              </w:rPr>
              <w:t>原产地</w:t>
            </w:r>
          </w:p>
        </w:tc>
        <w:tc>
          <w:tcPr>
            <w:tcW w:w="2670" w:type="dxa"/>
            <w:vAlign w:val="center"/>
          </w:tcPr>
          <w:p>
            <w:pPr>
              <w:jc w:val="center"/>
              <w:rPr>
                <w:szCs w:val="21"/>
              </w:rPr>
            </w:pPr>
            <w:r>
              <w:rPr>
                <w:rFonts w:hint="eastAsia"/>
                <w:szCs w:val="21"/>
              </w:rPr>
              <w:t>单价(元)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rFonts w:hint="eastAsia"/>
                <w:snapToGrid w:val="0"/>
                <w:color w:val="000000"/>
                <w:kern w:val="0"/>
              </w:rPr>
              <w:t>1</w:t>
            </w: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rFonts w:hint="eastAsia"/>
                <w:snapToGrid w:val="0"/>
                <w:color w:val="000000"/>
                <w:kern w:val="0"/>
              </w:rPr>
              <w:t>...</w:t>
            </w: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bl>
    <w:p>
      <w:pPr>
        <w:adjustRightInd w:val="0"/>
        <w:snapToGrid w:val="0"/>
        <w:spacing w:line="300" w:lineRule="auto"/>
        <w:rPr>
          <w:snapToGrid w:val="0"/>
          <w:color w:val="000000"/>
          <w:kern w:val="0"/>
        </w:rPr>
      </w:pPr>
    </w:p>
    <w:tbl>
      <w:tblPr>
        <w:tblStyle w:val="50"/>
        <w:tblW w:w="9074"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1"/>
        <w:gridCol w:w="2543"/>
        <w:gridCol w:w="2797"/>
        <w:gridCol w:w="269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jc w:val="center"/>
              <w:rPr>
                <w:szCs w:val="21"/>
              </w:rPr>
            </w:pPr>
            <w:r>
              <w:rPr>
                <w:rFonts w:hint="eastAsia"/>
                <w:szCs w:val="21"/>
              </w:rPr>
              <w:t>序号</w:t>
            </w:r>
          </w:p>
        </w:tc>
        <w:tc>
          <w:tcPr>
            <w:tcW w:w="2543" w:type="dxa"/>
          </w:tcPr>
          <w:p>
            <w:pPr>
              <w:jc w:val="center"/>
              <w:rPr>
                <w:szCs w:val="21"/>
              </w:rPr>
            </w:pPr>
            <w:r>
              <w:rPr>
                <w:rFonts w:hint="eastAsia"/>
                <w:szCs w:val="21"/>
              </w:rPr>
              <w:t>服务名称</w:t>
            </w:r>
          </w:p>
        </w:tc>
        <w:tc>
          <w:tcPr>
            <w:tcW w:w="2797" w:type="dxa"/>
          </w:tcPr>
          <w:p>
            <w:pPr>
              <w:jc w:val="center"/>
              <w:rPr>
                <w:szCs w:val="21"/>
              </w:rPr>
            </w:pPr>
            <w:r>
              <w:rPr>
                <w:rFonts w:hint="eastAsia"/>
                <w:szCs w:val="21"/>
              </w:rPr>
              <w:t>服务内容</w:t>
            </w:r>
          </w:p>
        </w:tc>
        <w:tc>
          <w:tcPr>
            <w:tcW w:w="2693" w:type="dxa"/>
          </w:tcPr>
          <w:p>
            <w:pPr>
              <w:jc w:val="center"/>
              <w:rPr>
                <w:szCs w:val="21"/>
              </w:rPr>
            </w:pPr>
            <w:r>
              <w:rPr>
                <w:rFonts w:hint="eastAsia"/>
                <w:szCs w:val="21"/>
              </w:rPr>
              <w:t>价格（元）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r>
              <w:rPr>
                <w:rFonts w:hint="eastAsia"/>
                <w:szCs w:val="21"/>
              </w:rPr>
              <w:t>1</w:t>
            </w:r>
          </w:p>
        </w:tc>
        <w:tc>
          <w:tcPr>
            <w:tcW w:w="2543" w:type="dxa"/>
          </w:tcPr>
          <w:p>
            <w:pPr>
              <w:jc w:val="center"/>
              <w:rPr>
                <w:szCs w:val="21"/>
              </w:rPr>
            </w:pPr>
            <w:r>
              <w:rPr>
                <w:rFonts w:hint="eastAsia"/>
                <w:szCs w:val="21"/>
              </w:rPr>
              <w:t>延续保修合同</w:t>
            </w:r>
          </w:p>
        </w:tc>
        <w:tc>
          <w:tcPr>
            <w:tcW w:w="2797" w:type="dxa"/>
          </w:tcPr>
          <w:p>
            <w:pPr>
              <w:jc w:val="center"/>
              <w:rPr>
                <w:rFonts w:hAnsi="宋体"/>
                <w:b/>
                <w:bCs/>
                <w:szCs w:val="21"/>
              </w:rPr>
            </w:pPr>
          </w:p>
        </w:tc>
        <w:tc>
          <w:tcPr>
            <w:tcW w:w="2693" w:type="dxa"/>
          </w:tcPr>
          <w:p>
            <w:pPr>
              <w:jc w:val="center"/>
              <w:rPr>
                <w:rFonts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r>
              <w:rPr>
                <w:szCs w:val="21"/>
              </w:rPr>
              <w:t>…</w:t>
            </w:r>
          </w:p>
        </w:tc>
        <w:tc>
          <w:tcPr>
            <w:tcW w:w="2543" w:type="dxa"/>
          </w:tcPr>
          <w:p>
            <w:pPr>
              <w:jc w:val="center"/>
              <w:rPr>
                <w:szCs w:val="21"/>
              </w:rPr>
            </w:pPr>
          </w:p>
        </w:tc>
        <w:tc>
          <w:tcPr>
            <w:tcW w:w="2797" w:type="dxa"/>
          </w:tcPr>
          <w:p>
            <w:pPr>
              <w:jc w:val="center"/>
              <w:rPr>
                <w:rFonts w:hAnsi="宋体"/>
                <w:b/>
                <w:bCs/>
                <w:szCs w:val="21"/>
              </w:rPr>
            </w:pPr>
          </w:p>
        </w:tc>
        <w:tc>
          <w:tcPr>
            <w:tcW w:w="2693" w:type="dxa"/>
          </w:tcPr>
          <w:p>
            <w:pPr>
              <w:jc w:val="center"/>
              <w:rPr>
                <w:rFonts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p>
        </w:tc>
        <w:tc>
          <w:tcPr>
            <w:tcW w:w="2543" w:type="dxa"/>
          </w:tcPr>
          <w:p>
            <w:pPr>
              <w:jc w:val="center"/>
              <w:rPr>
                <w:szCs w:val="21"/>
              </w:rPr>
            </w:pPr>
          </w:p>
        </w:tc>
        <w:tc>
          <w:tcPr>
            <w:tcW w:w="2797" w:type="dxa"/>
          </w:tcPr>
          <w:p>
            <w:pPr>
              <w:jc w:val="center"/>
              <w:rPr>
                <w:rFonts w:hAnsi="宋体"/>
                <w:b/>
                <w:bCs/>
                <w:szCs w:val="21"/>
              </w:rPr>
            </w:pPr>
          </w:p>
        </w:tc>
        <w:tc>
          <w:tcPr>
            <w:tcW w:w="2693" w:type="dxa"/>
          </w:tcPr>
          <w:p>
            <w:pPr>
              <w:jc w:val="center"/>
              <w:rPr>
                <w:rFonts w:hAnsi="宋体"/>
                <w:b/>
                <w:bCs/>
                <w:szCs w:val="21"/>
              </w:rPr>
            </w:pPr>
          </w:p>
        </w:tc>
      </w:tr>
    </w:tbl>
    <w:p>
      <w:pPr>
        <w:adjustRightInd w:val="0"/>
        <w:snapToGrid w:val="0"/>
        <w:spacing w:line="300" w:lineRule="auto"/>
        <w:ind w:firstLine="285" w:firstLineChars="135"/>
        <w:jc w:val="left"/>
        <w:rPr>
          <w:rFonts w:asciiTheme="minorEastAsia" w:hAnsiTheme="minorEastAsia" w:eastAsiaTheme="minorEastAsia"/>
          <w:b/>
          <w:snapToGrid w:val="0"/>
          <w:color w:val="000000"/>
          <w:kern w:val="0"/>
        </w:rPr>
      </w:pPr>
      <w:r>
        <w:rPr>
          <w:rFonts w:hint="eastAsia" w:asciiTheme="minorEastAsia" w:hAnsiTheme="minorEastAsia" w:eastAsiaTheme="minorEastAsia"/>
          <w:b/>
          <w:snapToGrid w:val="0"/>
          <w:color w:val="000000"/>
          <w:kern w:val="0"/>
        </w:rPr>
        <w:t>注：价格最高的前</w:t>
      </w:r>
      <w:r>
        <w:rPr>
          <w:rFonts w:asciiTheme="minorEastAsia" w:hAnsiTheme="minorEastAsia" w:eastAsiaTheme="minorEastAsia"/>
          <w:b/>
          <w:snapToGrid w:val="0"/>
          <w:color w:val="000000"/>
          <w:kern w:val="0"/>
        </w:rPr>
        <w:t>5</w:t>
      </w:r>
      <w:r>
        <w:rPr>
          <w:rFonts w:hint="eastAsia" w:asciiTheme="minorEastAsia" w:hAnsiTheme="minorEastAsia" w:eastAsiaTheme="minorEastAsia"/>
          <w:b/>
          <w:snapToGrid w:val="0"/>
          <w:color w:val="000000"/>
          <w:kern w:val="0"/>
        </w:rPr>
        <w:t>项零配件、消耗品和延续保修合同的报价明细需填写于此表。</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（四）</w:t>
      </w:r>
      <w:r>
        <w:rPr>
          <w:rFonts w:hint="eastAsia" w:ascii="宋体" w:hAnsi="宋体" w:cs="宋体"/>
          <w:color w:val="000000"/>
          <w:kern w:val="0"/>
          <w:sz w:val="24"/>
        </w:rPr>
        <w:t>【可选】</w:t>
      </w:r>
      <w:r>
        <w:rPr>
          <w:rFonts w:hint="eastAsia" w:asciiTheme="minorEastAsia" w:hAnsiTheme="minorEastAsia" w:eastAsiaTheme="minorEastAsia"/>
          <w:bCs/>
          <w:sz w:val="24"/>
        </w:rPr>
        <w:t>供应商认为需要涉及的其他内容报价清单</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wordWrap w:val="0"/>
        <w:adjustRightInd w:val="0"/>
        <w:snapToGrid w:val="0"/>
        <w:spacing w:line="300" w:lineRule="auto"/>
        <w:jc w:val="right"/>
      </w:pPr>
      <w:r>
        <w:rPr>
          <w:rFonts w:hint="eastAsia"/>
          <w:snapToGrid w:val="0"/>
          <w:kern w:val="0"/>
        </w:rPr>
        <w:t>年    月   日</w:t>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5" w:name="_Toc44691167"/>
      <w:bookmarkStart w:id="66" w:name="_Toc44690435"/>
      <w:bookmarkStart w:id="67" w:name="_Toc44690708"/>
      <w:bookmarkStart w:id="68" w:name="_Toc44691399"/>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格式7  技术规格</w:t>
      </w:r>
      <w:bookmarkEnd w:id="65"/>
      <w:bookmarkEnd w:id="66"/>
      <w:bookmarkEnd w:id="67"/>
      <w:bookmarkEnd w:id="68"/>
    </w:p>
    <w:p>
      <w:pPr>
        <w:pStyle w:val="7"/>
      </w:pPr>
    </w:p>
    <w:p>
      <w:pPr>
        <w:spacing w:line="360" w:lineRule="auto"/>
        <w:ind w:left="420"/>
        <w:rPr>
          <w:rFonts w:ascii="宋体" w:hAnsi="宋体"/>
        </w:rPr>
      </w:pPr>
      <w:r>
        <w:rPr>
          <w:rFonts w:hint="eastAsia" w:ascii="宋体" w:hAnsi="宋体"/>
        </w:rPr>
        <w:t>1、对投标产品的整体描述（包括采用文字、表格等形式）</w:t>
      </w:r>
    </w:p>
    <w:p>
      <w:pPr>
        <w:spacing w:line="360" w:lineRule="auto"/>
        <w:ind w:left="420"/>
        <w:rPr>
          <w:rFonts w:ascii="宋体" w:hAnsi="宋体"/>
        </w:rPr>
      </w:pPr>
      <w:r>
        <w:rPr>
          <w:rFonts w:hint="eastAsia" w:ascii="宋体" w:hAnsi="宋体"/>
        </w:rPr>
        <w:t>2、投标产品采用的技术标准</w:t>
      </w:r>
    </w:p>
    <w:p>
      <w:pPr>
        <w:spacing w:line="360" w:lineRule="auto"/>
        <w:ind w:left="420"/>
        <w:rPr>
          <w:rFonts w:ascii="宋体" w:hAnsi="宋体"/>
        </w:rPr>
      </w:pPr>
      <w:r>
        <w:rPr>
          <w:rFonts w:hint="eastAsia" w:ascii="宋体" w:hAnsi="宋体"/>
        </w:rPr>
        <w:t>3、投标产品的性能特点（包括新技术、新工艺、新材料的应用等）</w:t>
      </w:r>
    </w:p>
    <w:p>
      <w:pPr>
        <w:spacing w:line="360" w:lineRule="auto"/>
        <w:ind w:left="420"/>
        <w:rPr>
          <w:rFonts w:ascii="宋体" w:hAnsi="宋体"/>
        </w:rPr>
      </w:pPr>
      <w:r>
        <w:rPr>
          <w:rFonts w:hint="eastAsia" w:ascii="宋体" w:hAnsi="宋体"/>
        </w:rPr>
        <w:t>4、投标产品的外形尺寸图、成品的彩色图样等</w:t>
      </w:r>
    </w:p>
    <w:p>
      <w:pPr>
        <w:spacing w:line="360" w:lineRule="auto"/>
        <w:ind w:left="420"/>
        <w:rPr>
          <w:rFonts w:ascii="宋体" w:hAnsi="宋体"/>
        </w:rPr>
      </w:pPr>
      <w:r>
        <w:rPr>
          <w:rFonts w:hint="eastAsia" w:ascii="宋体" w:hAnsi="宋体"/>
        </w:rPr>
        <w:t>5、投标产品的说明书等</w:t>
      </w:r>
    </w:p>
    <w:p>
      <w:pPr>
        <w:spacing w:line="360" w:lineRule="auto"/>
        <w:ind w:left="420"/>
        <w:rPr>
          <w:rFonts w:ascii="宋体" w:hAnsi="宋体"/>
        </w:rPr>
      </w:pPr>
      <w:r>
        <w:rPr>
          <w:rFonts w:hint="eastAsia" w:ascii="宋体" w:hAnsi="宋体"/>
        </w:rPr>
        <w:t>6、其它</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pStyle w:val="28"/>
        <w:adjustRightInd w:val="0"/>
        <w:snapToGrid w:val="0"/>
        <w:spacing w:line="312" w:lineRule="auto"/>
        <w:jc w:val="left"/>
        <w:rPr>
          <w:rFonts w:ascii="Times New Roman" w:hAnsi="Times New Roman"/>
          <w:b/>
          <w:sz w:val="21"/>
          <w:szCs w:val="21"/>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asciiTheme="minorEastAsia" w:hAnsiTheme="minorEastAsia" w:eastAsiaTheme="minorEastAsia"/>
          <w:sz w:val="24"/>
        </w:rPr>
        <w:t>格式</w:t>
      </w:r>
      <w:r>
        <w:rPr>
          <w:rFonts w:hint="eastAsia" w:asciiTheme="minorEastAsia" w:hAnsiTheme="minorEastAsia" w:eastAsiaTheme="minorEastAsia"/>
          <w:sz w:val="24"/>
        </w:rPr>
        <w:t>8</w:t>
      </w:r>
      <w:r>
        <w:rPr>
          <w:rFonts w:asciiTheme="minorEastAsia" w:hAnsiTheme="minorEastAsia" w:eastAsiaTheme="minorEastAsia"/>
          <w:sz w:val="24"/>
        </w:rPr>
        <w:t xml:space="preserve">  交付进度</w:t>
      </w:r>
    </w:p>
    <w:p/>
    <w:p>
      <w:pPr>
        <w:jc w:val="center"/>
      </w:pPr>
      <w:r>
        <w:t>货物交付进度表</w:t>
      </w:r>
    </w:p>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530"/>
        <w:gridCol w:w="153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bl>
    <w:p/>
    <w:p/>
    <w:p>
      <w:pPr>
        <w:jc w:val="center"/>
      </w:pPr>
      <w:r>
        <w:t>安装调试进度表</w:t>
      </w:r>
    </w:p>
    <w:p>
      <w:pPr>
        <w:jc w:val="center"/>
      </w:pP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851"/>
        <w:gridCol w:w="120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851"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安装调试地点</w:t>
            </w:r>
          </w:p>
        </w:tc>
        <w:tc>
          <w:tcPr>
            <w:tcW w:w="1209"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bl>
    <w:p>
      <w:pPr>
        <w:jc w:val="cente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firstLine="6195" w:firstLineChars="2950"/>
        <w:rPr>
          <w:snapToGrid w:val="0"/>
          <w:kern w:val="0"/>
        </w:rPr>
      </w:pPr>
      <w:r>
        <w:rPr>
          <w:rFonts w:hint="eastAsia"/>
          <w:snapToGrid w:val="0"/>
          <w:kern w:val="0"/>
        </w:rPr>
        <w:t>年       月      日</w:t>
      </w:r>
    </w:p>
    <w:p>
      <w:pPr>
        <w:pStyle w:val="3"/>
        <w:spacing w:before="0"/>
        <w:rPr>
          <w:rFonts w:ascii="宋体" w:hAnsi="宋体"/>
          <w:sz w:val="28"/>
        </w:rPr>
      </w:pPr>
    </w:p>
    <w:p/>
    <w:p/>
    <w:p/>
    <w:p/>
    <w:p/>
    <w:p/>
    <w:p/>
    <w:p/>
    <w:p>
      <w:pPr>
        <w:widowControl/>
        <w:jc w:val="left"/>
        <w:rPr>
          <w:rFonts w:asciiTheme="minorEastAsia" w:hAnsiTheme="minorEastAsia" w:eastAsiaTheme="minorEastAsia"/>
          <w:b/>
          <w:sz w:val="24"/>
        </w:rPr>
      </w:pPr>
      <w:bookmarkStart w:id="69" w:name="_Toc44690436"/>
      <w:bookmarkStart w:id="70" w:name="_Toc44691168"/>
      <w:bookmarkStart w:id="71" w:name="_Toc44691400"/>
      <w:bookmarkStart w:id="72" w:name="_Toc44690709"/>
      <w:r>
        <w:rPr>
          <w:rFonts w:asciiTheme="minorEastAsia" w:hAnsiTheme="minorEastAsia" w:eastAsiaTheme="minorEastAsia"/>
          <w:sz w:val="24"/>
        </w:rPr>
        <w:br w:type="page"/>
      </w: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格式9  售后服务和质量承诺</w:t>
      </w:r>
      <w:bookmarkEnd w:id="69"/>
      <w:bookmarkEnd w:id="70"/>
      <w:bookmarkEnd w:id="71"/>
      <w:bookmarkEnd w:id="72"/>
    </w:p>
    <w:p>
      <w:pPr>
        <w:adjustRightInd w:val="0"/>
        <w:snapToGrid w:val="0"/>
        <w:spacing w:line="360" w:lineRule="auto"/>
        <w:rPr>
          <w:rFonts w:ascii="宋体" w:hAnsi="宋体"/>
        </w:rPr>
      </w:pPr>
    </w:p>
    <w:p>
      <w:pPr>
        <w:adjustRightInd w:val="0"/>
        <w:snapToGrid w:val="0"/>
        <w:spacing w:line="360" w:lineRule="auto"/>
        <w:rPr>
          <w:rFonts w:ascii="宋体" w:hAnsi="宋体"/>
        </w:rPr>
      </w:pPr>
      <w:r>
        <w:rPr>
          <w:rFonts w:hint="eastAsia" w:ascii="宋体" w:hAnsi="宋体"/>
        </w:rPr>
        <w:t>1、</w:t>
      </w:r>
      <w:r>
        <w:rPr>
          <w:rFonts w:hint="eastAsia"/>
        </w:rPr>
        <w:t>质保期和保修期服务承诺</w:t>
      </w:r>
    </w:p>
    <w:p>
      <w:pPr>
        <w:adjustRightInd w:val="0"/>
        <w:snapToGrid w:val="0"/>
        <w:spacing w:line="360" w:lineRule="auto"/>
        <w:rPr>
          <w:rFonts w:ascii="宋体" w:hAnsi="宋体"/>
        </w:rPr>
      </w:pPr>
      <w:r>
        <w:rPr>
          <w:rFonts w:hint="eastAsia" w:ascii="宋体" w:hAnsi="宋体"/>
        </w:rPr>
        <w:t>2、</w:t>
      </w:r>
      <w:r>
        <w:rPr>
          <w:rFonts w:hint="eastAsia"/>
        </w:rPr>
        <w:t>售后服务机构及维护人员配置</w:t>
      </w:r>
    </w:p>
    <w:p>
      <w:pPr>
        <w:adjustRightInd w:val="0"/>
        <w:snapToGrid w:val="0"/>
        <w:spacing w:line="360" w:lineRule="auto"/>
        <w:rPr>
          <w:rFonts w:ascii="宋体" w:hAnsi="宋体"/>
        </w:rPr>
      </w:pPr>
      <w:r>
        <w:rPr>
          <w:rFonts w:hint="eastAsia" w:ascii="宋体" w:hAnsi="宋体"/>
        </w:rPr>
        <w:t>3、</w:t>
      </w:r>
      <w:r>
        <w:rPr>
          <w:rFonts w:hint="eastAsia"/>
        </w:rPr>
        <w:t>售后服务应急措施</w:t>
      </w:r>
    </w:p>
    <w:p>
      <w:pPr>
        <w:adjustRightInd w:val="0"/>
        <w:snapToGrid w:val="0"/>
        <w:spacing w:line="360" w:lineRule="auto"/>
        <w:rPr>
          <w:rFonts w:ascii="宋体" w:hAnsi="宋体"/>
        </w:rPr>
      </w:pPr>
      <w:r>
        <w:rPr>
          <w:rFonts w:hint="eastAsia" w:ascii="宋体" w:hAnsi="宋体"/>
        </w:rPr>
        <w:t>4、</w:t>
      </w:r>
      <w:r>
        <w:rPr>
          <w:rFonts w:hint="eastAsia"/>
        </w:rPr>
        <w:t>故障或技术支持响应时间</w:t>
      </w:r>
    </w:p>
    <w:p>
      <w:pPr>
        <w:adjustRightInd w:val="0"/>
        <w:snapToGrid w:val="0"/>
        <w:spacing w:line="360" w:lineRule="auto"/>
        <w:rPr>
          <w:rFonts w:ascii="宋体" w:hAnsi="宋体"/>
        </w:rPr>
      </w:pPr>
      <w:r>
        <w:rPr>
          <w:rFonts w:hint="eastAsia" w:ascii="宋体" w:hAnsi="宋体"/>
        </w:rPr>
        <w:t>5、技术培训计划</w:t>
      </w:r>
    </w:p>
    <w:p>
      <w:pPr>
        <w:adjustRightInd w:val="0"/>
        <w:snapToGrid w:val="0"/>
        <w:spacing w:line="360" w:lineRule="auto"/>
        <w:rPr>
          <w:rFonts w:ascii="宋体" w:hAnsi="宋体"/>
        </w:rPr>
      </w:pPr>
      <w:r>
        <w:rPr>
          <w:rFonts w:hint="eastAsia" w:ascii="宋体" w:hAnsi="宋体"/>
        </w:rPr>
        <w:t>6、备/配件支持计划</w:t>
      </w:r>
    </w:p>
    <w:p>
      <w:pPr>
        <w:adjustRightInd w:val="0"/>
        <w:snapToGrid w:val="0"/>
        <w:spacing w:line="360" w:lineRule="auto"/>
        <w:rPr>
          <w:rFonts w:ascii="宋体" w:hAnsi="宋体"/>
          <w:bCs/>
        </w:rPr>
      </w:pPr>
      <w:r>
        <w:rPr>
          <w:rFonts w:hint="eastAsia" w:ascii="宋体" w:hAnsi="宋体"/>
        </w:rPr>
        <w:t>7、非</w:t>
      </w:r>
      <w:r>
        <w:rPr>
          <w:rFonts w:hint="eastAsia" w:ascii="宋体" w:hAnsi="宋体"/>
          <w:bCs/>
        </w:rPr>
        <w:t>保修期维修费用收取标准</w:t>
      </w:r>
    </w:p>
    <w:p>
      <w:pPr>
        <w:adjustRightInd w:val="0"/>
        <w:snapToGrid w:val="0"/>
        <w:spacing w:line="300" w:lineRule="auto"/>
        <w:rPr>
          <w:rFonts w:ascii="宋体" w:hAnsi="宋体"/>
          <w:bCs/>
        </w:rPr>
      </w:pPr>
      <w:r>
        <w:rPr>
          <w:rFonts w:hint="eastAsia" w:ascii="宋体" w:hAnsi="宋体"/>
          <w:bCs/>
        </w:rPr>
        <w:t>8、其它</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tabs>
          <w:tab w:val="left" w:pos="480"/>
        </w:tabs>
        <w:adjustRightInd w:val="0"/>
        <w:snapToGrid w:val="0"/>
        <w:spacing w:line="300" w:lineRule="auto"/>
        <w:rPr>
          <w:snapToGrid w:val="0"/>
          <w:kern w:val="0"/>
        </w:rPr>
      </w:pPr>
      <w:r>
        <w:rPr>
          <w:snapToGrid w:val="0"/>
          <w:kern w:val="0"/>
        </w:rPr>
        <w:tab/>
      </w: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r>
        <w:rPr>
          <w:snapToGrid w:val="0"/>
          <w:kern w:val="0"/>
        </w:rPr>
        <w:br w:type="page"/>
      </w:r>
    </w:p>
    <w:p>
      <w:pPr>
        <w:tabs>
          <w:tab w:val="left" w:pos="1200"/>
        </w:tabs>
        <w:adjustRightInd w:val="0"/>
        <w:snapToGrid w:val="0"/>
        <w:spacing w:line="300" w:lineRule="auto"/>
        <w:rPr>
          <w:snapToGrid w:val="0"/>
          <w:kern w:val="0"/>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73" w:name="q16"/>
      <w:bookmarkEnd w:id="73"/>
      <w:bookmarkStart w:id="74" w:name="_格式4__"/>
      <w:bookmarkEnd w:id="74"/>
      <w:bookmarkStart w:id="75" w:name="_格式2__投标保证金凭证"/>
      <w:bookmarkEnd w:id="75"/>
      <w:bookmarkStart w:id="76" w:name="q15"/>
      <w:bookmarkEnd w:id="76"/>
      <w:bookmarkStart w:id="77" w:name="q17"/>
      <w:bookmarkEnd w:id="77"/>
      <w:bookmarkStart w:id="78" w:name="_格式3__"/>
      <w:bookmarkEnd w:id="78"/>
      <w:bookmarkStart w:id="79" w:name="_格式5__"/>
      <w:bookmarkEnd w:id="79"/>
      <w:r>
        <w:rPr>
          <w:rFonts w:asciiTheme="minorEastAsia" w:hAnsiTheme="minorEastAsia" w:eastAsiaTheme="minorEastAsia"/>
          <w:sz w:val="24"/>
        </w:rPr>
        <w:tab/>
      </w:r>
      <w:bookmarkStart w:id="80" w:name="_Toc44691401"/>
      <w:bookmarkStart w:id="81" w:name="_Toc44690437"/>
      <w:bookmarkStart w:id="82" w:name="_Toc44690710"/>
      <w:bookmarkStart w:id="83" w:name="_Toc44691169"/>
      <w:r>
        <w:rPr>
          <w:rFonts w:hint="eastAsia" w:asciiTheme="minorEastAsia" w:hAnsiTheme="minorEastAsia" w:eastAsiaTheme="minorEastAsia"/>
          <w:sz w:val="24"/>
        </w:rPr>
        <w:t>格式10  投标人情况介绍</w:t>
      </w:r>
      <w:bookmarkEnd w:id="80"/>
      <w:bookmarkEnd w:id="81"/>
      <w:bookmarkEnd w:id="82"/>
      <w:bookmarkEnd w:id="83"/>
    </w:p>
    <w:p>
      <w:pPr>
        <w:snapToGrid w:val="0"/>
        <w:spacing w:line="300" w:lineRule="auto"/>
        <w:rPr>
          <w:rFonts w:ascii="宋体" w:hAnsi="宋体"/>
        </w:rPr>
      </w:pPr>
    </w:p>
    <w:p>
      <w:pPr>
        <w:adjustRightInd w:val="0"/>
        <w:snapToGrid w:val="0"/>
        <w:spacing w:line="360" w:lineRule="auto"/>
        <w:rPr>
          <w:rFonts w:ascii="宋体" w:hAnsi="宋体"/>
          <w:bCs/>
          <w:snapToGrid w:val="0"/>
          <w:kern w:val="0"/>
        </w:rPr>
      </w:pPr>
      <w:r>
        <w:rPr>
          <w:rFonts w:ascii="宋体" w:hAnsi="宋体"/>
          <w:bCs/>
          <w:snapToGrid w:val="0"/>
          <w:kern w:val="0"/>
        </w:rPr>
        <w:t>1、</w:t>
      </w:r>
      <w:r>
        <w:rPr>
          <w:rFonts w:hint="eastAsia" w:ascii="宋体" w:hAnsi="宋体"/>
          <w:bCs/>
          <w:snapToGrid w:val="0"/>
          <w:kern w:val="0"/>
        </w:rPr>
        <w:t>投标人基本情况简介，格式自拟，包括但不限于经营范围、依法纳税记录等；</w:t>
      </w:r>
    </w:p>
    <w:p>
      <w:pPr>
        <w:adjustRightInd w:val="0"/>
        <w:snapToGrid w:val="0"/>
        <w:spacing w:line="360" w:lineRule="auto"/>
        <w:rPr>
          <w:rFonts w:ascii="宋体" w:hAnsi="宋体"/>
          <w:bCs/>
          <w:snapToGrid w:val="0"/>
          <w:kern w:val="0"/>
          <w:szCs w:val="21"/>
        </w:rPr>
      </w:pP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2、</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adjustRightInd w:val="0"/>
        <w:snapToGrid w:val="0"/>
        <w:spacing w:line="360" w:lineRule="auto"/>
        <w:rPr>
          <w:bCs/>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spacing w:line="360" w:lineRule="auto"/>
        <w:jc w:val="center"/>
        <w:rPr>
          <w:b/>
          <w:szCs w:val="21"/>
        </w:rPr>
      </w:pPr>
      <w:bookmarkStart w:id="84" w:name="_格式7__投标人资格声明"/>
      <w:bookmarkEnd w:id="84"/>
      <w:bookmarkStart w:id="85" w:name="q40"/>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格式11  偏离表</w:t>
      </w:r>
    </w:p>
    <w:bookmarkEnd w:id="85"/>
    <w:p>
      <w:pPr>
        <w:spacing w:line="360" w:lineRule="auto"/>
        <w:jc w:val="center"/>
      </w:pPr>
    </w:p>
    <w:p>
      <w:pPr>
        <w:snapToGrid w:val="0"/>
        <w:spacing w:line="360" w:lineRule="auto"/>
        <w:jc w:val="center"/>
        <w:rPr>
          <w:b/>
        </w:rPr>
      </w:pPr>
      <w:r>
        <w:rPr>
          <w:rFonts w:hint="eastAsia"/>
          <w:b/>
        </w:rPr>
        <w:t>技术规格偏离表</w:t>
      </w:r>
    </w:p>
    <w:tbl>
      <w:tblPr>
        <w:tblStyle w:val="50"/>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8"/>
        <w:gridCol w:w="2482"/>
        <w:gridCol w:w="1701"/>
        <w:gridCol w:w="1275"/>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r>
              <w:rPr>
                <w:rFonts w:hint="eastAsia" w:ascii="宋体" w:hAnsi="宋体"/>
                <w:szCs w:val="21"/>
              </w:rPr>
              <w:t>序号</w:t>
            </w:r>
          </w:p>
        </w:tc>
        <w:tc>
          <w:tcPr>
            <w:tcW w:w="1418" w:type="dxa"/>
            <w:vAlign w:val="center"/>
          </w:tcPr>
          <w:p>
            <w:pPr>
              <w:spacing w:line="360" w:lineRule="auto"/>
              <w:jc w:val="center"/>
              <w:rPr>
                <w:rFonts w:ascii="宋体" w:hAnsi="宋体"/>
                <w:szCs w:val="21"/>
              </w:rPr>
            </w:pPr>
            <w:r>
              <w:rPr>
                <w:rFonts w:hint="eastAsia" w:ascii="宋体" w:hAnsi="宋体"/>
                <w:szCs w:val="21"/>
              </w:rPr>
              <w:t>货物名称</w:t>
            </w:r>
          </w:p>
        </w:tc>
        <w:tc>
          <w:tcPr>
            <w:tcW w:w="2482" w:type="dxa"/>
            <w:vAlign w:val="center"/>
          </w:tcPr>
          <w:p>
            <w:pPr>
              <w:spacing w:line="360" w:lineRule="auto"/>
              <w:jc w:val="center"/>
              <w:rPr>
                <w:rFonts w:ascii="宋体" w:hAnsi="宋体"/>
                <w:szCs w:val="21"/>
              </w:rPr>
            </w:pPr>
            <w:r>
              <w:rPr>
                <w:rFonts w:hint="eastAsia" w:ascii="宋体" w:hAnsi="宋体"/>
                <w:szCs w:val="21"/>
              </w:rPr>
              <w:t>招标技术要求</w:t>
            </w:r>
          </w:p>
        </w:tc>
        <w:tc>
          <w:tcPr>
            <w:tcW w:w="1701" w:type="dxa"/>
            <w:vAlign w:val="center"/>
          </w:tcPr>
          <w:p>
            <w:pPr>
              <w:spacing w:line="360" w:lineRule="auto"/>
              <w:jc w:val="center"/>
              <w:rPr>
                <w:rFonts w:ascii="宋体" w:hAnsi="宋体"/>
                <w:szCs w:val="21"/>
              </w:rPr>
            </w:pPr>
            <w:r>
              <w:rPr>
                <w:rFonts w:hint="eastAsia" w:ascii="宋体" w:hAnsi="宋体"/>
                <w:szCs w:val="21"/>
              </w:rPr>
              <w:t>投标技术响应</w:t>
            </w:r>
          </w:p>
        </w:tc>
        <w:tc>
          <w:tcPr>
            <w:tcW w:w="1275" w:type="dxa"/>
            <w:vAlign w:val="center"/>
          </w:tcPr>
          <w:p>
            <w:pPr>
              <w:spacing w:line="360" w:lineRule="auto"/>
              <w:jc w:val="center"/>
              <w:rPr>
                <w:rFonts w:ascii="宋体" w:hAnsi="宋体"/>
                <w:szCs w:val="21"/>
              </w:rPr>
            </w:pPr>
            <w:r>
              <w:rPr>
                <w:rFonts w:hint="eastAsia" w:ascii="宋体" w:hAnsi="宋体"/>
                <w:szCs w:val="21"/>
              </w:rPr>
              <w:t>偏离情况</w:t>
            </w:r>
          </w:p>
        </w:tc>
        <w:tc>
          <w:tcPr>
            <w:tcW w:w="2304"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jc w:val="center"/>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bl>
    <w:p>
      <w:pPr>
        <w:spacing w:line="400" w:lineRule="exact"/>
        <w:rPr>
          <w:rFonts w:ascii="宋体" w:hAnsi="宋体" w:cs="Arial"/>
          <w:b/>
          <w:bCs/>
          <w:szCs w:val="21"/>
        </w:rPr>
      </w:pPr>
      <w:r>
        <w:rPr>
          <w:rFonts w:hint="eastAsia" w:ascii="宋体" w:hAnsi="宋体" w:cs="Arial"/>
          <w:bCs/>
          <w:szCs w:val="21"/>
        </w:rPr>
        <w:t>备注：1、“</w:t>
      </w:r>
      <w:r>
        <w:rPr>
          <w:rFonts w:hint="eastAsia" w:ascii="宋体" w:hAnsi="宋体"/>
          <w:szCs w:val="21"/>
        </w:rPr>
        <w:t>招标技术要求</w:t>
      </w:r>
      <w:r>
        <w:rPr>
          <w:rFonts w:hint="eastAsia" w:ascii="宋体" w:hAnsi="宋体" w:cs="Arial"/>
          <w:bCs/>
          <w:szCs w:val="21"/>
        </w:rPr>
        <w:t>”一栏逐一列出招标文件第二章《项目需求》中“</w:t>
      </w:r>
      <w:r>
        <w:rPr>
          <w:rFonts w:hint="eastAsia" w:ascii="宋体" w:hAnsi="宋体" w:cs="Arial"/>
          <w:b/>
          <w:bCs/>
          <w:szCs w:val="21"/>
        </w:rPr>
        <w:t>二、</w:t>
      </w:r>
      <w:r>
        <w:rPr>
          <w:rFonts w:hint="eastAsia" w:ascii="宋体" w:hAnsi="宋体"/>
          <w:b/>
          <w:bCs/>
          <w:snapToGrid w:val="0"/>
          <w:szCs w:val="21"/>
        </w:rPr>
        <w:t>技术要求</w:t>
      </w:r>
      <w:r>
        <w:rPr>
          <w:rFonts w:hint="eastAsia" w:ascii="宋体" w:hAnsi="宋体" w:cs="Arial"/>
          <w:bCs/>
          <w:szCs w:val="21"/>
        </w:rPr>
        <w:t>”的内容；“</w:t>
      </w:r>
      <w:r>
        <w:rPr>
          <w:rFonts w:hint="eastAsia" w:ascii="宋体" w:hAnsi="宋体"/>
          <w:szCs w:val="21"/>
        </w:rPr>
        <w:t>投标技术响应</w:t>
      </w:r>
      <w:r>
        <w:rPr>
          <w:rFonts w:hint="eastAsia" w:ascii="宋体" w:hAnsi="宋体" w:cs="Arial"/>
          <w:bCs/>
          <w:szCs w:val="21"/>
        </w:rPr>
        <w:t>”一栏应详细填写投标产品的具体参数响应情况。</w:t>
      </w:r>
    </w:p>
    <w:p>
      <w:pPr>
        <w:spacing w:line="400" w:lineRule="exact"/>
        <w:ind w:firstLine="424" w:firstLineChars="202"/>
        <w:rPr>
          <w:rFonts w:ascii="宋体" w:hAnsi="宋体" w:cs="Arial"/>
          <w:bCs/>
          <w:szCs w:val="21"/>
        </w:rPr>
      </w:pPr>
      <w:r>
        <w:rPr>
          <w:rFonts w:hint="eastAsia" w:ascii="宋体" w:hAnsi="宋体" w:cs="Arial"/>
          <w:bCs/>
          <w:szCs w:val="21"/>
        </w:rPr>
        <w:t>2、“偏离情况”栏中应如实填写“正偏离”、“负偏离”或“无偏离”。</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4" w:firstLineChars="202"/>
        <w:rPr>
          <w:rFonts w:asciiTheme="minorEastAsia" w:hAnsiTheme="minorEastAsia" w:eastAsiaTheme="minorEastAsia"/>
          <w:szCs w:val="21"/>
        </w:rPr>
      </w:pPr>
      <w:r>
        <w:rPr>
          <w:rFonts w:hint="eastAsia" w:ascii="宋体" w:hAnsi="宋体" w:cs="Arial"/>
          <w:bCs/>
          <w:szCs w:val="21"/>
        </w:rPr>
        <w:t>3、</w:t>
      </w:r>
      <w:r>
        <w:rPr>
          <w:rFonts w:hint="eastAsia" w:asciiTheme="minorEastAsia" w:hAnsiTheme="minorEastAsia" w:eastAsiaTheme="minorEastAsia"/>
          <w:b/>
          <w:szCs w:val="21"/>
        </w:rPr>
        <w:t>投标产品的技术参数应按</w:t>
      </w:r>
      <w:r>
        <w:rPr>
          <w:rFonts w:hint="eastAsia" w:ascii="宋体" w:hAnsi="宋体" w:cs="Arial"/>
          <w:b/>
          <w:bCs/>
          <w:szCs w:val="21"/>
        </w:rPr>
        <w:t>招标文件第二章《项目需求》中“二、</w:t>
      </w:r>
      <w:r>
        <w:rPr>
          <w:rFonts w:hint="eastAsia" w:ascii="宋体" w:hAnsi="宋体"/>
          <w:b/>
          <w:bCs/>
          <w:snapToGrid w:val="0"/>
          <w:szCs w:val="21"/>
        </w:rPr>
        <w:t>技术要求</w:t>
      </w:r>
      <w:r>
        <w:rPr>
          <w:rFonts w:hint="eastAsia" w:ascii="宋体" w:hAnsi="宋体" w:cs="Arial"/>
          <w:b/>
          <w:bCs/>
          <w:szCs w:val="21"/>
        </w:rPr>
        <w:t>”</w:t>
      </w:r>
      <w:r>
        <w:rPr>
          <w:rFonts w:hint="eastAsia" w:asciiTheme="minorEastAsia" w:hAnsiTheme="minorEastAsia" w:eastAsiaTheme="minorEastAsia"/>
          <w:b/>
          <w:szCs w:val="21"/>
        </w:rPr>
        <w:t>中的要求提供相应的证明资料，以证明投标人响应的真实性。</w:t>
      </w:r>
      <w:r>
        <w:rPr>
          <w:rFonts w:hint="eastAsia" w:asciiTheme="minorEastAsia" w:hAnsiTheme="minorEastAsia" w:eastAsiaTheme="minorEastAsia"/>
          <w:szCs w:val="21"/>
        </w:rPr>
        <w:t>证明资料包括制造商公布的产品说明书、产品彩页和我国政府机构出具的产品检验和核准证件等。投标人应在“说明”一栏中列出技术参数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4、证明资料（均为复印件或扫描件）的提供要求：</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 xml:space="preserve">（1）产品说明书或彩页应为制造商公布或出具的中文产品说明书或彩页；提供外文说明书或彩页的，需同时提供加盖制造商公章的对应中文翻译说明，评标依据以中文翻译内容为准，外文说明书或彩页仅供参考； </w:t>
      </w:r>
    </w:p>
    <w:p>
      <w:pPr>
        <w:spacing w:line="400" w:lineRule="exact"/>
        <w:ind w:firstLine="424" w:firstLineChars="202"/>
        <w:rPr>
          <w:rFonts w:ascii="宋体" w:hAnsi="宋体" w:cs="Arial"/>
          <w:b/>
          <w:bCs/>
          <w:szCs w:val="21"/>
        </w:rPr>
      </w:pPr>
      <w:r>
        <w:rPr>
          <w:rFonts w:hint="eastAsia" w:asciiTheme="minorEastAsia" w:hAnsiTheme="minorEastAsia" w:eastAsiaTheme="minorEastAsia"/>
          <w:szCs w:val="21"/>
        </w:rPr>
        <w:t>（2）我国政府机构出具的产品检验和核准证件应为证件正面、背面和附件标注的全部具体内容</w:t>
      </w:r>
      <w:r>
        <w:rPr>
          <w:rFonts w:hint="eastAsia" w:ascii="宋体" w:hAnsi="宋体" w:cs="Arial"/>
          <w:bCs/>
          <w:szCs w:val="21"/>
        </w:rPr>
        <w:t>。</w:t>
      </w:r>
    </w:p>
    <w:p>
      <w:pPr>
        <w:adjustRightInd w:val="0"/>
        <w:snapToGrid w:val="0"/>
        <w:spacing w:line="360" w:lineRule="auto"/>
        <w:rPr>
          <w:bCs/>
          <w:snapToGrid w:val="0"/>
        </w:rPr>
      </w:pPr>
    </w:p>
    <w:p>
      <w:pPr>
        <w:snapToGrid w:val="0"/>
        <w:spacing w:line="360" w:lineRule="auto"/>
        <w:jc w:val="center"/>
        <w:rPr>
          <w:b/>
        </w:rPr>
      </w:pPr>
      <w:r>
        <w:rPr>
          <w:rFonts w:hint="eastAsia"/>
          <w:b/>
        </w:rPr>
        <w:t>商务条款偏离表</w:t>
      </w:r>
    </w:p>
    <w:tbl>
      <w:tblPr>
        <w:tblStyle w:val="50"/>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077"/>
        <w:gridCol w:w="2735"/>
        <w:gridCol w:w="180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spacing w:line="360" w:lineRule="auto"/>
              <w:jc w:val="center"/>
              <w:rPr>
                <w:rFonts w:ascii="宋体" w:hAnsi="宋体"/>
                <w:szCs w:val="21"/>
              </w:rPr>
            </w:pPr>
            <w:r>
              <w:rPr>
                <w:rFonts w:hint="eastAsia" w:ascii="宋体" w:hAnsi="宋体"/>
                <w:szCs w:val="21"/>
              </w:rPr>
              <w:t>序号</w:t>
            </w:r>
          </w:p>
        </w:tc>
        <w:tc>
          <w:tcPr>
            <w:tcW w:w="3077" w:type="dxa"/>
            <w:vAlign w:val="center"/>
          </w:tcPr>
          <w:p>
            <w:pPr>
              <w:spacing w:line="360" w:lineRule="auto"/>
              <w:jc w:val="center"/>
              <w:rPr>
                <w:rFonts w:ascii="宋体" w:hAnsi="宋体"/>
                <w:szCs w:val="21"/>
              </w:rPr>
            </w:pPr>
            <w:r>
              <w:rPr>
                <w:rFonts w:hint="eastAsia" w:ascii="宋体" w:hAnsi="宋体"/>
                <w:szCs w:val="21"/>
              </w:rPr>
              <w:t>招标商务需求</w:t>
            </w:r>
          </w:p>
        </w:tc>
        <w:tc>
          <w:tcPr>
            <w:tcW w:w="2735" w:type="dxa"/>
            <w:vAlign w:val="center"/>
          </w:tcPr>
          <w:p>
            <w:pPr>
              <w:spacing w:line="360" w:lineRule="auto"/>
              <w:jc w:val="center"/>
              <w:rPr>
                <w:rFonts w:ascii="宋体" w:hAnsi="宋体"/>
                <w:szCs w:val="21"/>
              </w:rPr>
            </w:pPr>
            <w:r>
              <w:rPr>
                <w:rFonts w:hint="eastAsia" w:ascii="宋体" w:hAnsi="宋体"/>
                <w:szCs w:val="21"/>
              </w:rPr>
              <w:t>投标商务响应</w:t>
            </w:r>
          </w:p>
        </w:tc>
        <w:tc>
          <w:tcPr>
            <w:tcW w:w="1801" w:type="dxa"/>
            <w:vAlign w:val="center"/>
          </w:tcPr>
          <w:p>
            <w:pPr>
              <w:spacing w:line="360" w:lineRule="auto"/>
              <w:jc w:val="center"/>
              <w:rPr>
                <w:rFonts w:ascii="宋体" w:hAnsi="宋体"/>
                <w:szCs w:val="21"/>
              </w:rPr>
            </w:pPr>
            <w:r>
              <w:rPr>
                <w:rFonts w:hint="eastAsia" w:ascii="宋体" w:hAnsi="宋体"/>
                <w:szCs w:val="21"/>
              </w:rPr>
              <w:t>偏离情况</w:t>
            </w:r>
          </w:p>
        </w:tc>
        <w:tc>
          <w:tcPr>
            <w:tcW w:w="1515"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rPr>
                <w:rFonts w:ascii="宋体" w:hAnsi="宋体" w:cs="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bl>
    <w:p>
      <w:pPr>
        <w:spacing w:line="400" w:lineRule="exact"/>
        <w:rPr>
          <w:rFonts w:ascii="宋体" w:hAnsi="宋体" w:cs="Arial"/>
          <w:bCs/>
          <w:szCs w:val="21"/>
        </w:rPr>
      </w:pPr>
      <w:r>
        <w:rPr>
          <w:rFonts w:hint="eastAsia" w:ascii="宋体" w:hAnsi="宋体" w:cs="Arial"/>
          <w:bCs/>
          <w:szCs w:val="21"/>
        </w:rPr>
        <w:t>备注：1、“</w:t>
      </w:r>
      <w:r>
        <w:rPr>
          <w:rFonts w:hint="eastAsia" w:ascii="宋体" w:hAnsi="宋体"/>
          <w:szCs w:val="21"/>
        </w:rPr>
        <w:t>招标商务需求</w:t>
      </w:r>
      <w:r>
        <w:rPr>
          <w:rFonts w:hint="eastAsia" w:ascii="宋体" w:hAnsi="宋体" w:cs="Arial"/>
          <w:bCs/>
          <w:szCs w:val="21"/>
        </w:rPr>
        <w:t>”一栏逐一列出招标文件第二章《项目需求》中“</w:t>
      </w:r>
      <w:r>
        <w:rPr>
          <w:rFonts w:hint="eastAsia" w:ascii="宋体" w:hAnsi="宋体" w:cs="Arial"/>
          <w:b/>
          <w:bCs/>
          <w:szCs w:val="21"/>
        </w:rPr>
        <w:t>三、商务要求</w:t>
      </w:r>
      <w:r>
        <w:rPr>
          <w:rFonts w:hint="eastAsia" w:ascii="宋体" w:hAnsi="宋体" w:cs="Arial"/>
          <w:bCs/>
          <w:szCs w:val="21"/>
        </w:rPr>
        <w:t>”的内容；“</w:t>
      </w:r>
      <w:r>
        <w:rPr>
          <w:rFonts w:hint="eastAsia" w:ascii="宋体" w:hAnsi="宋体"/>
          <w:szCs w:val="21"/>
        </w:rPr>
        <w:t>投标商务响应</w:t>
      </w:r>
      <w:r>
        <w:rPr>
          <w:rFonts w:hint="eastAsia" w:ascii="宋体" w:hAnsi="宋体" w:cs="Arial"/>
          <w:bCs/>
          <w:szCs w:val="21"/>
        </w:rPr>
        <w:t>”一栏应详细填写投标商务条款的响应内容。</w:t>
      </w:r>
    </w:p>
    <w:p>
      <w:pPr>
        <w:spacing w:line="400" w:lineRule="exact"/>
        <w:ind w:firstLine="420" w:firstLineChars="200"/>
      </w:pPr>
      <w:r>
        <w:rPr>
          <w:rFonts w:hint="eastAsia" w:ascii="宋体" w:hAnsi="宋体" w:cs="Arial"/>
          <w:bCs/>
          <w:szCs w:val="21"/>
        </w:rPr>
        <w:t>2、“偏离情况”栏中应如实填写“正偏离”、“负偏离”或“无偏离”</w:t>
      </w:r>
      <w:r>
        <w:rPr>
          <w:rFonts w:hint="eastAsia"/>
        </w:rPr>
        <w:t>。</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0" w:firstLineChars="200"/>
      </w:pPr>
      <w:r>
        <w:rPr>
          <w:rFonts w:hint="eastAsia" w:asciiTheme="minorEastAsia" w:hAnsiTheme="minorEastAsia" w:eastAsiaTheme="minorEastAsia"/>
          <w:szCs w:val="21"/>
        </w:rPr>
        <w:t>3、投标人应在“说明”一栏中列出商务条款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0" w:firstLineChars="200"/>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rPr>
          <w:snapToGrid w:val="0"/>
          <w:kern w:val="0"/>
        </w:rPr>
      </w:pPr>
    </w:p>
    <w:p>
      <w:pPr>
        <w:adjustRightInd w:val="0"/>
        <w:snapToGrid w:val="0"/>
        <w:spacing w:line="300" w:lineRule="auto"/>
        <w:ind w:right="420"/>
        <w:jc w:val="center"/>
      </w:pPr>
      <w:r>
        <w:rPr>
          <w:rFonts w:hint="eastAsia"/>
          <w:snapToGrid w:val="0"/>
          <w:kern w:val="0"/>
        </w:rPr>
        <w:t xml:space="preserve">                                                            年    月    日</w:t>
      </w:r>
      <w:r>
        <w:br w:type="page"/>
      </w:r>
    </w:p>
    <w:p>
      <w:pPr>
        <w:adjustRightInd w:val="0"/>
        <w:snapToGrid w:val="0"/>
        <w:spacing w:line="300" w:lineRule="auto"/>
        <w:ind w:right="420"/>
        <w:jc w:val="cente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格式12  招标文件要求的其他资料或投标人认为需要补充的资料</w:t>
      </w:r>
    </w:p>
    <w:p>
      <w:pPr>
        <w:spacing w:line="360" w:lineRule="auto"/>
        <w:jc w:val="center"/>
      </w:pPr>
    </w:p>
    <w:p>
      <w:pPr>
        <w:spacing w:line="360" w:lineRule="auto"/>
        <w:ind w:firstLine="420" w:firstLineChars="20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pPr>
        <w:adjustRightInd w:val="0"/>
        <w:snapToGrid w:val="0"/>
        <w:spacing w:line="360" w:lineRule="auto"/>
        <w:ind w:firstLine="420" w:firstLineChars="200"/>
        <w:rPr>
          <w:bCs/>
          <w:snapToGrid w:val="0"/>
          <w:kern w:val="0"/>
        </w:rPr>
      </w:pPr>
    </w:p>
    <w:p>
      <w:pPr>
        <w:adjustRightInd w:val="0"/>
        <w:snapToGrid w:val="0"/>
        <w:spacing w:line="300" w:lineRule="auto"/>
        <w:ind w:firstLine="420" w:firstLineChars="200"/>
        <w:rPr>
          <w:b/>
          <w:snapToGrid w:val="0"/>
          <w:kern w:val="0"/>
          <w:sz w:val="24"/>
        </w:rPr>
      </w:pPr>
      <w:r>
        <w:rPr>
          <w:rFonts w:hint="eastAsia"/>
          <w:bCs/>
          <w:snapToGrid w:val="0"/>
          <w:kern w:val="0"/>
        </w:rPr>
        <w:t>注：如需提供补充资料，本部分资料格式不做统一规定，由投标人自行设计。</w:t>
      </w:r>
    </w:p>
    <w:p>
      <w:pPr>
        <w:pStyle w:val="2"/>
        <w:keepNext w:val="0"/>
        <w:rPr>
          <w:b w:val="0"/>
          <w:snapToGrid w:val="0"/>
          <w:kern w:val="0"/>
          <w:sz w:val="52"/>
          <w:szCs w:val="52"/>
        </w:rPr>
      </w:pPr>
    </w:p>
    <w:p/>
    <w:p/>
    <w:p/>
    <w:p/>
    <w:p/>
    <w:p/>
    <w:p/>
    <w:p/>
    <w:p/>
    <w:p/>
    <w:p/>
    <w:p/>
    <w:p/>
    <w:p/>
    <w:p/>
    <w:p/>
    <w:p/>
    <w:p/>
    <w:p>
      <w:pPr>
        <w:tabs>
          <w:tab w:val="left" w:pos="1875"/>
        </w:tabs>
      </w:pPr>
      <w:r>
        <w:tab/>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jc w:val="left"/>
      </w:pPr>
      <w:r>
        <w:br w:type="page"/>
      </w:r>
    </w:p>
    <w:p>
      <w:pPr>
        <w:tabs>
          <w:tab w:val="left" w:pos="1875"/>
        </w:tabs>
      </w:pPr>
    </w:p>
    <w:p>
      <w:pPr>
        <w:tabs>
          <w:tab w:val="left" w:pos="1875"/>
        </w:tabs>
      </w:pPr>
    </w:p>
    <w:p>
      <w:pPr>
        <w:pStyle w:val="2"/>
        <w:spacing w:before="0" w:after="0"/>
      </w:pPr>
      <w:bookmarkStart w:id="86" w:name="_Toc107846040"/>
      <w:r>
        <w:rPr>
          <w:rFonts w:hint="eastAsia"/>
        </w:rPr>
        <w:t>第八章  合同条款</w:t>
      </w:r>
      <w:bookmarkEnd w:id="86"/>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6"/>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adjustRightInd w:val="0"/>
        <w:snapToGrid w:val="0"/>
        <w:spacing w:line="360" w:lineRule="auto"/>
        <w:jc w:val="center"/>
        <w:rPr>
          <w:b/>
          <w:snapToGrid w:val="0"/>
          <w:kern w:val="0"/>
          <w:sz w:val="28"/>
        </w:rPr>
      </w:pPr>
    </w:p>
    <w:p>
      <w:pPr>
        <w:spacing w:line="360" w:lineRule="auto"/>
        <w:rPr>
          <w:rFonts w:asciiTheme="minorEastAsia" w:hAnsiTheme="minorEastAsia"/>
          <w:b/>
          <w:bCs/>
          <w:szCs w:val="21"/>
        </w:rPr>
      </w:pPr>
      <w:r>
        <w:rPr>
          <w:rFonts w:hint="eastAsia" w:asciiTheme="minorEastAsia" w:hAnsiTheme="minorEastAsia"/>
          <w:b/>
          <w:bCs/>
          <w:szCs w:val="21"/>
        </w:rPr>
        <w:t>甲方（采购人）：</w:t>
      </w:r>
    </w:p>
    <w:p>
      <w:pPr>
        <w:spacing w:line="360" w:lineRule="auto"/>
        <w:rPr>
          <w:rFonts w:asciiTheme="minorEastAsia" w:hAnsiTheme="minorEastAsia"/>
          <w:szCs w:val="21"/>
        </w:rPr>
      </w:pPr>
      <w:r>
        <w:rPr>
          <w:rFonts w:hint="eastAsia" w:asciiTheme="minorEastAsia" w:hAnsiTheme="minorEastAsia"/>
          <w:b/>
          <w:bCs/>
          <w:szCs w:val="21"/>
        </w:rPr>
        <w:t>乙方（中标人）：</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根据《中华人民共和国政府采购法》、《深圳经济特区政府采购条例》、《中华人民共和国民法典》之规定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第一条合同标的</w:t>
      </w:r>
    </w:p>
    <w:p>
      <w:pPr>
        <w:spacing w:line="360" w:lineRule="auto"/>
        <w:ind w:firstLine="420" w:firstLineChars="200"/>
        <w:rPr>
          <w:rFonts w:asciiTheme="minorEastAsia" w:hAnsiTheme="minorEastAsia"/>
          <w:szCs w:val="21"/>
        </w:rPr>
      </w:pPr>
      <w:r>
        <w:rPr>
          <w:rFonts w:hint="eastAsia" w:asciiTheme="minorEastAsia" w:hAnsiTheme="minorEastAsia"/>
          <w:szCs w:val="21"/>
        </w:rPr>
        <w:t>货物名称、规格型号、制造商、产地、单位、数量、单价、合同价，详见。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第二条合同价款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本合同项下总价款为（大写）人民币，分项价款详见。本合同总价款已包括乙方为履行本合同义务所发生的一切费用，系固定不变价格，且不随通货膨胀的影响而波动。</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第三条交货时间、地点和交货状态</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3.1交货时间：</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3.2交货地点：</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3.3交货状态：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第四条质量标准和要求</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4.1乙方所提供的货物质量标准按照国家标准或者行业标准或者企业标准明确。没有国家标准、行业标准或企业标准的，按照通常标准或者符合合同目的的特定标准确定。</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4.2乙方应保证货物是全新、未使用过的原装合格正品（包括零部件），并完全符合甲方要求的质量、规格和性能的要求。如货物安装或配置了软件的，乙方保证相关软件均为正版软件。</w:t>
      </w:r>
    </w:p>
    <w:p>
      <w:pPr>
        <w:spacing w:line="360" w:lineRule="auto"/>
        <w:ind w:firstLine="420" w:firstLineChars="200"/>
        <w:jc w:val="left"/>
        <w:rPr>
          <w:rFonts w:asciiTheme="minorEastAsia" w:hAnsiTheme="minorEastAsia"/>
          <w:szCs w:val="21"/>
        </w:rPr>
      </w:pPr>
      <w:r>
        <w:rPr>
          <w:rFonts w:asciiTheme="minorEastAsia" w:hAnsiTheme="minorEastAsia"/>
          <w:szCs w:val="21"/>
        </w:rPr>
        <w:t>4.3乙方保证交货时一并提供货物的质量合格凭证或文件。</w:t>
      </w:r>
    </w:p>
    <w:p>
      <w:pPr>
        <w:spacing w:line="360" w:lineRule="auto"/>
        <w:ind w:firstLine="420" w:firstLineChars="20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4.4乙方所提供的全部货物均应按照标准保护措施进行包装，包装应适用于远距离运输、防潮、防震、防锈、防野蛮装卸等要求，以确保货物安全无损抵运指定交货地点。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第五条权利保证</w:t>
      </w:r>
    </w:p>
    <w:p>
      <w:pPr>
        <w:spacing w:line="360" w:lineRule="auto"/>
        <w:ind w:firstLine="420" w:firstLineChars="20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spacing w:line="360" w:lineRule="auto"/>
        <w:ind w:firstLine="420" w:firstLineChars="200"/>
        <w:jc w:val="left"/>
        <w:rPr>
          <w:rFonts w:asciiTheme="minorEastAsia" w:hAnsiTheme="minorEastAsia"/>
          <w:szCs w:val="21"/>
        </w:rPr>
      </w:pPr>
      <w:r>
        <w:rPr>
          <w:rFonts w:asciiTheme="minorEastAsia" w:hAnsiTheme="minorEastAsia"/>
          <w:szCs w:val="21"/>
        </w:rPr>
        <w:t>5.2乙方应保证其提供的货物不存在任何未曾向甲方透漏的担保物权，如抵押权、质押权、留置权等。</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第六条质量保障</w:t>
      </w:r>
    </w:p>
    <w:p>
      <w:pPr>
        <w:spacing w:line="360" w:lineRule="auto"/>
        <w:ind w:firstLine="420" w:firstLineChars="20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pPr>
        <w:spacing w:line="360" w:lineRule="auto"/>
        <w:ind w:firstLine="420" w:firstLineChars="20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第七条交货和验收</w:t>
      </w:r>
    </w:p>
    <w:p>
      <w:pPr>
        <w:spacing w:line="360" w:lineRule="auto"/>
        <w:ind w:firstLine="420" w:firstLineChars="20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pPr>
        <w:spacing w:line="360" w:lineRule="auto"/>
        <w:ind w:firstLine="420" w:firstLineChars="20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7.4甲方应当在到货后的</w:t>
      </w:r>
      <w:r>
        <w:rPr>
          <w:rFonts w:hint="eastAsia" w:asciiTheme="minorEastAsia" w:hAnsiTheme="minorEastAsia"/>
          <w:szCs w:val="21"/>
        </w:rPr>
        <w:t>个工作日内对货物进行验收；需要乙方对货物或系统进行安装调试的，甲方应在货物安装调试完毕后的个工作日内进行质量验收。</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第八条保修及其他服务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hint="eastAsia" w:asciiTheme="minorEastAsia" w:hAnsiTheme="minorEastAsia"/>
          <w:szCs w:val="21"/>
        </w:rPr>
        <w:t>所有货物保修服务方式均为乙方上门保修，即由乙方派员到货物使用现场维修，由此产生的一切费用均由乙方承担。保修期后的货物维护另行协商。</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第九条履约保证金</w:t>
      </w:r>
    </w:p>
    <w:p>
      <w:pPr>
        <w:spacing w:line="360" w:lineRule="auto"/>
        <w:ind w:firstLine="420" w:firstLineChars="20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pPr>
        <w:spacing w:line="360" w:lineRule="auto"/>
        <w:ind w:firstLine="420" w:firstLineChars="20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pPr>
        <w:spacing w:line="360" w:lineRule="auto"/>
        <w:ind w:firstLine="420" w:firstLineChars="20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第十条货款支付</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10.1本合同以人民币付款。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10.2付款条件：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10.3付款方式和时间：</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第十一条违约责任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pPr>
        <w:spacing w:line="360" w:lineRule="auto"/>
        <w:ind w:firstLine="420" w:firstLineChars="200"/>
        <w:jc w:val="left"/>
        <w:rPr>
          <w:rFonts w:asciiTheme="minorEastAsia" w:hAnsiTheme="minorEastAsia"/>
          <w:szCs w:val="21"/>
        </w:rPr>
      </w:pPr>
      <w:r>
        <w:rPr>
          <w:rFonts w:asciiTheme="minorEastAsia" w:hAnsiTheme="minorEastAsia"/>
          <w:szCs w:val="21"/>
        </w:rPr>
        <w:t>11.3乙方逾期交付货物的</w:t>
      </w:r>
      <w:r>
        <w:rPr>
          <w:rFonts w:hint="eastAsia" w:asciiTheme="minorEastAsia" w:hAnsiTheme="minorEastAsia"/>
          <w:szCs w:val="21"/>
        </w:rPr>
        <w:t>，</w:t>
      </w:r>
      <w:r>
        <w:rPr>
          <w:rFonts w:asciiTheme="minorEastAsia" w:hAnsiTheme="minorEastAsia"/>
          <w:szCs w:val="21"/>
        </w:rPr>
        <w:t>每逾期1天，乙方向甲方偿付逾期交货部分货款总额的</w:t>
      </w:r>
      <w:r>
        <w:rPr>
          <w:rFonts w:hint="eastAsia" w:asciiTheme="minorEastAsia" w:hAnsiTheme="minorEastAsia"/>
          <w:szCs w:val="21"/>
        </w:rPr>
        <w:t>【】</w:t>
      </w:r>
      <w:r>
        <w:rPr>
          <w:rFonts w:asciiTheme="minorEastAsia" w:hAnsiTheme="minorEastAsia"/>
          <w:szCs w:val="21"/>
        </w:rPr>
        <w:t>‰的滞纳金</w:t>
      </w:r>
      <w:r>
        <w:rPr>
          <w:rFonts w:hint="eastAsia" w:asciiTheme="minorEastAsia" w:hAnsiTheme="minorEastAsia"/>
          <w:szCs w:val="21"/>
        </w:rPr>
        <w:t>。如乙方逾期交货达天，甲方有权解除合同，履约保证金不予退回，同时乙方应向甲方支付合同总价【】％的违约金。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hint="eastAsia" w:asciiTheme="minorEastAsia" w:hAnsiTheme="minorEastAsia"/>
          <w:szCs w:val="21"/>
        </w:rPr>
        <w:t>或更换</w:t>
      </w:r>
      <w:r>
        <w:rPr>
          <w:rFonts w:asciiTheme="minorEastAsia" w:hAnsiTheme="minorEastAsia"/>
          <w:szCs w:val="21"/>
        </w:rPr>
        <w:t>，货物仍不能达到合同约定</w:t>
      </w:r>
      <w:r>
        <w:rPr>
          <w:rFonts w:hint="eastAsia" w:asciiTheme="minorEastAsia" w:hAnsiTheme="minorEastAsia"/>
          <w:szCs w:val="21"/>
        </w:rPr>
        <w:t>的</w:t>
      </w:r>
      <w:r>
        <w:rPr>
          <w:rFonts w:asciiTheme="minorEastAsia" w:hAnsiTheme="minorEastAsia"/>
          <w:szCs w:val="21"/>
        </w:rPr>
        <w:t>质量标准，甲方有权退货，乙方</w:t>
      </w:r>
      <w:r>
        <w:rPr>
          <w:rFonts w:hint="eastAsia" w:asciiTheme="minorEastAsia" w:hAnsiTheme="minorEastAsia"/>
          <w:szCs w:val="21"/>
        </w:rPr>
        <w:t>应</w:t>
      </w:r>
      <w:r>
        <w:rPr>
          <w:rFonts w:asciiTheme="minorEastAsia" w:hAnsiTheme="minorEastAsia"/>
          <w:szCs w:val="21"/>
        </w:rPr>
        <w:t>退回全部货款</w:t>
      </w:r>
      <w:r>
        <w:rPr>
          <w:rFonts w:hint="eastAsia" w:asciiTheme="minorEastAsia" w:hAnsiTheme="minorEastAsia"/>
          <w:szCs w:val="21"/>
        </w:rPr>
        <w:t>并</w:t>
      </w:r>
      <w:r>
        <w:rPr>
          <w:rFonts w:asciiTheme="minorEastAsia" w:hAnsiTheme="minorEastAsia"/>
          <w:szCs w:val="21"/>
        </w:rPr>
        <w:t>赔偿甲方因此遭受的损失。</w:t>
      </w:r>
    </w:p>
    <w:p>
      <w:pPr>
        <w:spacing w:line="360" w:lineRule="auto"/>
        <w:ind w:firstLine="420" w:firstLineChars="20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第十二条合同的变更、解除或终止</w:t>
      </w:r>
    </w:p>
    <w:p>
      <w:pPr>
        <w:spacing w:line="360" w:lineRule="auto"/>
        <w:ind w:firstLine="420" w:firstLineChars="20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pPr>
        <w:spacing w:line="360" w:lineRule="auto"/>
        <w:ind w:firstLine="420" w:firstLineChars="200"/>
        <w:jc w:val="left"/>
        <w:rPr>
          <w:rFonts w:asciiTheme="minorEastAsia" w:hAnsiTheme="minorEastAsia"/>
          <w:szCs w:val="21"/>
        </w:rPr>
      </w:pPr>
      <w:r>
        <w:rPr>
          <w:rFonts w:asciiTheme="minorEastAsia" w:hAnsiTheme="minorEastAsia"/>
          <w:szCs w:val="21"/>
        </w:rPr>
        <w:t>12.</w:t>
      </w:r>
      <w:r>
        <w:rPr>
          <w:rFonts w:hint="eastAsia" w:asciiTheme="minorEastAsia" w:hAnsiTheme="minor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第十三条争议的解决</w:t>
      </w:r>
    </w:p>
    <w:p>
      <w:pPr>
        <w:spacing w:line="360" w:lineRule="auto"/>
        <w:ind w:firstLine="420" w:firstLineChars="20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第十四条合同生效及其他</w:t>
      </w:r>
    </w:p>
    <w:p>
      <w:pPr>
        <w:spacing w:line="360" w:lineRule="auto"/>
        <w:ind w:firstLine="420" w:firstLineChars="200"/>
        <w:jc w:val="left"/>
        <w:rPr>
          <w:rFonts w:asciiTheme="minorEastAsia" w:hAnsiTheme="minorEastAsia"/>
          <w:szCs w:val="21"/>
        </w:rPr>
      </w:pPr>
      <w:r>
        <w:rPr>
          <w:rFonts w:asciiTheme="minorEastAsia" w:hAnsiTheme="minorEastAsia"/>
          <w:szCs w:val="21"/>
        </w:rPr>
        <w:t>14.1下列文件均为本合同的组成部分：</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1）</w:t>
      </w:r>
      <w:r>
        <w:rPr>
          <w:rFonts w:hint="eastAsia" w:asciiTheme="minorEastAsia" w:hAnsiTheme="minorEastAsia"/>
          <w:szCs w:val="21"/>
        </w:rPr>
        <w:t>招标文件、答疑及补充通知；</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2）乙方的投标文件；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3）本合同执行中甲乙双方共同签署的补充与修正文件。</w:t>
      </w:r>
    </w:p>
    <w:p>
      <w:pPr>
        <w:spacing w:line="360" w:lineRule="auto"/>
        <w:ind w:firstLine="420" w:firstLineChars="200"/>
        <w:jc w:val="left"/>
        <w:rPr>
          <w:rFonts w:asciiTheme="minorEastAsia" w:hAnsiTheme="minorEastAsia"/>
          <w:szCs w:val="21"/>
        </w:rPr>
      </w:pPr>
      <w:r>
        <w:rPr>
          <w:rFonts w:asciiTheme="minorEastAsia" w:hAnsiTheme="minorEastAsia"/>
          <w:szCs w:val="21"/>
        </w:rPr>
        <w:t>14.2本合同一式</w:t>
      </w:r>
      <w:r>
        <w:rPr>
          <w:rFonts w:hint="eastAsia" w:asciiTheme="minorEastAsia" w:hAnsiTheme="minorEastAsia"/>
          <w:szCs w:val="21"/>
        </w:rPr>
        <w:t>份，甲、乙方双方各执份，具有同等法律效力。本合同自双方签字并盖章之日起生效。</w:t>
      </w:r>
    </w:p>
    <w:p>
      <w:pPr>
        <w:snapToGrid w:val="0"/>
        <w:spacing w:line="360" w:lineRule="auto"/>
        <w:ind w:firstLine="420" w:firstLineChars="200"/>
        <w:rPr>
          <w:rFonts w:ascii="宋体" w:hAnsi="宋体"/>
          <w:szCs w:val="21"/>
        </w:rPr>
      </w:pPr>
      <w:r>
        <w:rPr>
          <w:rFonts w:asciiTheme="minorEastAsia" w:hAnsiTheme="minorEastAsia"/>
          <w:szCs w:val="21"/>
        </w:rPr>
        <w:t>14.</w:t>
      </w:r>
      <w:r>
        <w:rPr>
          <w:rFonts w:hint="eastAsia" w:asciiTheme="minorEastAsia" w:hAnsiTheme="minorEastAsia"/>
          <w:szCs w:val="21"/>
        </w:rPr>
        <w:t>3</w:t>
      </w:r>
      <w:r>
        <w:rPr>
          <w:rFonts w:hint="eastAsia" w:ascii="宋体" w:hAnsi="宋体"/>
          <w:szCs w:val="21"/>
        </w:rPr>
        <w:t>本合同未尽事宜，双方友好协商，达成解决方案，经双方签字后，可作为本合同的有效附件。</w:t>
      </w:r>
    </w:p>
    <w:p>
      <w:pPr>
        <w:spacing w:line="360" w:lineRule="auto"/>
        <w:ind w:firstLine="420" w:firstLineChars="200"/>
        <w:jc w:val="left"/>
        <w:rPr>
          <w:rFonts w:asciiTheme="minorEastAsia" w:hAnsiTheme="minorEastAsia"/>
          <w:szCs w:val="21"/>
        </w:rPr>
      </w:pPr>
    </w:p>
    <w:p>
      <w:pPr>
        <w:pStyle w:val="26"/>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pacing w:line="360" w:lineRule="auto"/>
        <w:ind w:firstLine="420" w:firstLineChars="200"/>
        <w:jc w:val="left"/>
        <w:rPr>
          <w:rFonts w:asciiTheme="minorEastAsia" w:hAnsiTheme="minorEastAsia"/>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  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日期：   年     月    日</w:t>
      </w: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pStyle w:val="2"/>
      </w:pPr>
      <w:bookmarkStart w:id="87" w:name="_Toc107846041"/>
      <w:r>
        <w:rPr>
          <w:rFonts w:hint="eastAsia"/>
        </w:rPr>
        <w:t>第九章  附件</w:t>
      </w:r>
      <w:bookmarkEnd w:id="87"/>
    </w:p>
    <w:p>
      <w:pPr>
        <w:pStyle w:val="4"/>
        <w:spacing w:before="0" w:after="0"/>
      </w:pPr>
      <w:bookmarkStart w:id="88" w:name="_Toc107846042"/>
      <w:r>
        <w:rPr>
          <w:rFonts w:hint="eastAsia"/>
        </w:rPr>
        <w:t>一、财政部 工业和信息化部关于印发《政府采购促进中小企业发展管理办法》的通知</w:t>
      </w:r>
      <w:bookmarkEnd w:id="88"/>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财库〔2020〕46号</w:t>
      </w: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各中央预算单位办公厅（室），各省、自治区、直辖市、计划单列市财政厅（局）、工业和信息化主管部门，新疆生产建设兵团财政局、工业和信息化主管部门：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附件：政府采购促进中小企业发展管理办法</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财　　政　　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工业和信息化部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2020年12月18日</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附件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center"/>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政府采购促进中小企业发展管理办法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第一条</w:t>
      </w:r>
      <w:r>
        <w:rPr>
          <w:rFonts w:hint="eastAsia" w:asciiTheme="minorEastAsia" w:hAnsiTheme="minorEastAsia" w:eastAsiaTheme="minorEastAsia"/>
          <w:color w:val="333333"/>
          <w:sz w:val="21"/>
          <w:szCs w:val="21"/>
        </w:rPr>
        <w:t>　为了发挥政府采购的政策功能，促进中小企业健康发展，根据《中华人民共和国政府采购法》、《中华人民共和国中小企业促进法》等有关法律法规，制定本办法。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第二条</w:t>
      </w:r>
      <w:r>
        <w:rPr>
          <w:rFonts w:hint="eastAsia" w:asciiTheme="minorEastAsia" w:hAnsiTheme="minorEastAsia" w:eastAsiaTheme="minorEastAsia"/>
          <w:color w:val="333333"/>
          <w:sz w:val="21"/>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符合中小企业划分标准的个体工商户，在政府采购活动中视同中小企业。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第三条</w:t>
      </w:r>
      <w:r>
        <w:rPr>
          <w:rFonts w:hint="eastAsia" w:asciiTheme="minorEastAsia" w:hAnsiTheme="minorEastAsia" w:eastAsiaTheme="minorEastAsia"/>
          <w:color w:val="333333"/>
          <w:sz w:val="21"/>
          <w:szCs w:val="21"/>
        </w:rPr>
        <w:t>　采购人在政府采购活动中应当通过加强采购需求管理，落实预留采购份额、价格评审优惠、优先采购等措施，提高中小企业在政府采购中的份额，支持中小企业发展。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第四条</w:t>
      </w:r>
      <w:r>
        <w:rPr>
          <w:rFonts w:hint="eastAsia" w:asciiTheme="minorEastAsia" w:hAnsiTheme="minorEastAsia" w:eastAsiaTheme="minorEastAsia"/>
          <w:color w:val="333333"/>
          <w:sz w:val="21"/>
          <w:szCs w:val="21"/>
        </w:rPr>
        <w:t>　在政府采购活动中，供应商提供的货物、工程或者服务符合下列情形的，享受本办法规定的中小企业扶持政策：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（一）在货物采购项目中，货物由中小企业制造，即货物由中小企业生产且使用该中小企业商号或者注册商标；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（二）在工程采购项目中，工程由中小企业承建，即工程施工单位为中小企业；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（三）在服务采购项目中，服务由中小企业承接，即提供服务的人员为中小企业依照《中华人民共和国劳动合同法》订立劳动合同的从业人员。</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在货物采购项目中，供应商提供的货物既有中小企业制造货物，也有大型企业制造货物的，不享受本办法规定的中小企业扶持政策。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以联合体形式参加政府采购活动，联合体各方均为中小企业的，联合体视同中小企业。其中，联合体各方均为小微企业的，联合体视同小微企业。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第五条</w:t>
      </w:r>
      <w:r>
        <w:rPr>
          <w:rFonts w:hint="eastAsia" w:asciiTheme="minorEastAsia" w:hAnsiTheme="minorEastAsia" w:eastAsiaTheme="minorEastAsia"/>
          <w:color w:val="333333"/>
          <w:sz w:val="21"/>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第六条</w:t>
      </w:r>
      <w:r>
        <w:rPr>
          <w:rFonts w:hint="eastAsia" w:asciiTheme="minorEastAsia" w:hAnsiTheme="minorEastAsia" w:eastAsiaTheme="minorEastAsia"/>
          <w:color w:val="333333"/>
          <w:sz w:val="21"/>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符合下列情形之一的，可不专门面向中小企业预留采购份额：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（一）法律法规和国家有关政策明确规定优先或者应当面向事业单位、社会组织等非企业主体采购的；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（二）因确需使用不可替代的专利、专有技术，基础设施限制，或者提供特定公共服务等原因，只能从中小企业之外的供应商处采购的；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（三）按照本办法规定预留采购份额无法确保充分供应、充分竞争，或者存在可能影响政府采购目标实现的情形；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（四）框架协议采购项目；</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（五）省级以上人民政府财政部门规定的其他情形。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除上述情形外，其他均为适宜由中小企业提供的情形。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第七条</w:t>
      </w:r>
      <w:r>
        <w:rPr>
          <w:rFonts w:hint="eastAsia" w:asciiTheme="minorEastAsia" w:hAnsiTheme="minorEastAsia" w:eastAsiaTheme="minorEastAsia"/>
          <w:color w:val="333333"/>
          <w:sz w:val="21"/>
          <w:szCs w:val="21"/>
        </w:rPr>
        <w:t>　采购限额标准以上，200万元以下的货物和服务采购项目、400万元以下的工程采购项目，适宜由中小企业提供的，采购人应当专门面向中小企业采购。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第八条</w:t>
      </w:r>
      <w:r>
        <w:rPr>
          <w:rFonts w:hint="eastAsia" w:asciiTheme="minorEastAsia" w:hAnsiTheme="minorEastAsia" w:eastAsiaTheme="minorEastAsia"/>
          <w:color w:val="333333"/>
          <w:sz w:val="21"/>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（一）将采购项目整体或者设置采购包专门面向中小企业采购；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（二）要求供应商以联合体形式参加采购活动，且联合体中中小企业承担的部分达到一定比例；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（三）要求获得采购合同的供应商将采购项目中的一定比例分包给一家或者多家中小企业。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组成联合体或者接受分包合同的中小企业与联合体内其他企业、分包企业之间不得存在直接控股、管理关系。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第九条</w:t>
      </w:r>
      <w:r>
        <w:rPr>
          <w:rFonts w:hint="eastAsia" w:asciiTheme="minorEastAsia" w:hAnsiTheme="minorEastAsia" w:eastAsiaTheme="minorEastAsia"/>
          <w:color w:val="333333"/>
          <w:sz w:val="21"/>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第十条</w:t>
      </w:r>
      <w:r>
        <w:rPr>
          <w:rFonts w:hint="eastAsia" w:asciiTheme="minorEastAsia" w:hAnsiTheme="minorEastAsia" w:eastAsiaTheme="minorEastAsia"/>
          <w:color w:val="333333"/>
          <w:sz w:val="21"/>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第十一条</w:t>
      </w:r>
      <w:r>
        <w:rPr>
          <w:rFonts w:hint="eastAsia" w:asciiTheme="minorEastAsia" w:hAnsiTheme="minorEastAsia" w:eastAsiaTheme="minorEastAsia"/>
          <w:color w:val="333333"/>
          <w:sz w:val="21"/>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第十二条</w:t>
      </w:r>
      <w:r>
        <w:rPr>
          <w:rFonts w:hint="eastAsia" w:asciiTheme="minorEastAsia" w:hAnsiTheme="minorEastAsia" w:eastAsiaTheme="minorEastAsia"/>
          <w:color w:val="333333"/>
          <w:sz w:val="21"/>
          <w:szCs w:val="21"/>
        </w:rPr>
        <w:t>　采购项目涉及中小企业采购的，采购文件应当明确以下内容：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（一）预留份额的采购项目或者采购包，明确该项目或相关采购包专门面向中小企业采购，以及相关标的及预算金额；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（二）要求以联合体形式参加或者合同分包的，明确联合协议或者分包意向协议中中小企业合同金额应当达到的比例，并作为供应商资格条件；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（三）非预留份额的采购项目或者采购包，明确有关价格扣除比例或者价格分加分比例；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（四）规定依据本办法规定享受扶持政策获得政府采购合同的，小微企业不得将合同分包给大中型企业，中型企业不得将合同分包给大型企业；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（五）采购人认为具备相关条件的，明确对中小企业在资金支付期限、预付款比例等方面的优惠措施；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（六）明确采购标的对应的中小企业划分标准所属行业；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（七）法律法规和省级以上人民政府财政部门规定的其他事项。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第十三条</w:t>
      </w:r>
      <w:r>
        <w:rPr>
          <w:rFonts w:hint="eastAsia" w:asciiTheme="minorEastAsia" w:hAnsiTheme="minorEastAsia" w:eastAsiaTheme="minorEastAsia"/>
          <w:color w:val="333333"/>
          <w:sz w:val="21"/>
          <w:szCs w:val="21"/>
        </w:rPr>
        <w:t>　中标、成交供应商享受本办法规定的中小企业扶持政策的，采购人、采购代理机构应当随中标、成交结果公开中标、成交供应商的《中小企业声明函》。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适用招标投标法的政府采购工程建设项目，应当在公示中标候选人时公开中标候选人的《中小企业声明函》。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第十四条</w:t>
      </w:r>
      <w:r>
        <w:rPr>
          <w:rFonts w:hint="eastAsia" w:asciiTheme="minorEastAsia" w:hAnsiTheme="minorEastAsia" w:eastAsiaTheme="minorEastAsia"/>
          <w:color w:val="333333"/>
          <w:sz w:val="21"/>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第十五条</w:t>
      </w:r>
      <w:r>
        <w:rPr>
          <w:rFonts w:hint="eastAsia" w:asciiTheme="minorEastAsia" w:hAnsiTheme="minorEastAsia" w:eastAsiaTheme="minorEastAsia"/>
          <w:color w:val="333333"/>
          <w:sz w:val="21"/>
          <w:szCs w:val="21"/>
        </w:rPr>
        <w:t>　鼓励各地区、各部门在采购活动中允许中小企业引入信用担保手段，为中小企业在投标（响应）保证、履约保证等方面提供专业化服务。鼓励中小企业依法合规通过政府采购合同融资。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第十六条</w:t>
      </w:r>
      <w:r>
        <w:rPr>
          <w:rFonts w:hint="eastAsia" w:asciiTheme="minorEastAsia" w:hAnsiTheme="minorEastAsia" w:eastAsiaTheme="minorEastAsia"/>
          <w:color w:val="333333"/>
          <w:sz w:val="21"/>
          <w:szCs w:val="21"/>
        </w:rPr>
        <w:t>　政府采购监督检查、投诉处理及政府采购行政处罚中对中小企业的认定，由货物制造商或者工程、服务供应商注册登记所在地的县级以上人民政府中小企业主管部门负责。</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中小企业主管部门应当在收到财政部门或者有关招标投标行政监督部门关于协助开展中小企业认定函后10个工作日内做出书面答复。</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第十七条</w:t>
      </w:r>
      <w:r>
        <w:rPr>
          <w:rFonts w:hint="eastAsia" w:asciiTheme="minorEastAsia" w:hAnsiTheme="minorEastAsia" w:eastAsiaTheme="minorEastAsia"/>
          <w:color w:val="333333"/>
          <w:sz w:val="21"/>
          <w:szCs w:val="21"/>
        </w:rPr>
        <w:t>　各地区、各部门应当对涉及中小企业采购的预算项目实施全过程绩效管理，合理设置绩效目标和指标，落实扶持中小企业有关政策要求，定期开展绩效监控和评价，强化绩效评价结果应用。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第十八条</w:t>
      </w:r>
      <w:r>
        <w:rPr>
          <w:rFonts w:hint="eastAsia" w:asciiTheme="minorEastAsia" w:hAnsiTheme="minorEastAsia" w:eastAsiaTheme="minorEastAsia"/>
          <w:color w:val="333333"/>
          <w:sz w:val="21"/>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第十九条</w:t>
      </w:r>
      <w:r>
        <w:rPr>
          <w:rFonts w:hint="eastAsia" w:asciiTheme="minorEastAsia" w:hAnsiTheme="minorEastAsia" w:eastAsiaTheme="minorEastAsia"/>
          <w:color w:val="333333"/>
          <w:sz w:val="21"/>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第二十条</w:t>
      </w:r>
      <w:r>
        <w:rPr>
          <w:rFonts w:hint="eastAsia" w:asciiTheme="minorEastAsia" w:hAnsiTheme="minorEastAsia" w:eastAsiaTheme="minorEastAsia"/>
          <w:color w:val="333333"/>
          <w:sz w:val="21"/>
          <w:szCs w:val="21"/>
        </w:rPr>
        <w:t>　供应商按照本办法规定提供声明函内容不实的，属于提供虚假材料谋取中标、成交，依照《中华人民共和国政府采购法》等国家有关规定追究相应责任。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第二十一条</w:t>
      </w:r>
      <w:r>
        <w:rPr>
          <w:rFonts w:hint="eastAsia" w:asciiTheme="minorEastAsia" w:hAnsiTheme="minorEastAsia" w:eastAsiaTheme="minorEastAsia"/>
          <w:color w:val="333333"/>
          <w:sz w:val="21"/>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第二十二条</w:t>
      </w:r>
      <w:r>
        <w:rPr>
          <w:rFonts w:hint="eastAsia" w:asciiTheme="minorEastAsia" w:hAnsiTheme="minorEastAsia" w:eastAsiaTheme="minorEastAsia"/>
          <w:color w:val="333333"/>
          <w:sz w:val="21"/>
          <w:szCs w:val="21"/>
        </w:rPr>
        <w:t>　对外援助项目、国家相关资格或者资质管理制度另有规定的项目，不适用本办法。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第二十三条</w:t>
      </w:r>
      <w:r>
        <w:rPr>
          <w:rFonts w:hint="eastAsia" w:asciiTheme="minorEastAsia" w:hAnsiTheme="minorEastAsia" w:eastAsiaTheme="minorEastAsia"/>
          <w:color w:val="333333"/>
          <w:sz w:val="21"/>
          <w:szCs w:val="21"/>
        </w:rPr>
        <w:t>　关于视同中小企业的其他主体的政府采购扶持政策，由财政部会同有关部门另行规定。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第二十四条</w:t>
      </w:r>
      <w:r>
        <w:rPr>
          <w:rFonts w:hint="eastAsia" w:asciiTheme="minorEastAsia" w:hAnsiTheme="minorEastAsia" w:eastAsiaTheme="minorEastAsia"/>
          <w:color w:val="333333"/>
          <w:sz w:val="21"/>
          <w:szCs w:val="21"/>
        </w:rPr>
        <w:t>　省级财政部门可以会同中小企业主管部门根据本办法的规定制定具体实施办法。</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第二十五条</w:t>
      </w:r>
      <w:r>
        <w:rPr>
          <w:rFonts w:hint="eastAsia" w:asciiTheme="minorEastAsia" w:hAnsiTheme="minorEastAsia" w:eastAsiaTheme="minorEastAsia"/>
          <w:color w:val="333333"/>
          <w:sz w:val="21"/>
          <w:szCs w:val="21"/>
        </w:rPr>
        <w:t>　本办法自2021年1月1日起施行。《财政部 工业和信息化部关于印发〈政府采购促进中小企业发展暂行办法〉的通知》（财库〔2011〕181号）同时废止。</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p>
    <w:p>
      <w:pPr>
        <w:spacing w:line="360" w:lineRule="auto"/>
        <w:rPr>
          <w:rFonts w:asciiTheme="minorEastAsia" w:hAnsiTheme="minorEastAsia" w:eastAsiaTheme="minorEastAsia"/>
          <w:szCs w:val="21"/>
        </w:rPr>
      </w:pPr>
    </w:p>
    <w:p>
      <w:pPr>
        <w:pStyle w:val="4"/>
        <w:spacing w:before="0" w:after="0"/>
      </w:pPr>
      <w:bookmarkStart w:id="89" w:name="_Toc107846043"/>
      <w:r>
        <w:rPr>
          <w:rFonts w:hint="eastAsia"/>
        </w:rPr>
        <w:t>二、关于印发中小企业划型标准规定的通知</w:t>
      </w:r>
      <w:bookmarkEnd w:id="89"/>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工信部联企业〔2011〕300号</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各省、自治区、直辖市人民政府，国务院各部委、各直属机构及有关单位：</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45"/>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工业和信息化部　国家统计局</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国家发展和改革委员会　财政部</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二○一一年六月十八日</w:t>
      </w:r>
    </w:p>
    <w:p>
      <w:pPr>
        <w:pStyle w:val="45"/>
        <w:shd w:val="clear" w:color="auto" w:fill="FFFFFF"/>
        <w:spacing w:line="360" w:lineRule="auto"/>
        <w:jc w:val="center"/>
        <w:rPr>
          <w:rFonts w:asciiTheme="minorEastAsia" w:hAnsiTheme="minorEastAsia" w:eastAsiaTheme="minorEastAsia"/>
          <w:color w:val="000000"/>
          <w:sz w:val="21"/>
          <w:szCs w:val="21"/>
        </w:rPr>
      </w:pPr>
      <w:r>
        <w:rPr>
          <w:rStyle w:val="53"/>
          <w:rFonts w:hint="eastAsia" w:asciiTheme="minorEastAsia" w:hAnsiTheme="minorEastAsia" w:eastAsiaTheme="minorEastAsia"/>
          <w:color w:val="000000"/>
          <w:sz w:val="21"/>
          <w:szCs w:val="21"/>
        </w:rPr>
        <w:t>中小企业划型标准规定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一、根据《中华人民共和国中小企业促进法》和《国务院关于进一步促进中小企业发展的若干意见》(国发〔2009〕36号)，制定本规定。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二、中小企业划分为中型、小型、微型三种类型，具体标准根据企业从业人员、营业收入、资产总额等指标，结合行业特点制定。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四、各行业划型标准为：</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（一）农、林、牧、渔业。营业收入20000万元以下的为中小微型企业。其中，营业收入500万元及以上的为中型企业，营业收入50万元及以上的为小型企业，营业收入50万元以下的为微型企业。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（十六）其他未列明行业。从业人员300人以下的为中小微型企业。其中，从业人员100人及以上的为中型企业；从业人员10人及以上的为小型企业；从业人员10人以下的为微型企业。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五、企业类型的划分以统计部门的统计数据为依据。</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六、本规定适用于在中华人民共和国境内依法设立的各类所有制和各种组织形式的企业。个体工商户和本规定以外的行业，参照本规定进行划型。</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八、本规定由工业和信息化部、国家统计局会同有关部门根据《国民经济行业分类》修订情况和企业发展变化情况适时修订。</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九、本规定由工业和信息化部、国家统计局会同有关部门负责解释。</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十、本规定自发布之日起执行，原国家经贸委、原国家计委、财政部和国家统计局2003年颁布的《中小企业标准暂行规定》同时废止。</w:t>
      </w:r>
    </w:p>
    <w:p>
      <w:pPr>
        <w:pStyle w:val="45"/>
        <w:shd w:val="clear" w:color="auto" w:fill="FFFFFF"/>
        <w:spacing w:line="360" w:lineRule="auto"/>
        <w:rPr>
          <w:rFonts w:asciiTheme="minorEastAsia" w:hAnsiTheme="minorEastAsia" w:eastAsiaTheme="minorEastAsia"/>
          <w:color w:val="000000"/>
          <w:sz w:val="21"/>
          <w:szCs w:val="21"/>
        </w:rPr>
      </w:pPr>
    </w:p>
    <w:p>
      <w:pPr>
        <w:pStyle w:val="4"/>
        <w:spacing w:before="0" w:after="0"/>
      </w:pPr>
      <w:bookmarkStart w:id="90" w:name="_Toc107846044"/>
      <w:r>
        <w:rPr>
          <w:rFonts w:hint="eastAsia"/>
        </w:rPr>
        <w:t>三、</w:t>
      </w:r>
      <w:r>
        <w:t>国家统计局关于印发《统计上大中小微型企业划分办法 （2017）》的通知</w:t>
      </w:r>
      <w:bookmarkEnd w:id="90"/>
      <w:r>
        <w:t> </w:t>
      </w:r>
    </w:p>
    <w:p>
      <w:pPr>
        <w:widowControl/>
        <w:shd w:val="clear" w:color="auto" w:fill="FFFFFF"/>
        <w:spacing w:line="360" w:lineRule="auto"/>
        <w:jc w:val="left"/>
        <w:rPr>
          <w:rFonts w:cs="Arial" w:asciiTheme="minorEastAsia" w:hAnsiTheme="minorEastAsia" w:eastAsiaTheme="minorEastAsia"/>
          <w:color w:val="999999"/>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0"/>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4"/>
        <w:spacing w:before="0" w:after="0"/>
      </w:pPr>
      <w:bookmarkStart w:id="91" w:name="_Toc107846045"/>
      <w:r>
        <w:rPr>
          <w:rFonts w:hint="eastAsia"/>
        </w:rPr>
        <w:t>四、</w:t>
      </w:r>
      <w:r>
        <w:t>财政部 民政部 中国残疾人联合会关于促进残疾人就业 政府采购政策的通知</w:t>
      </w:r>
      <w:bookmarkEnd w:id="91"/>
    </w:p>
    <w:p>
      <w:pPr>
        <w:pStyle w:val="45"/>
        <w:shd w:val="clear" w:color="auto" w:fill="FFFFFF"/>
        <w:spacing w:line="360" w:lineRule="auto"/>
        <w:jc w:val="cente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asciiTheme="minorEastAsia" w:hAnsiTheme="minorEastAsia" w:eastAsiaTheme="minorEastAsia"/>
          <w:szCs w:val="21"/>
        </w:rPr>
      </w:pPr>
      <w:r>
        <w:rPr>
          <w:rFonts w:hint="eastAsia" w:cs="宋体" w:asciiTheme="minorEastAsia" w:hAnsiTheme="minorEastAsia" w:eastAsiaTheme="minorEastAsia"/>
          <w:kern w:val="0"/>
          <w:szCs w:val="21"/>
        </w:rPr>
        <w:t>  2017年8月22日</w:t>
      </w:r>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H Yb 2gj">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宋体"/>
    <w:panose1 w:val="00000000000000000000"/>
    <w:charset w:val="86"/>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ˎ̥">
    <w:altName w:val="Times New Roman"/>
    <w:panose1 w:val="00000000000000000000"/>
    <w:charset w:val="00"/>
    <w:family w:val="roman"/>
    <w:pitch w:val="default"/>
    <w:sig w:usb0="00000000" w:usb1="00000000" w:usb2="00000000" w:usb3="00000000" w:csb0="00040001" w:csb1="00000000"/>
  </w:font>
  <w:font w:name="??">
    <w:altName w:val="Times New Roman"/>
    <w:panose1 w:val="00000000000000000000"/>
    <w:charset w:val="01"/>
    <w:family w:val="auto"/>
    <w:pitch w:val="default"/>
    <w:sig w:usb0="00000000" w:usb1="00000000" w:usb2="00000000" w:usb3="00000000" w:csb0="00040001" w:csb1="00000000"/>
  </w:font>
  <w:font w:name="经典标宋简">
    <w:altName w:val="宋体"/>
    <w:panose1 w:val="00000000000000000000"/>
    <w:charset w:val="86"/>
    <w:family w:val="auto"/>
    <w:pitch w:val="default"/>
    <w:sig w:usb0="00000000" w:usb1="00000000" w:usb2="0000001E" w:usb3="00000000" w:csb0="00040000" w:csb1="00000000"/>
  </w:font>
  <w:font w:name="经典等线简">
    <w:altName w:val="宋体"/>
    <w:panose1 w:val="00000000000000000000"/>
    <w:charset w:val="86"/>
    <w:family w:val="auto"/>
    <w:pitch w:val="default"/>
    <w:sig w:usb0="00000000" w:usb1="00000000" w:usb2="0000001E" w:usb3="00000000" w:csb0="00040000" w:csb1="00000000"/>
  </w:font>
  <w:font w:name="MS Mincho">
    <w:panose1 w:val="02020609040205080304"/>
    <w:charset w:val="80"/>
    <w:family w:val="modern"/>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16</w:t>
    </w:r>
    <w:r>
      <w:rPr>
        <w:rStyle w:val="54"/>
      </w:rPr>
      <w:fldChar w:fldCharType="end"/>
    </w:r>
  </w:p>
  <w:p>
    <w:pPr>
      <w:pStyle w:val="3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4819"/>
        <w:tab w:val="right" w:pos="9638"/>
      </w:tabs>
      <w:jc w:val="left"/>
      <w:rPr>
        <w:rFonts w:asciiTheme="minorEastAsia" w:hAnsiTheme="minorEastAsia" w:eastAsiaTheme="minorEastAsia"/>
      </w:rPr>
    </w:pPr>
    <w:r>
      <w:tab/>
    </w:r>
    <w:r>
      <w:rPr>
        <w:rFonts w:hint="eastAsia" w:asciiTheme="minorEastAsia" w:hAnsiTheme="minorEastAsia" w:eastAsiaTheme="minorEastAsia"/>
      </w:rPr>
      <w:t>项目名称：鼻阻力仪采购                                                            项目编号：SZZZ2022-QA0165</w:t>
    </w:r>
  </w:p>
  <w:p>
    <w:pPr>
      <w:pStyle w:val="32"/>
      <w:tabs>
        <w:tab w:val="center" w:pos="4819"/>
        <w:tab w:val="right" w:pos="9638"/>
      </w:tabs>
      <w:jc w:val="left"/>
      <w:rPr>
        <w:rFonts w:hint="default" w:eastAsia="宋体"/>
        <w:u w:val="single"/>
        <w:lang w:val="en-US" w:eastAsia="zh-CN"/>
      </w:rPr>
    </w:pPr>
    <w:r>
      <w:rPr>
        <w:u w:val="single"/>
      </w:rPr>
      <w:tab/>
    </w:r>
    <w:r>
      <w:rPr>
        <w:u w:val="single"/>
      </w:rPr>
      <w:tab/>
    </w:r>
    <w:r>
      <w:rPr>
        <w:rFonts w:hint="eastAsia"/>
        <w:u w:val="single"/>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6"/>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6"/>
      <w:lvlText w:val="%5)"/>
      <w:lvlJc w:val="left"/>
      <w:pPr>
        <w:tabs>
          <w:tab w:val="left" w:pos="2111"/>
        </w:tabs>
        <w:ind w:left="2111" w:hanging="420"/>
      </w:pPr>
    </w:lvl>
    <w:lvl w:ilvl="5" w:tentative="0">
      <w:start w:val="1"/>
      <w:numFmt w:val="lowerRoman"/>
      <w:pStyle w:val="8"/>
      <w:lvlText w:val="%6."/>
      <w:lvlJc w:val="right"/>
      <w:pPr>
        <w:tabs>
          <w:tab w:val="left" w:pos="2531"/>
        </w:tabs>
        <w:ind w:left="2531" w:hanging="420"/>
      </w:pPr>
    </w:lvl>
    <w:lvl w:ilvl="6" w:tentative="0">
      <w:start w:val="1"/>
      <w:numFmt w:val="decimal"/>
      <w:pStyle w:val="9"/>
      <w:lvlText w:val="%7."/>
      <w:lvlJc w:val="left"/>
      <w:pPr>
        <w:tabs>
          <w:tab w:val="left" w:pos="2951"/>
        </w:tabs>
        <w:ind w:left="2951" w:hanging="420"/>
      </w:pPr>
    </w:lvl>
    <w:lvl w:ilvl="7" w:tentative="0">
      <w:start w:val="1"/>
      <w:numFmt w:val="lowerLetter"/>
      <w:pStyle w:val="10"/>
      <w:lvlText w:val="%8)"/>
      <w:lvlJc w:val="left"/>
      <w:pPr>
        <w:tabs>
          <w:tab w:val="left" w:pos="3371"/>
        </w:tabs>
        <w:ind w:left="3371" w:hanging="420"/>
      </w:pPr>
    </w:lvl>
    <w:lvl w:ilvl="8" w:tentative="0">
      <w:start w:val="1"/>
      <w:numFmt w:val="lowerRoman"/>
      <w:pStyle w:val="11"/>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3"/>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WVlOWY4ZDBhYWExNjhhMjc2ZTRiNjcxMTg3MmEyNzkifQ=="/>
  </w:docVars>
  <w:rsids>
    <w:rsidRoot w:val="00172A27"/>
    <w:rsid w:val="00000705"/>
    <w:rsid w:val="0000124D"/>
    <w:rsid w:val="0000134D"/>
    <w:rsid w:val="00001635"/>
    <w:rsid w:val="000035D6"/>
    <w:rsid w:val="000036D6"/>
    <w:rsid w:val="00003921"/>
    <w:rsid w:val="000039AF"/>
    <w:rsid w:val="00003A46"/>
    <w:rsid w:val="000042A3"/>
    <w:rsid w:val="00004906"/>
    <w:rsid w:val="000049DE"/>
    <w:rsid w:val="00004AF7"/>
    <w:rsid w:val="00004FC4"/>
    <w:rsid w:val="00005751"/>
    <w:rsid w:val="00005C27"/>
    <w:rsid w:val="0000670A"/>
    <w:rsid w:val="00006922"/>
    <w:rsid w:val="00006E2A"/>
    <w:rsid w:val="000074B0"/>
    <w:rsid w:val="000103E3"/>
    <w:rsid w:val="00010937"/>
    <w:rsid w:val="00010B8D"/>
    <w:rsid w:val="00010DC3"/>
    <w:rsid w:val="00011A45"/>
    <w:rsid w:val="00011AAF"/>
    <w:rsid w:val="00012A6E"/>
    <w:rsid w:val="00012BC4"/>
    <w:rsid w:val="00012F81"/>
    <w:rsid w:val="00013127"/>
    <w:rsid w:val="00014515"/>
    <w:rsid w:val="00014625"/>
    <w:rsid w:val="000155DA"/>
    <w:rsid w:val="00015940"/>
    <w:rsid w:val="00015AF5"/>
    <w:rsid w:val="00016458"/>
    <w:rsid w:val="000165EF"/>
    <w:rsid w:val="00016FC3"/>
    <w:rsid w:val="000208F8"/>
    <w:rsid w:val="00021304"/>
    <w:rsid w:val="0002197F"/>
    <w:rsid w:val="00022C27"/>
    <w:rsid w:val="00022F4F"/>
    <w:rsid w:val="00022FA9"/>
    <w:rsid w:val="000250AF"/>
    <w:rsid w:val="00025B21"/>
    <w:rsid w:val="00025D5B"/>
    <w:rsid w:val="00026249"/>
    <w:rsid w:val="000267DD"/>
    <w:rsid w:val="00026BDD"/>
    <w:rsid w:val="00027415"/>
    <w:rsid w:val="000274F7"/>
    <w:rsid w:val="000307C5"/>
    <w:rsid w:val="00030D77"/>
    <w:rsid w:val="00031887"/>
    <w:rsid w:val="000319D1"/>
    <w:rsid w:val="00034043"/>
    <w:rsid w:val="0003479B"/>
    <w:rsid w:val="000347CB"/>
    <w:rsid w:val="00034900"/>
    <w:rsid w:val="0003493D"/>
    <w:rsid w:val="0003524E"/>
    <w:rsid w:val="00035FE0"/>
    <w:rsid w:val="000367ED"/>
    <w:rsid w:val="0003688B"/>
    <w:rsid w:val="000370BD"/>
    <w:rsid w:val="000372E9"/>
    <w:rsid w:val="00037359"/>
    <w:rsid w:val="0003762A"/>
    <w:rsid w:val="0003795A"/>
    <w:rsid w:val="0004022A"/>
    <w:rsid w:val="00040784"/>
    <w:rsid w:val="00041122"/>
    <w:rsid w:val="000414AB"/>
    <w:rsid w:val="00042758"/>
    <w:rsid w:val="0004315F"/>
    <w:rsid w:val="00043926"/>
    <w:rsid w:val="00043D2B"/>
    <w:rsid w:val="000447F6"/>
    <w:rsid w:val="00045923"/>
    <w:rsid w:val="00045EB5"/>
    <w:rsid w:val="00046595"/>
    <w:rsid w:val="0004741F"/>
    <w:rsid w:val="00047612"/>
    <w:rsid w:val="00047852"/>
    <w:rsid w:val="00047A79"/>
    <w:rsid w:val="00050F73"/>
    <w:rsid w:val="00051378"/>
    <w:rsid w:val="000529DE"/>
    <w:rsid w:val="00053074"/>
    <w:rsid w:val="00053F8F"/>
    <w:rsid w:val="000545F7"/>
    <w:rsid w:val="00054837"/>
    <w:rsid w:val="000550A3"/>
    <w:rsid w:val="0005520A"/>
    <w:rsid w:val="0005526E"/>
    <w:rsid w:val="000558BB"/>
    <w:rsid w:val="00056374"/>
    <w:rsid w:val="0005650D"/>
    <w:rsid w:val="00056617"/>
    <w:rsid w:val="00057655"/>
    <w:rsid w:val="00060526"/>
    <w:rsid w:val="00061300"/>
    <w:rsid w:val="000621B0"/>
    <w:rsid w:val="00062570"/>
    <w:rsid w:val="0006264D"/>
    <w:rsid w:val="0006301D"/>
    <w:rsid w:val="0006339B"/>
    <w:rsid w:val="00064787"/>
    <w:rsid w:val="00064A61"/>
    <w:rsid w:val="00066813"/>
    <w:rsid w:val="000668F4"/>
    <w:rsid w:val="0006745C"/>
    <w:rsid w:val="00067D3F"/>
    <w:rsid w:val="000700C5"/>
    <w:rsid w:val="00070384"/>
    <w:rsid w:val="00071507"/>
    <w:rsid w:val="0007191E"/>
    <w:rsid w:val="00071BA1"/>
    <w:rsid w:val="0007211D"/>
    <w:rsid w:val="000730F3"/>
    <w:rsid w:val="00073348"/>
    <w:rsid w:val="00073A35"/>
    <w:rsid w:val="00073B23"/>
    <w:rsid w:val="00073DB3"/>
    <w:rsid w:val="00073EE2"/>
    <w:rsid w:val="00074554"/>
    <w:rsid w:val="00074BEF"/>
    <w:rsid w:val="00075AD5"/>
    <w:rsid w:val="00080168"/>
    <w:rsid w:val="00080188"/>
    <w:rsid w:val="00080A90"/>
    <w:rsid w:val="00080C2D"/>
    <w:rsid w:val="00081B06"/>
    <w:rsid w:val="000820E6"/>
    <w:rsid w:val="000825F6"/>
    <w:rsid w:val="00082956"/>
    <w:rsid w:val="00082ABE"/>
    <w:rsid w:val="000839DA"/>
    <w:rsid w:val="00083D3F"/>
    <w:rsid w:val="00083E84"/>
    <w:rsid w:val="0008402F"/>
    <w:rsid w:val="00085134"/>
    <w:rsid w:val="000851F8"/>
    <w:rsid w:val="00085317"/>
    <w:rsid w:val="00085419"/>
    <w:rsid w:val="000855C1"/>
    <w:rsid w:val="00085908"/>
    <w:rsid w:val="0008596C"/>
    <w:rsid w:val="00085DE9"/>
    <w:rsid w:val="00085FFE"/>
    <w:rsid w:val="000866A3"/>
    <w:rsid w:val="000867FB"/>
    <w:rsid w:val="00086F62"/>
    <w:rsid w:val="000870F2"/>
    <w:rsid w:val="000878FF"/>
    <w:rsid w:val="00087F07"/>
    <w:rsid w:val="0009127F"/>
    <w:rsid w:val="0009133A"/>
    <w:rsid w:val="0009145A"/>
    <w:rsid w:val="00091526"/>
    <w:rsid w:val="00091CAC"/>
    <w:rsid w:val="00092BD5"/>
    <w:rsid w:val="00093007"/>
    <w:rsid w:val="00094366"/>
    <w:rsid w:val="00095198"/>
    <w:rsid w:val="00095806"/>
    <w:rsid w:val="00095F61"/>
    <w:rsid w:val="00096CE6"/>
    <w:rsid w:val="00097B04"/>
    <w:rsid w:val="000A0947"/>
    <w:rsid w:val="000A0ABE"/>
    <w:rsid w:val="000A0DC0"/>
    <w:rsid w:val="000A24AF"/>
    <w:rsid w:val="000A274D"/>
    <w:rsid w:val="000A2C52"/>
    <w:rsid w:val="000A2D79"/>
    <w:rsid w:val="000A3358"/>
    <w:rsid w:val="000A43D6"/>
    <w:rsid w:val="000A530C"/>
    <w:rsid w:val="000A54E6"/>
    <w:rsid w:val="000A584E"/>
    <w:rsid w:val="000A58B9"/>
    <w:rsid w:val="000A5A8E"/>
    <w:rsid w:val="000A5CD4"/>
    <w:rsid w:val="000A6F16"/>
    <w:rsid w:val="000A7A6C"/>
    <w:rsid w:val="000A7C5A"/>
    <w:rsid w:val="000B0205"/>
    <w:rsid w:val="000B0817"/>
    <w:rsid w:val="000B10D9"/>
    <w:rsid w:val="000B1ED2"/>
    <w:rsid w:val="000B20FC"/>
    <w:rsid w:val="000B3202"/>
    <w:rsid w:val="000B493E"/>
    <w:rsid w:val="000B4F60"/>
    <w:rsid w:val="000B5CC8"/>
    <w:rsid w:val="000B5DFC"/>
    <w:rsid w:val="000B61BF"/>
    <w:rsid w:val="000B620E"/>
    <w:rsid w:val="000B67E1"/>
    <w:rsid w:val="000C080D"/>
    <w:rsid w:val="000C1B95"/>
    <w:rsid w:val="000C299D"/>
    <w:rsid w:val="000C2A5E"/>
    <w:rsid w:val="000C377E"/>
    <w:rsid w:val="000C3B21"/>
    <w:rsid w:val="000C428C"/>
    <w:rsid w:val="000C4328"/>
    <w:rsid w:val="000C4401"/>
    <w:rsid w:val="000C48DA"/>
    <w:rsid w:val="000C605A"/>
    <w:rsid w:val="000C63AE"/>
    <w:rsid w:val="000C6BB0"/>
    <w:rsid w:val="000C7685"/>
    <w:rsid w:val="000D0C86"/>
    <w:rsid w:val="000D0C91"/>
    <w:rsid w:val="000D11F6"/>
    <w:rsid w:val="000D1EAF"/>
    <w:rsid w:val="000D2056"/>
    <w:rsid w:val="000D2C8E"/>
    <w:rsid w:val="000D2CA8"/>
    <w:rsid w:val="000D3909"/>
    <w:rsid w:val="000D39D7"/>
    <w:rsid w:val="000D3DAF"/>
    <w:rsid w:val="000D4816"/>
    <w:rsid w:val="000D48D5"/>
    <w:rsid w:val="000D5E0E"/>
    <w:rsid w:val="000D5E7D"/>
    <w:rsid w:val="000D6088"/>
    <w:rsid w:val="000D6CFF"/>
    <w:rsid w:val="000D6D74"/>
    <w:rsid w:val="000D6F21"/>
    <w:rsid w:val="000D7803"/>
    <w:rsid w:val="000D7D8E"/>
    <w:rsid w:val="000D7DC6"/>
    <w:rsid w:val="000E1550"/>
    <w:rsid w:val="000E18B0"/>
    <w:rsid w:val="000E1BD5"/>
    <w:rsid w:val="000E1C6E"/>
    <w:rsid w:val="000E214A"/>
    <w:rsid w:val="000E21D9"/>
    <w:rsid w:val="000E2823"/>
    <w:rsid w:val="000E3219"/>
    <w:rsid w:val="000E321B"/>
    <w:rsid w:val="000E3D76"/>
    <w:rsid w:val="000E52FA"/>
    <w:rsid w:val="000E5938"/>
    <w:rsid w:val="000E6437"/>
    <w:rsid w:val="000E671E"/>
    <w:rsid w:val="000F06E7"/>
    <w:rsid w:val="000F0B03"/>
    <w:rsid w:val="000F0D6F"/>
    <w:rsid w:val="000F1EDD"/>
    <w:rsid w:val="000F23CA"/>
    <w:rsid w:val="000F243B"/>
    <w:rsid w:val="000F262E"/>
    <w:rsid w:val="000F3580"/>
    <w:rsid w:val="000F3F04"/>
    <w:rsid w:val="000F420E"/>
    <w:rsid w:val="000F454C"/>
    <w:rsid w:val="000F4EE2"/>
    <w:rsid w:val="000F527A"/>
    <w:rsid w:val="000F5C16"/>
    <w:rsid w:val="000F6308"/>
    <w:rsid w:val="000F6C6E"/>
    <w:rsid w:val="000F7241"/>
    <w:rsid w:val="000F7836"/>
    <w:rsid w:val="000F7F62"/>
    <w:rsid w:val="001001FD"/>
    <w:rsid w:val="00100694"/>
    <w:rsid w:val="001018E6"/>
    <w:rsid w:val="00101DFC"/>
    <w:rsid w:val="00102684"/>
    <w:rsid w:val="00102A12"/>
    <w:rsid w:val="00102CC6"/>
    <w:rsid w:val="00102F0D"/>
    <w:rsid w:val="00102F55"/>
    <w:rsid w:val="001048BE"/>
    <w:rsid w:val="0010529C"/>
    <w:rsid w:val="001072EB"/>
    <w:rsid w:val="001075C1"/>
    <w:rsid w:val="00107924"/>
    <w:rsid w:val="001079CD"/>
    <w:rsid w:val="0011014B"/>
    <w:rsid w:val="00111274"/>
    <w:rsid w:val="001113BF"/>
    <w:rsid w:val="001117B9"/>
    <w:rsid w:val="00112EFC"/>
    <w:rsid w:val="0011317D"/>
    <w:rsid w:val="001134EF"/>
    <w:rsid w:val="00114386"/>
    <w:rsid w:val="00114496"/>
    <w:rsid w:val="001148BD"/>
    <w:rsid w:val="001151A9"/>
    <w:rsid w:val="00115CCC"/>
    <w:rsid w:val="00116BDF"/>
    <w:rsid w:val="0012030F"/>
    <w:rsid w:val="00120AB4"/>
    <w:rsid w:val="00120BE1"/>
    <w:rsid w:val="00121A55"/>
    <w:rsid w:val="00121C20"/>
    <w:rsid w:val="00121CCD"/>
    <w:rsid w:val="00122C88"/>
    <w:rsid w:val="00123367"/>
    <w:rsid w:val="00123EA6"/>
    <w:rsid w:val="00124206"/>
    <w:rsid w:val="0012456B"/>
    <w:rsid w:val="00124932"/>
    <w:rsid w:val="0012537B"/>
    <w:rsid w:val="0012558C"/>
    <w:rsid w:val="0012714F"/>
    <w:rsid w:val="00127915"/>
    <w:rsid w:val="0013031C"/>
    <w:rsid w:val="00130801"/>
    <w:rsid w:val="00130A8C"/>
    <w:rsid w:val="001310AA"/>
    <w:rsid w:val="001312DF"/>
    <w:rsid w:val="00132670"/>
    <w:rsid w:val="001328E9"/>
    <w:rsid w:val="00133AF2"/>
    <w:rsid w:val="00133E88"/>
    <w:rsid w:val="0013411A"/>
    <w:rsid w:val="001349F3"/>
    <w:rsid w:val="001356AB"/>
    <w:rsid w:val="0013581C"/>
    <w:rsid w:val="00136615"/>
    <w:rsid w:val="00136BA5"/>
    <w:rsid w:val="00137077"/>
    <w:rsid w:val="00137241"/>
    <w:rsid w:val="00137B1E"/>
    <w:rsid w:val="00140047"/>
    <w:rsid w:val="001403D0"/>
    <w:rsid w:val="00141229"/>
    <w:rsid w:val="00141E96"/>
    <w:rsid w:val="00142681"/>
    <w:rsid w:val="00142BD9"/>
    <w:rsid w:val="00143392"/>
    <w:rsid w:val="001438E5"/>
    <w:rsid w:val="00143AB1"/>
    <w:rsid w:val="00143D73"/>
    <w:rsid w:val="001448C4"/>
    <w:rsid w:val="0014619B"/>
    <w:rsid w:val="001467AB"/>
    <w:rsid w:val="001468DA"/>
    <w:rsid w:val="00146E88"/>
    <w:rsid w:val="00147B19"/>
    <w:rsid w:val="00150618"/>
    <w:rsid w:val="00150E64"/>
    <w:rsid w:val="00151766"/>
    <w:rsid w:val="00152417"/>
    <w:rsid w:val="0015247A"/>
    <w:rsid w:val="00152F39"/>
    <w:rsid w:val="00153226"/>
    <w:rsid w:val="00153918"/>
    <w:rsid w:val="0015395B"/>
    <w:rsid w:val="001547E1"/>
    <w:rsid w:val="00154F74"/>
    <w:rsid w:val="00156320"/>
    <w:rsid w:val="00156E27"/>
    <w:rsid w:val="001570A5"/>
    <w:rsid w:val="001571E8"/>
    <w:rsid w:val="0015749F"/>
    <w:rsid w:val="00157606"/>
    <w:rsid w:val="00160375"/>
    <w:rsid w:val="00160D4E"/>
    <w:rsid w:val="00160F50"/>
    <w:rsid w:val="00161522"/>
    <w:rsid w:val="001617AE"/>
    <w:rsid w:val="00161E4F"/>
    <w:rsid w:val="0016263C"/>
    <w:rsid w:val="001628C8"/>
    <w:rsid w:val="00162AE8"/>
    <w:rsid w:val="00162C56"/>
    <w:rsid w:val="00162DB2"/>
    <w:rsid w:val="00163EA0"/>
    <w:rsid w:val="00164626"/>
    <w:rsid w:val="00164924"/>
    <w:rsid w:val="00164A55"/>
    <w:rsid w:val="001657B1"/>
    <w:rsid w:val="00166DCC"/>
    <w:rsid w:val="00167927"/>
    <w:rsid w:val="0017073E"/>
    <w:rsid w:val="00170C17"/>
    <w:rsid w:val="00170C6E"/>
    <w:rsid w:val="0017173E"/>
    <w:rsid w:val="00171CA3"/>
    <w:rsid w:val="001722D8"/>
    <w:rsid w:val="00172715"/>
    <w:rsid w:val="00172A27"/>
    <w:rsid w:val="00172AE3"/>
    <w:rsid w:val="00172C34"/>
    <w:rsid w:val="00173149"/>
    <w:rsid w:val="00173759"/>
    <w:rsid w:val="001739A3"/>
    <w:rsid w:val="00173A21"/>
    <w:rsid w:val="00173D26"/>
    <w:rsid w:val="001742DD"/>
    <w:rsid w:val="00174312"/>
    <w:rsid w:val="00175A5E"/>
    <w:rsid w:val="00175B46"/>
    <w:rsid w:val="00177212"/>
    <w:rsid w:val="001774D4"/>
    <w:rsid w:val="00177549"/>
    <w:rsid w:val="00177744"/>
    <w:rsid w:val="00177780"/>
    <w:rsid w:val="001778BE"/>
    <w:rsid w:val="00177F89"/>
    <w:rsid w:val="00180B0D"/>
    <w:rsid w:val="00181389"/>
    <w:rsid w:val="00181FEA"/>
    <w:rsid w:val="00182706"/>
    <w:rsid w:val="0018284B"/>
    <w:rsid w:val="001832D0"/>
    <w:rsid w:val="00183600"/>
    <w:rsid w:val="00183836"/>
    <w:rsid w:val="00183DB4"/>
    <w:rsid w:val="001845E9"/>
    <w:rsid w:val="00184630"/>
    <w:rsid w:val="001846D7"/>
    <w:rsid w:val="00184815"/>
    <w:rsid w:val="001856C0"/>
    <w:rsid w:val="00185CB5"/>
    <w:rsid w:val="001864FF"/>
    <w:rsid w:val="00186D2F"/>
    <w:rsid w:val="00187B3E"/>
    <w:rsid w:val="0019153B"/>
    <w:rsid w:val="001915A3"/>
    <w:rsid w:val="001919EB"/>
    <w:rsid w:val="00191B94"/>
    <w:rsid w:val="0019227B"/>
    <w:rsid w:val="00192D08"/>
    <w:rsid w:val="00193031"/>
    <w:rsid w:val="0019368B"/>
    <w:rsid w:val="001938D2"/>
    <w:rsid w:val="001938DD"/>
    <w:rsid w:val="001941C8"/>
    <w:rsid w:val="00194A96"/>
    <w:rsid w:val="00195B8B"/>
    <w:rsid w:val="00195DCB"/>
    <w:rsid w:val="00195F14"/>
    <w:rsid w:val="001961A2"/>
    <w:rsid w:val="00196787"/>
    <w:rsid w:val="00196ACD"/>
    <w:rsid w:val="00196B4C"/>
    <w:rsid w:val="001970AD"/>
    <w:rsid w:val="00197204"/>
    <w:rsid w:val="001A040A"/>
    <w:rsid w:val="001A10F7"/>
    <w:rsid w:val="001A173C"/>
    <w:rsid w:val="001A1844"/>
    <w:rsid w:val="001A1998"/>
    <w:rsid w:val="001A1BE9"/>
    <w:rsid w:val="001A20CA"/>
    <w:rsid w:val="001A29AF"/>
    <w:rsid w:val="001A2B9F"/>
    <w:rsid w:val="001A2D43"/>
    <w:rsid w:val="001A2DA7"/>
    <w:rsid w:val="001A2E47"/>
    <w:rsid w:val="001A3B13"/>
    <w:rsid w:val="001A3CF6"/>
    <w:rsid w:val="001A3EE7"/>
    <w:rsid w:val="001A4420"/>
    <w:rsid w:val="001A68EC"/>
    <w:rsid w:val="001A6C49"/>
    <w:rsid w:val="001A7C91"/>
    <w:rsid w:val="001B0220"/>
    <w:rsid w:val="001B0850"/>
    <w:rsid w:val="001B0AEB"/>
    <w:rsid w:val="001B1281"/>
    <w:rsid w:val="001B1712"/>
    <w:rsid w:val="001B1D39"/>
    <w:rsid w:val="001B2126"/>
    <w:rsid w:val="001B238D"/>
    <w:rsid w:val="001B23F5"/>
    <w:rsid w:val="001B2A31"/>
    <w:rsid w:val="001B2BC4"/>
    <w:rsid w:val="001B2D49"/>
    <w:rsid w:val="001B3D9D"/>
    <w:rsid w:val="001B57AB"/>
    <w:rsid w:val="001B5B42"/>
    <w:rsid w:val="001B6DDB"/>
    <w:rsid w:val="001B7078"/>
    <w:rsid w:val="001B7491"/>
    <w:rsid w:val="001B75CF"/>
    <w:rsid w:val="001B7A8D"/>
    <w:rsid w:val="001B7EBE"/>
    <w:rsid w:val="001C06C0"/>
    <w:rsid w:val="001C0924"/>
    <w:rsid w:val="001C10E5"/>
    <w:rsid w:val="001C1A12"/>
    <w:rsid w:val="001C1D46"/>
    <w:rsid w:val="001C1F6C"/>
    <w:rsid w:val="001C21BB"/>
    <w:rsid w:val="001C3041"/>
    <w:rsid w:val="001C30D1"/>
    <w:rsid w:val="001C33D6"/>
    <w:rsid w:val="001C35B7"/>
    <w:rsid w:val="001C36F7"/>
    <w:rsid w:val="001C3AE0"/>
    <w:rsid w:val="001C3BAD"/>
    <w:rsid w:val="001C4182"/>
    <w:rsid w:val="001C5F9A"/>
    <w:rsid w:val="001C7E49"/>
    <w:rsid w:val="001D012D"/>
    <w:rsid w:val="001D0702"/>
    <w:rsid w:val="001D0A25"/>
    <w:rsid w:val="001D1659"/>
    <w:rsid w:val="001D296C"/>
    <w:rsid w:val="001D2F3D"/>
    <w:rsid w:val="001D33C3"/>
    <w:rsid w:val="001D3C8D"/>
    <w:rsid w:val="001D3DED"/>
    <w:rsid w:val="001D3DF8"/>
    <w:rsid w:val="001D4078"/>
    <w:rsid w:val="001D4E6F"/>
    <w:rsid w:val="001D5573"/>
    <w:rsid w:val="001D5E80"/>
    <w:rsid w:val="001D6157"/>
    <w:rsid w:val="001D6356"/>
    <w:rsid w:val="001D64D4"/>
    <w:rsid w:val="001D6A56"/>
    <w:rsid w:val="001D6EC3"/>
    <w:rsid w:val="001D710C"/>
    <w:rsid w:val="001E11B1"/>
    <w:rsid w:val="001E208F"/>
    <w:rsid w:val="001E233C"/>
    <w:rsid w:val="001E4950"/>
    <w:rsid w:val="001E5014"/>
    <w:rsid w:val="001E630A"/>
    <w:rsid w:val="001E67F4"/>
    <w:rsid w:val="001E7838"/>
    <w:rsid w:val="001E7A22"/>
    <w:rsid w:val="001E7D19"/>
    <w:rsid w:val="001F015A"/>
    <w:rsid w:val="001F03A2"/>
    <w:rsid w:val="001F0CFA"/>
    <w:rsid w:val="001F1464"/>
    <w:rsid w:val="001F1905"/>
    <w:rsid w:val="001F1EAE"/>
    <w:rsid w:val="001F1F7F"/>
    <w:rsid w:val="001F2E14"/>
    <w:rsid w:val="001F37E0"/>
    <w:rsid w:val="001F401A"/>
    <w:rsid w:val="001F4A76"/>
    <w:rsid w:val="001F4D92"/>
    <w:rsid w:val="001F4F4A"/>
    <w:rsid w:val="001F534F"/>
    <w:rsid w:val="001F543D"/>
    <w:rsid w:val="001F56BD"/>
    <w:rsid w:val="001F5989"/>
    <w:rsid w:val="001F5F83"/>
    <w:rsid w:val="001F64C1"/>
    <w:rsid w:val="001F6FA9"/>
    <w:rsid w:val="001F7746"/>
    <w:rsid w:val="002001F1"/>
    <w:rsid w:val="00201348"/>
    <w:rsid w:val="002014D7"/>
    <w:rsid w:val="00201A4E"/>
    <w:rsid w:val="00201B09"/>
    <w:rsid w:val="00201C8A"/>
    <w:rsid w:val="00202525"/>
    <w:rsid w:val="002035A2"/>
    <w:rsid w:val="00203669"/>
    <w:rsid w:val="00203887"/>
    <w:rsid w:val="002046D6"/>
    <w:rsid w:val="00204D09"/>
    <w:rsid w:val="00205C71"/>
    <w:rsid w:val="00205E32"/>
    <w:rsid w:val="002070C1"/>
    <w:rsid w:val="0020717B"/>
    <w:rsid w:val="002071DB"/>
    <w:rsid w:val="00207468"/>
    <w:rsid w:val="00207844"/>
    <w:rsid w:val="00210436"/>
    <w:rsid w:val="0021043B"/>
    <w:rsid w:val="0021054E"/>
    <w:rsid w:val="0021095C"/>
    <w:rsid w:val="00210AC5"/>
    <w:rsid w:val="00210E7E"/>
    <w:rsid w:val="00211084"/>
    <w:rsid w:val="00211254"/>
    <w:rsid w:val="002122AD"/>
    <w:rsid w:val="0021299B"/>
    <w:rsid w:val="002139CD"/>
    <w:rsid w:val="00213E88"/>
    <w:rsid w:val="00214C22"/>
    <w:rsid w:val="00214C4A"/>
    <w:rsid w:val="00214FDD"/>
    <w:rsid w:val="0021647A"/>
    <w:rsid w:val="002170FD"/>
    <w:rsid w:val="002175FD"/>
    <w:rsid w:val="0021781A"/>
    <w:rsid w:val="00217A9E"/>
    <w:rsid w:val="002201AC"/>
    <w:rsid w:val="0022067E"/>
    <w:rsid w:val="00221029"/>
    <w:rsid w:val="0022131F"/>
    <w:rsid w:val="002216BD"/>
    <w:rsid w:val="00221E89"/>
    <w:rsid w:val="00221FE8"/>
    <w:rsid w:val="00222F08"/>
    <w:rsid w:val="00223045"/>
    <w:rsid w:val="002237FD"/>
    <w:rsid w:val="0022383D"/>
    <w:rsid w:val="00223B99"/>
    <w:rsid w:val="00223DBF"/>
    <w:rsid w:val="0022435D"/>
    <w:rsid w:val="0022442C"/>
    <w:rsid w:val="002245B1"/>
    <w:rsid w:val="00224A1D"/>
    <w:rsid w:val="00225340"/>
    <w:rsid w:val="00226433"/>
    <w:rsid w:val="002269FF"/>
    <w:rsid w:val="002274F2"/>
    <w:rsid w:val="00227BE4"/>
    <w:rsid w:val="002303B3"/>
    <w:rsid w:val="00230D0C"/>
    <w:rsid w:val="00230EA4"/>
    <w:rsid w:val="002326BE"/>
    <w:rsid w:val="0023316C"/>
    <w:rsid w:val="002333EF"/>
    <w:rsid w:val="00233C0A"/>
    <w:rsid w:val="00233EA8"/>
    <w:rsid w:val="00233EE9"/>
    <w:rsid w:val="00235237"/>
    <w:rsid w:val="00235CCD"/>
    <w:rsid w:val="0023602F"/>
    <w:rsid w:val="00236048"/>
    <w:rsid w:val="002362ED"/>
    <w:rsid w:val="00237036"/>
    <w:rsid w:val="002372AC"/>
    <w:rsid w:val="00237A33"/>
    <w:rsid w:val="00240B0F"/>
    <w:rsid w:val="00240E54"/>
    <w:rsid w:val="00241314"/>
    <w:rsid w:val="00241478"/>
    <w:rsid w:val="00241B92"/>
    <w:rsid w:val="00241BD9"/>
    <w:rsid w:val="00242B67"/>
    <w:rsid w:val="00243381"/>
    <w:rsid w:val="00243EFD"/>
    <w:rsid w:val="002442A5"/>
    <w:rsid w:val="00244AF3"/>
    <w:rsid w:val="00244CB3"/>
    <w:rsid w:val="00244EFB"/>
    <w:rsid w:val="00245008"/>
    <w:rsid w:val="002451ED"/>
    <w:rsid w:val="0024561B"/>
    <w:rsid w:val="002458E4"/>
    <w:rsid w:val="00245DD8"/>
    <w:rsid w:val="002477EA"/>
    <w:rsid w:val="002506EE"/>
    <w:rsid w:val="00250E89"/>
    <w:rsid w:val="00252912"/>
    <w:rsid w:val="00252D49"/>
    <w:rsid w:val="00253C51"/>
    <w:rsid w:val="002548D3"/>
    <w:rsid w:val="0025568B"/>
    <w:rsid w:val="002561B7"/>
    <w:rsid w:val="00257054"/>
    <w:rsid w:val="00257131"/>
    <w:rsid w:val="002572D1"/>
    <w:rsid w:val="0025733E"/>
    <w:rsid w:val="00257F6B"/>
    <w:rsid w:val="002600E9"/>
    <w:rsid w:val="00260DC9"/>
    <w:rsid w:val="00261B4C"/>
    <w:rsid w:val="00261C50"/>
    <w:rsid w:val="00261DE4"/>
    <w:rsid w:val="00261E06"/>
    <w:rsid w:val="0026249A"/>
    <w:rsid w:val="002625B4"/>
    <w:rsid w:val="00263090"/>
    <w:rsid w:val="002640AD"/>
    <w:rsid w:val="0026452A"/>
    <w:rsid w:val="00264570"/>
    <w:rsid w:val="00264D98"/>
    <w:rsid w:val="00265054"/>
    <w:rsid w:val="0026523F"/>
    <w:rsid w:val="002659F4"/>
    <w:rsid w:val="0026696D"/>
    <w:rsid w:val="00266A00"/>
    <w:rsid w:val="00266BE6"/>
    <w:rsid w:val="00267127"/>
    <w:rsid w:val="00267325"/>
    <w:rsid w:val="00267935"/>
    <w:rsid w:val="002703AB"/>
    <w:rsid w:val="00270B8F"/>
    <w:rsid w:val="00271B39"/>
    <w:rsid w:val="00271CD9"/>
    <w:rsid w:val="0027313B"/>
    <w:rsid w:val="002731CD"/>
    <w:rsid w:val="00273CF6"/>
    <w:rsid w:val="00273F3E"/>
    <w:rsid w:val="00274F13"/>
    <w:rsid w:val="002752E7"/>
    <w:rsid w:val="00275388"/>
    <w:rsid w:val="00275567"/>
    <w:rsid w:val="00275D52"/>
    <w:rsid w:val="00276536"/>
    <w:rsid w:val="00276BC6"/>
    <w:rsid w:val="0027723E"/>
    <w:rsid w:val="002772D9"/>
    <w:rsid w:val="002772EA"/>
    <w:rsid w:val="00277FDA"/>
    <w:rsid w:val="0028026F"/>
    <w:rsid w:val="0028028C"/>
    <w:rsid w:val="00280915"/>
    <w:rsid w:val="00280BAD"/>
    <w:rsid w:val="002812B8"/>
    <w:rsid w:val="002814FA"/>
    <w:rsid w:val="00281922"/>
    <w:rsid w:val="00281DA0"/>
    <w:rsid w:val="0028242D"/>
    <w:rsid w:val="00282D45"/>
    <w:rsid w:val="00283253"/>
    <w:rsid w:val="002836C6"/>
    <w:rsid w:val="0028615B"/>
    <w:rsid w:val="00286DFC"/>
    <w:rsid w:val="00287102"/>
    <w:rsid w:val="00290002"/>
    <w:rsid w:val="0029069C"/>
    <w:rsid w:val="002913B8"/>
    <w:rsid w:val="0029244F"/>
    <w:rsid w:val="0029328F"/>
    <w:rsid w:val="00293B82"/>
    <w:rsid w:val="00293DA4"/>
    <w:rsid w:val="002965D8"/>
    <w:rsid w:val="002A0381"/>
    <w:rsid w:val="002A0425"/>
    <w:rsid w:val="002A0651"/>
    <w:rsid w:val="002A06BD"/>
    <w:rsid w:val="002A11FB"/>
    <w:rsid w:val="002A120C"/>
    <w:rsid w:val="002A1891"/>
    <w:rsid w:val="002A1996"/>
    <w:rsid w:val="002A1F00"/>
    <w:rsid w:val="002A1F34"/>
    <w:rsid w:val="002A2185"/>
    <w:rsid w:val="002A21D9"/>
    <w:rsid w:val="002A334F"/>
    <w:rsid w:val="002A3F84"/>
    <w:rsid w:val="002A41C2"/>
    <w:rsid w:val="002A4C00"/>
    <w:rsid w:val="002A52CC"/>
    <w:rsid w:val="002A55AD"/>
    <w:rsid w:val="002A588A"/>
    <w:rsid w:val="002A58FF"/>
    <w:rsid w:val="002A5C6C"/>
    <w:rsid w:val="002A5FBD"/>
    <w:rsid w:val="002A6046"/>
    <w:rsid w:val="002A632B"/>
    <w:rsid w:val="002A6542"/>
    <w:rsid w:val="002A6C04"/>
    <w:rsid w:val="002A6E4D"/>
    <w:rsid w:val="002A7153"/>
    <w:rsid w:val="002A728A"/>
    <w:rsid w:val="002A7310"/>
    <w:rsid w:val="002A73C5"/>
    <w:rsid w:val="002A7D4F"/>
    <w:rsid w:val="002B011D"/>
    <w:rsid w:val="002B021E"/>
    <w:rsid w:val="002B0899"/>
    <w:rsid w:val="002B08F6"/>
    <w:rsid w:val="002B0FEF"/>
    <w:rsid w:val="002B2CF6"/>
    <w:rsid w:val="002B2E09"/>
    <w:rsid w:val="002B366D"/>
    <w:rsid w:val="002B3C7C"/>
    <w:rsid w:val="002B4B5E"/>
    <w:rsid w:val="002B4F70"/>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B4B"/>
    <w:rsid w:val="002C5EEF"/>
    <w:rsid w:val="002C6527"/>
    <w:rsid w:val="002C7D6D"/>
    <w:rsid w:val="002D13DF"/>
    <w:rsid w:val="002D195A"/>
    <w:rsid w:val="002D3B6B"/>
    <w:rsid w:val="002D41A4"/>
    <w:rsid w:val="002D603D"/>
    <w:rsid w:val="002D6332"/>
    <w:rsid w:val="002D7735"/>
    <w:rsid w:val="002D7FC5"/>
    <w:rsid w:val="002E00AD"/>
    <w:rsid w:val="002E032F"/>
    <w:rsid w:val="002E075F"/>
    <w:rsid w:val="002E08C1"/>
    <w:rsid w:val="002E0B56"/>
    <w:rsid w:val="002E0B5D"/>
    <w:rsid w:val="002E0B99"/>
    <w:rsid w:val="002E1650"/>
    <w:rsid w:val="002E1DA6"/>
    <w:rsid w:val="002E214F"/>
    <w:rsid w:val="002E24BD"/>
    <w:rsid w:val="002E27B9"/>
    <w:rsid w:val="002E3C98"/>
    <w:rsid w:val="002E4681"/>
    <w:rsid w:val="002E4D51"/>
    <w:rsid w:val="002E554F"/>
    <w:rsid w:val="002E57C9"/>
    <w:rsid w:val="002E6371"/>
    <w:rsid w:val="002E6740"/>
    <w:rsid w:val="002E6A58"/>
    <w:rsid w:val="002E6D98"/>
    <w:rsid w:val="002E7881"/>
    <w:rsid w:val="002E7975"/>
    <w:rsid w:val="002E7A31"/>
    <w:rsid w:val="002F01F2"/>
    <w:rsid w:val="002F0F57"/>
    <w:rsid w:val="002F11D5"/>
    <w:rsid w:val="002F2B63"/>
    <w:rsid w:val="002F3765"/>
    <w:rsid w:val="002F3D91"/>
    <w:rsid w:val="002F44A0"/>
    <w:rsid w:val="002F4F44"/>
    <w:rsid w:val="002F50DA"/>
    <w:rsid w:val="002F56B1"/>
    <w:rsid w:val="002F584B"/>
    <w:rsid w:val="002F5EEE"/>
    <w:rsid w:val="002F5FC3"/>
    <w:rsid w:val="002F6CC7"/>
    <w:rsid w:val="002F6EF2"/>
    <w:rsid w:val="002F79E2"/>
    <w:rsid w:val="002F7D39"/>
    <w:rsid w:val="002F7E4F"/>
    <w:rsid w:val="002F7E8D"/>
    <w:rsid w:val="003022E5"/>
    <w:rsid w:val="00302461"/>
    <w:rsid w:val="00302899"/>
    <w:rsid w:val="00302A04"/>
    <w:rsid w:val="003033D9"/>
    <w:rsid w:val="00303F98"/>
    <w:rsid w:val="00304338"/>
    <w:rsid w:val="003044F5"/>
    <w:rsid w:val="003051C9"/>
    <w:rsid w:val="00305C1F"/>
    <w:rsid w:val="00305D1D"/>
    <w:rsid w:val="00306B5E"/>
    <w:rsid w:val="0030700E"/>
    <w:rsid w:val="00307766"/>
    <w:rsid w:val="00307A2D"/>
    <w:rsid w:val="003100B2"/>
    <w:rsid w:val="00310D4B"/>
    <w:rsid w:val="00311161"/>
    <w:rsid w:val="003122A3"/>
    <w:rsid w:val="003130EA"/>
    <w:rsid w:val="003132C3"/>
    <w:rsid w:val="003137E8"/>
    <w:rsid w:val="00313A3B"/>
    <w:rsid w:val="00313BCE"/>
    <w:rsid w:val="00313E20"/>
    <w:rsid w:val="00314F5B"/>
    <w:rsid w:val="00314FA5"/>
    <w:rsid w:val="00315243"/>
    <w:rsid w:val="00315A94"/>
    <w:rsid w:val="003164FD"/>
    <w:rsid w:val="00316926"/>
    <w:rsid w:val="00317240"/>
    <w:rsid w:val="0031737C"/>
    <w:rsid w:val="00320073"/>
    <w:rsid w:val="003201A8"/>
    <w:rsid w:val="003203BF"/>
    <w:rsid w:val="00320626"/>
    <w:rsid w:val="00320DE9"/>
    <w:rsid w:val="003214C3"/>
    <w:rsid w:val="003214D6"/>
    <w:rsid w:val="003219DD"/>
    <w:rsid w:val="00321CC1"/>
    <w:rsid w:val="0032244E"/>
    <w:rsid w:val="003226A5"/>
    <w:rsid w:val="00323373"/>
    <w:rsid w:val="003242E5"/>
    <w:rsid w:val="00324DD8"/>
    <w:rsid w:val="00324F38"/>
    <w:rsid w:val="003256E0"/>
    <w:rsid w:val="00325E6C"/>
    <w:rsid w:val="00327114"/>
    <w:rsid w:val="003278F8"/>
    <w:rsid w:val="00327B3E"/>
    <w:rsid w:val="00327D2C"/>
    <w:rsid w:val="00327EA3"/>
    <w:rsid w:val="00330181"/>
    <w:rsid w:val="003308E0"/>
    <w:rsid w:val="00332227"/>
    <w:rsid w:val="00332486"/>
    <w:rsid w:val="0033321A"/>
    <w:rsid w:val="00333676"/>
    <w:rsid w:val="003336FD"/>
    <w:rsid w:val="00333A02"/>
    <w:rsid w:val="00333A55"/>
    <w:rsid w:val="00333D3B"/>
    <w:rsid w:val="00333E4C"/>
    <w:rsid w:val="00334224"/>
    <w:rsid w:val="0033425B"/>
    <w:rsid w:val="003342F6"/>
    <w:rsid w:val="00334680"/>
    <w:rsid w:val="00334DBC"/>
    <w:rsid w:val="003350A3"/>
    <w:rsid w:val="0033586C"/>
    <w:rsid w:val="00335EFB"/>
    <w:rsid w:val="003364EB"/>
    <w:rsid w:val="003374CB"/>
    <w:rsid w:val="00337D7C"/>
    <w:rsid w:val="00340405"/>
    <w:rsid w:val="00340445"/>
    <w:rsid w:val="00342098"/>
    <w:rsid w:val="00342BAE"/>
    <w:rsid w:val="003431F0"/>
    <w:rsid w:val="00344388"/>
    <w:rsid w:val="00345387"/>
    <w:rsid w:val="00345AD6"/>
    <w:rsid w:val="00345E2A"/>
    <w:rsid w:val="00345F25"/>
    <w:rsid w:val="00346772"/>
    <w:rsid w:val="00346E05"/>
    <w:rsid w:val="00350C97"/>
    <w:rsid w:val="00351F42"/>
    <w:rsid w:val="00352BC1"/>
    <w:rsid w:val="003536EE"/>
    <w:rsid w:val="00353939"/>
    <w:rsid w:val="00354882"/>
    <w:rsid w:val="00354E1D"/>
    <w:rsid w:val="00354FA4"/>
    <w:rsid w:val="00355855"/>
    <w:rsid w:val="003558FD"/>
    <w:rsid w:val="003571E8"/>
    <w:rsid w:val="0035749F"/>
    <w:rsid w:val="00357CBA"/>
    <w:rsid w:val="003602AF"/>
    <w:rsid w:val="003619E8"/>
    <w:rsid w:val="00361FC9"/>
    <w:rsid w:val="00363CCB"/>
    <w:rsid w:val="003640EA"/>
    <w:rsid w:val="003642A2"/>
    <w:rsid w:val="003646C5"/>
    <w:rsid w:val="00365006"/>
    <w:rsid w:val="00365258"/>
    <w:rsid w:val="00365ABF"/>
    <w:rsid w:val="00366FA8"/>
    <w:rsid w:val="0037017C"/>
    <w:rsid w:val="003703D0"/>
    <w:rsid w:val="003706B3"/>
    <w:rsid w:val="003709F9"/>
    <w:rsid w:val="00372522"/>
    <w:rsid w:val="003728C9"/>
    <w:rsid w:val="00373353"/>
    <w:rsid w:val="00373923"/>
    <w:rsid w:val="003744B5"/>
    <w:rsid w:val="003745F2"/>
    <w:rsid w:val="00374BA5"/>
    <w:rsid w:val="003750DD"/>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3BA5"/>
    <w:rsid w:val="003843EC"/>
    <w:rsid w:val="00384585"/>
    <w:rsid w:val="003847A5"/>
    <w:rsid w:val="00385229"/>
    <w:rsid w:val="003853E7"/>
    <w:rsid w:val="00387884"/>
    <w:rsid w:val="00387F66"/>
    <w:rsid w:val="0039022F"/>
    <w:rsid w:val="0039048F"/>
    <w:rsid w:val="003909DB"/>
    <w:rsid w:val="00391591"/>
    <w:rsid w:val="00391BDF"/>
    <w:rsid w:val="00392CF1"/>
    <w:rsid w:val="00393028"/>
    <w:rsid w:val="0039313E"/>
    <w:rsid w:val="003934F9"/>
    <w:rsid w:val="00393CB5"/>
    <w:rsid w:val="00394848"/>
    <w:rsid w:val="00394A73"/>
    <w:rsid w:val="00394BD9"/>
    <w:rsid w:val="00394CBF"/>
    <w:rsid w:val="00394D1B"/>
    <w:rsid w:val="00394EA1"/>
    <w:rsid w:val="00395AE1"/>
    <w:rsid w:val="003960EC"/>
    <w:rsid w:val="0039729C"/>
    <w:rsid w:val="00397BFA"/>
    <w:rsid w:val="003A03CE"/>
    <w:rsid w:val="003A0BE4"/>
    <w:rsid w:val="003A15F2"/>
    <w:rsid w:val="003A1771"/>
    <w:rsid w:val="003A1BD8"/>
    <w:rsid w:val="003A1CDA"/>
    <w:rsid w:val="003A1D06"/>
    <w:rsid w:val="003A1F30"/>
    <w:rsid w:val="003A236B"/>
    <w:rsid w:val="003A268D"/>
    <w:rsid w:val="003A2908"/>
    <w:rsid w:val="003A394A"/>
    <w:rsid w:val="003A3C39"/>
    <w:rsid w:val="003A3CAC"/>
    <w:rsid w:val="003A3EFB"/>
    <w:rsid w:val="003A407A"/>
    <w:rsid w:val="003A44F3"/>
    <w:rsid w:val="003A574F"/>
    <w:rsid w:val="003A58D0"/>
    <w:rsid w:val="003A6FDB"/>
    <w:rsid w:val="003B01FA"/>
    <w:rsid w:val="003B0A1B"/>
    <w:rsid w:val="003B1B85"/>
    <w:rsid w:val="003B23AD"/>
    <w:rsid w:val="003B246D"/>
    <w:rsid w:val="003B2926"/>
    <w:rsid w:val="003B3713"/>
    <w:rsid w:val="003B3AA5"/>
    <w:rsid w:val="003B445F"/>
    <w:rsid w:val="003B495A"/>
    <w:rsid w:val="003B4982"/>
    <w:rsid w:val="003B4B46"/>
    <w:rsid w:val="003B5C4E"/>
    <w:rsid w:val="003B65AB"/>
    <w:rsid w:val="003B6CFD"/>
    <w:rsid w:val="003B7115"/>
    <w:rsid w:val="003B77CE"/>
    <w:rsid w:val="003B7B4E"/>
    <w:rsid w:val="003C043F"/>
    <w:rsid w:val="003C053A"/>
    <w:rsid w:val="003C0812"/>
    <w:rsid w:val="003C0BD9"/>
    <w:rsid w:val="003C0DD9"/>
    <w:rsid w:val="003C1E4A"/>
    <w:rsid w:val="003C1F0B"/>
    <w:rsid w:val="003C2E11"/>
    <w:rsid w:val="003C3323"/>
    <w:rsid w:val="003C3359"/>
    <w:rsid w:val="003C3E94"/>
    <w:rsid w:val="003C44A5"/>
    <w:rsid w:val="003C4544"/>
    <w:rsid w:val="003C488F"/>
    <w:rsid w:val="003C4DA4"/>
    <w:rsid w:val="003C4E2E"/>
    <w:rsid w:val="003C5286"/>
    <w:rsid w:val="003C5B59"/>
    <w:rsid w:val="003C63D8"/>
    <w:rsid w:val="003C6619"/>
    <w:rsid w:val="003D06D4"/>
    <w:rsid w:val="003D08DD"/>
    <w:rsid w:val="003D16D0"/>
    <w:rsid w:val="003D27FB"/>
    <w:rsid w:val="003D35B0"/>
    <w:rsid w:val="003D3FDB"/>
    <w:rsid w:val="003D482D"/>
    <w:rsid w:val="003D53DC"/>
    <w:rsid w:val="003D589A"/>
    <w:rsid w:val="003D5A2F"/>
    <w:rsid w:val="003D647B"/>
    <w:rsid w:val="003D6826"/>
    <w:rsid w:val="003D6E2F"/>
    <w:rsid w:val="003D7964"/>
    <w:rsid w:val="003D7BA8"/>
    <w:rsid w:val="003D7DF8"/>
    <w:rsid w:val="003E0E08"/>
    <w:rsid w:val="003E1C2F"/>
    <w:rsid w:val="003E1EDB"/>
    <w:rsid w:val="003E2286"/>
    <w:rsid w:val="003E27AC"/>
    <w:rsid w:val="003E2AFF"/>
    <w:rsid w:val="003E2D32"/>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22F"/>
    <w:rsid w:val="003E7E77"/>
    <w:rsid w:val="003F0CC4"/>
    <w:rsid w:val="003F179E"/>
    <w:rsid w:val="003F1823"/>
    <w:rsid w:val="003F1DDF"/>
    <w:rsid w:val="003F1F28"/>
    <w:rsid w:val="003F253B"/>
    <w:rsid w:val="003F3ED0"/>
    <w:rsid w:val="003F447B"/>
    <w:rsid w:val="003F4F4B"/>
    <w:rsid w:val="003F50A1"/>
    <w:rsid w:val="003F5132"/>
    <w:rsid w:val="003F65B3"/>
    <w:rsid w:val="003F6B1B"/>
    <w:rsid w:val="003F6BA8"/>
    <w:rsid w:val="003F7D12"/>
    <w:rsid w:val="003F7F24"/>
    <w:rsid w:val="00400133"/>
    <w:rsid w:val="004004F2"/>
    <w:rsid w:val="0040061D"/>
    <w:rsid w:val="004009A7"/>
    <w:rsid w:val="00400A0B"/>
    <w:rsid w:val="00400A9F"/>
    <w:rsid w:val="00400AA9"/>
    <w:rsid w:val="00400D1B"/>
    <w:rsid w:val="004015AD"/>
    <w:rsid w:val="00401E65"/>
    <w:rsid w:val="00402593"/>
    <w:rsid w:val="004025F3"/>
    <w:rsid w:val="00402776"/>
    <w:rsid w:val="00402AB6"/>
    <w:rsid w:val="00402FEE"/>
    <w:rsid w:val="004030E9"/>
    <w:rsid w:val="00403343"/>
    <w:rsid w:val="004035B9"/>
    <w:rsid w:val="00403DA9"/>
    <w:rsid w:val="00404F25"/>
    <w:rsid w:val="00405A2A"/>
    <w:rsid w:val="00405AF2"/>
    <w:rsid w:val="00405C91"/>
    <w:rsid w:val="00405E73"/>
    <w:rsid w:val="004061A4"/>
    <w:rsid w:val="004061E0"/>
    <w:rsid w:val="0040632D"/>
    <w:rsid w:val="004077BD"/>
    <w:rsid w:val="00407B04"/>
    <w:rsid w:val="00407BC7"/>
    <w:rsid w:val="00407C5E"/>
    <w:rsid w:val="00410BE7"/>
    <w:rsid w:val="00410D26"/>
    <w:rsid w:val="0041105B"/>
    <w:rsid w:val="004124E8"/>
    <w:rsid w:val="00413625"/>
    <w:rsid w:val="00413661"/>
    <w:rsid w:val="00413BFD"/>
    <w:rsid w:val="004146C1"/>
    <w:rsid w:val="00414A4F"/>
    <w:rsid w:val="00415756"/>
    <w:rsid w:val="00415B9C"/>
    <w:rsid w:val="00415FC6"/>
    <w:rsid w:val="0041688D"/>
    <w:rsid w:val="004168DB"/>
    <w:rsid w:val="00416907"/>
    <w:rsid w:val="00416A9F"/>
    <w:rsid w:val="004170BB"/>
    <w:rsid w:val="00417D63"/>
    <w:rsid w:val="004201B7"/>
    <w:rsid w:val="00421FC0"/>
    <w:rsid w:val="00422A18"/>
    <w:rsid w:val="00422B01"/>
    <w:rsid w:val="00423668"/>
    <w:rsid w:val="00423C36"/>
    <w:rsid w:val="004242E7"/>
    <w:rsid w:val="00424697"/>
    <w:rsid w:val="00424B8A"/>
    <w:rsid w:val="00424DD1"/>
    <w:rsid w:val="00425A62"/>
    <w:rsid w:val="00426433"/>
    <w:rsid w:val="00426B44"/>
    <w:rsid w:val="004274C8"/>
    <w:rsid w:val="004274CF"/>
    <w:rsid w:val="00427BF1"/>
    <w:rsid w:val="00430051"/>
    <w:rsid w:val="004303FE"/>
    <w:rsid w:val="004304D3"/>
    <w:rsid w:val="00430640"/>
    <w:rsid w:val="00430E30"/>
    <w:rsid w:val="00432AF7"/>
    <w:rsid w:val="004342A5"/>
    <w:rsid w:val="0043621F"/>
    <w:rsid w:val="00436AF4"/>
    <w:rsid w:val="00436D58"/>
    <w:rsid w:val="00437066"/>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27D"/>
    <w:rsid w:val="0044493B"/>
    <w:rsid w:val="00444C0A"/>
    <w:rsid w:val="00444CD2"/>
    <w:rsid w:val="0044510F"/>
    <w:rsid w:val="00445E9A"/>
    <w:rsid w:val="00446573"/>
    <w:rsid w:val="0044696A"/>
    <w:rsid w:val="004469FF"/>
    <w:rsid w:val="0045026B"/>
    <w:rsid w:val="004503FD"/>
    <w:rsid w:val="00450BA1"/>
    <w:rsid w:val="00450E38"/>
    <w:rsid w:val="0045124F"/>
    <w:rsid w:val="004515EC"/>
    <w:rsid w:val="0045181C"/>
    <w:rsid w:val="00451AE9"/>
    <w:rsid w:val="00451DFC"/>
    <w:rsid w:val="00453895"/>
    <w:rsid w:val="004540FE"/>
    <w:rsid w:val="00454176"/>
    <w:rsid w:val="004548A5"/>
    <w:rsid w:val="00454B0F"/>
    <w:rsid w:val="004553EB"/>
    <w:rsid w:val="00455D28"/>
    <w:rsid w:val="00455D9A"/>
    <w:rsid w:val="004562BC"/>
    <w:rsid w:val="004562F1"/>
    <w:rsid w:val="004567EA"/>
    <w:rsid w:val="00456A9B"/>
    <w:rsid w:val="0045708B"/>
    <w:rsid w:val="00460233"/>
    <w:rsid w:val="004619CC"/>
    <w:rsid w:val="00461A62"/>
    <w:rsid w:val="00461E36"/>
    <w:rsid w:val="0046392A"/>
    <w:rsid w:val="0046451D"/>
    <w:rsid w:val="00464A3F"/>
    <w:rsid w:val="00464A7E"/>
    <w:rsid w:val="004652F8"/>
    <w:rsid w:val="00465B3E"/>
    <w:rsid w:val="00465C0D"/>
    <w:rsid w:val="00465DED"/>
    <w:rsid w:val="004662D1"/>
    <w:rsid w:val="00466945"/>
    <w:rsid w:val="00466ED5"/>
    <w:rsid w:val="00467388"/>
    <w:rsid w:val="00470261"/>
    <w:rsid w:val="00470367"/>
    <w:rsid w:val="004705C5"/>
    <w:rsid w:val="00470934"/>
    <w:rsid w:val="00470AE5"/>
    <w:rsid w:val="0047124D"/>
    <w:rsid w:val="004717B7"/>
    <w:rsid w:val="00471CC8"/>
    <w:rsid w:val="00471F5C"/>
    <w:rsid w:val="00473546"/>
    <w:rsid w:val="0047365F"/>
    <w:rsid w:val="00474CD6"/>
    <w:rsid w:val="004751E7"/>
    <w:rsid w:val="0047562B"/>
    <w:rsid w:val="00475D1D"/>
    <w:rsid w:val="00477276"/>
    <w:rsid w:val="004776B9"/>
    <w:rsid w:val="00477C17"/>
    <w:rsid w:val="004813C6"/>
    <w:rsid w:val="004818F7"/>
    <w:rsid w:val="00481B7C"/>
    <w:rsid w:val="00482DF6"/>
    <w:rsid w:val="0048578C"/>
    <w:rsid w:val="00485872"/>
    <w:rsid w:val="00485EA4"/>
    <w:rsid w:val="004868AB"/>
    <w:rsid w:val="00486C08"/>
    <w:rsid w:val="0048757E"/>
    <w:rsid w:val="00487C54"/>
    <w:rsid w:val="00487F2E"/>
    <w:rsid w:val="00490561"/>
    <w:rsid w:val="0049059F"/>
    <w:rsid w:val="00492CA8"/>
    <w:rsid w:val="00493018"/>
    <w:rsid w:val="004932D3"/>
    <w:rsid w:val="00493783"/>
    <w:rsid w:val="00493EFE"/>
    <w:rsid w:val="004940C3"/>
    <w:rsid w:val="004945B1"/>
    <w:rsid w:val="00494C12"/>
    <w:rsid w:val="0049511F"/>
    <w:rsid w:val="0049523D"/>
    <w:rsid w:val="00495625"/>
    <w:rsid w:val="00496420"/>
    <w:rsid w:val="00496B30"/>
    <w:rsid w:val="00496C58"/>
    <w:rsid w:val="004975A9"/>
    <w:rsid w:val="004977A8"/>
    <w:rsid w:val="00497E2B"/>
    <w:rsid w:val="004A002C"/>
    <w:rsid w:val="004A0AD0"/>
    <w:rsid w:val="004A0F14"/>
    <w:rsid w:val="004A1565"/>
    <w:rsid w:val="004A1D55"/>
    <w:rsid w:val="004A262B"/>
    <w:rsid w:val="004A2B58"/>
    <w:rsid w:val="004A2E82"/>
    <w:rsid w:val="004A3080"/>
    <w:rsid w:val="004A33CF"/>
    <w:rsid w:val="004A3D79"/>
    <w:rsid w:val="004A4862"/>
    <w:rsid w:val="004A4E10"/>
    <w:rsid w:val="004A565E"/>
    <w:rsid w:val="004A59A4"/>
    <w:rsid w:val="004A6E06"/>
    <w:rsid w:val="004A73C9"/>
    <w:rsid w:val="004A7475"/>
    <w:rsid w:val="004A7F95"/>
    <w:rsid w:val="004B261D"/>
    <w:rsid w:val="004B35DD"/>
    <w:rsid w:val="004B6062"/>
    <w:rsid w:val="004B7A5F"/>
    <w:rsid w:val="004B7F2B"/>
    <w:rsid w:val="004C067A"/>
    <w:rsid w:val="004C1447"/>
    <w:rsid w:val="004C262D"/>
    <w:rsid w:val="004C2758"/>
    <w:rsid w:val="004C3CB6"/>
    <w:rsid w:val="004C54EE"/>
    <w:rsid w:val="004C57D7"/>
    <w:rsid w:val="004C586A"/>
    <w:rsid w:val="004C6477"/>
    <w:rsid w:val="004C6F5B"/>
    <w:rsid w:val="004C7132"/>
    <w:rsid w:val="004C725E"/>
    <w:rsid w:val="004C73AB"/>
    <w:rsid w:val="004C77BC"/>
    <w:rsid w:val="004D032D"/>
    <w:rsid w:val="004D03B3"/>
    <w:rsid w:val="004D05E3"/>
    <w:rsid w:val="004D0729"/>
    <w:rsid w:val="004D07D8"/>
    <w:rsid w:val="004D10AE"/>
    <w:rsid w:val="004D176E"/>
    <w:rsid w:val="004D1F1A"/>
    <w:rsid w:val="004D241E"/>
    <w:rsid w:val="004D3409"/>
    <w:rsid w:val="004D36B7"/>
    <w:rsid w:val="004D411E"/>
    <w:rsid w:val="004D591C"/>
    <w:rsid w:val="004D5B92"/>
    <w:rsid w:val="004D5ED0"/>
    <w:rsid w:val="004D6A22"/>
    <w:rsid w:val="004D6CA1"/>
    <w:rsid w:val="004D6F8E"/>
    <w:rsid w:val="004D7070"/>
    <w:rsid w:val="004D7151"/>
    <w:rsid w:val="004D7D6F"/>
    <w:rsid w:val="004D7DAB"/>
    <w:rsid w:val="004E019A"/>
    <w:rsid w:val="004E05BE"/>
    <w:rsid w:val="004E0BF6"/>
    <w:rsid w:val="004E0D9C"/>
    <w:rsid w:val="004E10C4"/>
    <w:rsid w:val="004E1BC0"/>
    <w:rsid w:val="004E2860"/>
    <w:rsid w:val="004E345A"/>
    <w:rsid w:val="004E3F06"/>
    <w:rsid w:val="004E4394"/>
    <w:rsid w:val="004E52D5"/>
    <w:rsid w:val="004E59C7"/>
    <w:rsid w:val="004E5C61"/>
    <w:rsid w:val="004E67CC"/>
    <w:rsid w:val="004E6BED"/>
    <w:rsid w:val="004F0090"/>
    <w:rsid w:val="004F0094"/>
    <w:rsid w:val="004F091C"/>
    <w:rsid w:val="004F10DF"/>
    <w:rsid w:val="004F1279"/>
    <w:rsid w:val="004F1DD7"/>
    <w:rsid w:val="004F266B"/>
    <w:rsid w:val="004F2CF9"/>
    <w:rsid w:val="004F3163"/>
    <w:rsid w:val="004F3E76"/>
    <w:rsid w:val="004F4097"/>
    <w:rsid w:val="004F4B8F"/>
    <w:rsid w:val="004F5901"/>
    <w:rsid w:val="004F59D0"/>
    <w:rsid w:val="004F5B1F"/>
    <w:rsid w:val="004F644E"/>
    <w:rsid w:val="004F76DE"/>
    <w:rsid w:val="004F797F"/>
    <w:rsid w:val="004F7E38"/>
    <w:rsid w:val="0050043A"/>
    <w:rsid w:val="00500875"/>
    <w:rsid w:val="00500F74"/>
    <w:rsid w:val="005011A8"/>
    <w:rsid w:val="0050193A"/>
    <w:rsid w:val="00501956"/>
    <w:rsid w:val="00501E03"/>
    <w:rsid w:val="00501E5A"/>
    <w:rsid w:val="00501EB7"/>
    <w:rsid w:val="00502668"/>
    <w:rsid w:val="0050276C"/>
    <w:rsid w:val="005027F7"/>
    <w:rsid w:val="0050367F"/>
    <w:rsid w:val="00503D58"/>
    <w:rsid w:val="00503E1C"/>
    <w:rsid w:val="00503FE5"/>
    <w:rsid w:val="00504068"/>
    <w:rsid w:val="00504889"/>
    <w:rsid w:val="005049EE"/>
    <w:rsid w:val="00504F17"/>
    <w:rsid w:val="00505297"/>
    <w:rsid w:val="0050563F"/>
    <w:rsid w:val="0050650A"/>
    <w:rsid w:val="00507045"/>
    <w:rsid w:val="00507643"/>
    <w:rsid w:val="00507FA4"/>
    <w:rsid w:val="005100BF"/>
    <w:rsid w:val="00510424"/>
    <w:rsid w:val="00510D49"/>
    <w:rsid w:val="0051105A"/>
    <w:rsid w:val="0051110D"/>
    <w:rsid w:val="00511D21"/>
    <w:rsid w:val="005120FE"/>
    <w:rsid w:val="00512690"/>
    <w:rsid w:val="00512B7A"/>
    <w:rsid w:val="00512CCA"/>
    <w:rsid w:val="00512EFD"/>
    <w:rsid w:val="005134DC"/>
    <w:rsid w:val="0051352C"/>
    <w:rsid w:val="00513896"/>
    <w:rsid w:val="00513998"/>
    <w:rsid w:val="0051453F"/>
    <w:rsid w:val="00514823"/>
    <w:rsid w:val="00514E08"/>
    <w:rsid w:val="00515523"/>
    <w:rsid w:val="00516294"/>
    <w:rsid w:val="00516640"/>
    <w:rsid w:val="00516987"/>
    <w:rsid w:val="00517097"/>
    <w:rsid w:val="00517439"/>
    <w:rsid w:val="005174ED"/>
    <w:rsid w:val="00517982"/>
    <w:rsid w:val="00517F8B"/>
    <w:rsid w:val="005202AA"/>
    <w:rsid w:val="00520894"/>
    <w:rsid w:val="00520A35"/>
    <w:rsid w:val="00521376"/>
    <w:rsid w:val="0052173E"/>
    <w:rsid w:val="00521B62"/>
    <w:rsid w:val="00521FE3"/>
    <w:rsid w:val="00522FA1"/>
    <w:rsid w:val="00523995"/>
    <w:rsid w:val="00523B53"/>
    <w:rsid w:val="00523BBD"/>
    <w:rsid w:val="0052405C"/>
    <w:rsid w:val="005241B2"/>
    <w:rsid w:val="00524351"/>
    <w:rsid w:val="00524414"/>
    <w:rsid w:val="005244D3"/>
    <w:rsid w:val="00524818"/>
    <w:rsid w:val="00524D1C"/>
    <w:rsid w:val="00524D26"/>
    <w:rsid w:val="00525027"/>
    <w:rsid w:val="005265E5"/>
    <w:rsid w:val="005266E1"/>
    <w:rsid w:val="00527307"/>
    <w:rsid w:val="00527637"/>
    <w:rsid w:val="00527E4A"/>
    <w:rsid w:val="00530122"/>
    <w:rsid w:val="00530202"/>
    <w:rsid w:val="00530617"/>
    <w:rsid w:val="00530B1B"/>
    <w:rsid w:val="005313D4"/>
    <w:rsid w:val="005316D5"/>
    <w:rsid w:val="00531C5E"/>
    <w:rsid w:val="00532A52"/>
    <w:rsid w:val="00532FBE"/>
    <w:rsid w:val="005352B6"/>
    <w:rsid w:val="00535772"/>
    <w:rsid w:val="005360B6"/>
    <w:rsid w:val="00536139"/>
    <w:rsid w:val="0053616B"/>
    <w:rsid w:val="00536AB7"/>
    <w:rsid w:val="0053785A"/>
    <w:rsid w:val="00540796"/>
    <w:rsid w:val="005408EA"/>
    <w:rsid w:val="00540B90"/>
    <w:rsid w:val="00541618"/>
    <w:rsid w:val="005418F9"/>
    <w:rsid w:val="00541F2C"/>
    <w:rsid w:val="005422F4"/>
    <w:rsid w:val="005426BA"/>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47D3F"/>
    <w:rsid w:val="00550163"/>
    <w:rsid w:val="00550FF4"/>
    <w:rsid w:val="00551A35"/>
    <w:rsid w:val="00552287"/>
    <w:rsid w:val="005531EF"/>
    <w:rsid w:val="0055408C"/>
    <w:rsid w:val="00555289"/>
    <w:rsid w:val="00555AEF"/>
    <w:rsid w:val="00556504"/>
    <w:rsid w:val="00556DFE"/>
    <w:rsid w:val="00557BE8"/>
    <w:rsid w:val="00560452"/>
    <w:rsid w:val="0056097F"/>
    <w:rsid w:val="00560E39"/>
    <w:rsid w:val="005622D6"/>
    <w:rsid w:val="00562AD4"/>
    <w:rsid w:val="00563583"/>
    <w:rsid w:val="005635DB"/>
    <w:rsid w:val="00563722"/>
    <w:rsid w:val="00563E78"/>
    <w:rsid w:val="00564CC4"/>
    <w:rsid w:val="00565126"/>
    <w:rsid w:val="0056554D"/>
    <w:rsid w:val="0056605B"/>
    <w:rsid w:val="005660CD"/>
    <w:rsid w:val="00566509"/>
    <w:rsid w:val="00566BEE"/>
    <w:rsid w:val="005677FA"/>
    <w:rsid w:val="005705DB"/>
    <w:rsid w:val="005709EF"/>
    <w:rsid w:val="0057109F"/>
    <w:rsid w:val="00571971"/>
    <w:rsid w:val="005721D9"/>
    <w:rsid w:val="00572770"/>
    <w:rsid w:val="00572A16"/>
    <w:rsid w:val="00572D02"/>
    <w:rsid w:val="005731E7"/>
    <w:rsid w:val="00573353"/>
    <w:rsid w:val="00573836"/>
    <w:rsid w:val="0057383F"/>
    <w:rsid w:val="00573880"/>
    <w:rsid w:val="00573C96"/>
    <w:rsid w:val="00574200"/>
    <w:rsid w:val="00574266"/>
    <w:rsid w:val="00574539"/>
    <w:rsid w:val="00574776"/>
    <w:rsid w:val="00574ADD"/>
    <w:rsid w:val="00574BF4"/>
    <w:rsid w:val="00575FD0"/>
    <w:rsid w:val="00576547"/>
    <w:rsid w:val="005766D7"/>
    <w:rsid w:val="00576ED0"/>
    <w:rsid w:val="00576F87"/>
    <w:rsid w:val="005800A3"/>
    <w:rsid w:val="00580E5C"/>
    <w:rsid w:val="00581587"/>
    <w:rsid w:val="00581F5A"/>
    <w:rsid w:val="00582B82"/>
    <w:rsid w:val="00582EF6"/>
    <w:rsid w:val="00583464"/>
    <w:rsid w:val="00583A9B"/>
    <w:rsid w:val="00585D80"/>
    <w:rsid w:val="00586A60"/>
    <w:rsid w:val="0058774E"/>
    <w:rsid w:val="00587847"/>
    <w:rsid w:val="00587868"/>
    <w:rsid w:val="00587E0C"/>
    <w:rsid w:val="00591025"/>
    <w:rsid w:val="00591555"/>
    <w:rsid w:val="00592E85"/>
    <w:rsid w:val="00592F69"/>
    <w:rsid w:val="00593557"/>
    <w:rsid w:val="005935DB"/>
    <w:rsid w:val="0059385F"/>
    <w:rsid w:val="005946F1"/>
    <w:rsid w:val="00595BF2"/>
    <w:rsid w:val="00597E2F"/>
    <w:rsid w:val="005A02B7"/>
    <w:rsid w:val="005A07C9"/>
    <w:rsid w:val="005A10EF"/>
    <w:rsid w:val="005A12C1"/>
    <w:rsid w:val="005A12E3"/>
    <w:rsid w:val="005A1307"/>
    <w:rsid w:val="005A1548"/>
    <w:rsid w:val="005A1D55"/>
    <w:rsid w:val="005A371D"/>
    <w:rsid w:val="005A385F"/>
    <w:rsid w:val="005A4642"/>
    <w:rsid w:val="005A4851"/>
    <w:rsid w:val="005A4B6B"/>
    <w:rsid w:val="005A5344"/>
    <w:rsid w:val="005A579A"/>
    <w:rsid w:val="005A5C02"/>
    <w:rsid w:val="005A6614"/>
    <w:rsid w:val="005A66D1"/>
    <w:rsid w:val="005A708D"/>
    <w:rsid w:val="005A7559"/>
    <w:rsid w:val="005A7587"/>
    <w:rsid w:val="005A7A5A"/>
    <w:rsid w:val="005B1ADB"/>
    <w:rsid w:val="005B1C58"/>
    <w:rsid w:val="005B2A88"/>
    <w:rsid w:val="005B342A"/>
    <w:rsid w:val="005B37AA"/>
    <w:rsid w:val="005B4418"/>
    <w:rsid w:val="005B4B65"/>
    <w:rsid w:val="005B5529"/>
    <w:rsid w:val="005B645D"/>
    <w:rsid w:val="005B663F"/>
    <w:rsid w:val="005B6B95"/>
    <w:rsid w:val="005B6F4F"/>
    <w:rsid w:val="005B707A"/>
    <w:rsid w:val="005B7160"/>
    <w:rsid w:val="005B73A6"/>
    <w:rsid w:val="005B768C"/>
    <w:rsid w:val="005B7C61"/>
    <w:rsid w:val="005C0EE2"/>
    <w:rsid w:val="005C160D"/>
    <w:rsid w:val="005C1691"/>
    <w:rsid w:val="005C283A"/>
    <w:rsid w:val="005C33DE"/>
    <w:rsid w:val="005C3571"/>
    <w:rsid w:val="005C3983"/>
    <w:rsid w:val="005C3DAD"/>
    <w:rsid w:val="005C403A"/>
    <w:rsid w:val="005C4C1F"/>
    <w:rsid w:val="005C5F97"/>
    <w:rsid w:val="005C6799"/>
    <w:rsid w:val="005C6AC7"/>
    <w:rsid w:val="005C7036"/>
    <w:rsid w:val="005C7053"/>
    <w:rsid w:val="005D0181"/>
    <w:rsid w:val="005D1B22"/>
    <w:rsid w:val="005D1F87"/>
    <w:rsid w:val="005D247E"/>
    <w:rsid w:val="005D2797"/>
    <w:rsid w:val="005D2821"/>
    <w:rsid w:val="005D29AB"/>
    <w:rsid w:val="005D2AD9"/>
    <w:rsid w:val="005D383B"/>
    <w:rsid w:val="005D487B"/>
    <w:rsid w:val="005D569E"/>
    <w:rsid w:val="005D6A20"/>
    <w:rsid w:val="005D75A8"/>
    <w:rsid w:val="005D7F63"/>
    <w:rsid w:val="005D7FD7"/>
    <w:rsid w:val="005E0134"/>
    <w:rsid w:val="005E01D6"/>
    <w:rsid w:val="005E0D2C"/>
    <w:rsid w:val="005E0FBF"/>
    <w:rsid w:val="005E10AA"/>
    <w:rsid w:val="005E1A94"/>
    <w:rsid w:val="005E1E5E"/>
    <w:rsid w:val="005E2235"/>
    <w:rsid w:val="005E2578"/>
    <w:rsid w:val="005E2C82"/>
    <w:rsid w:val="005E320C"/>
    <w:rsid w:val="005E3644"/>
    <w:rsid w:val="005E43D7"/>
    <w:rsid w:val="005E43D9"/>
    <w:rsid w:val="005E4D2B"/>
    <w:rsid w:val="005E4DFD"/>
    <w:rsid w:val="005E4E92"/>
    <w:rsid w:val="005E5326"/>
    <w:rsid w:val="005E5E26"/>
    <w:rsid w:val="005E5F05"/>
    <w:rsid w:val="005E60DE"/>
    <w:rsid w:val="005E6788"/>
    <w:rsid w:val="005E778F"/>
    <w:rsid w:val="005E78C9"/>
    <w:rsid w:val="005E78D5"/>
    <w:rsid w:val="005F0DF2"/>
    <w:rsid w:val="005F1192"/>
    <w:rsid w:val="005F1569"/>
    <w:rsid w:val="005F1684"/>
    <w:rsid w:val="005F186F"/>
    <w:rsid w:val="005F2A09"/>
    <w:rsid w:val="005F354D"/>
    <w:rsid w:val="005F41E6"/>
    <w:rsid w:val="005F48E7"/>
    <w:rsid w:val="005F5C60"/>
    <w:rsid w:val="005F5D4D"/>
    <w:rsid w:val="005F65D7"/>
    <w:rsid w:val="005F6F37"/>
    <w:rsid w:val="005F7277"/>
    <w:rsid w:val="0060015E"/>
    <w:rsid w:val="00600FF2"/>
    <w:rsid w:val="0060107B"/>
    <w:rsid w:val="00601744"/>
    <w:rsid w:val="00601EEB"/>
    <w:rsid w:val="0060324A"/>
    <w:rsid w:val="00603B00"/>
    <w:rsid w:val="00604156"/>
    <w:rsid w:val="006041F6"/>
    <w:rsid w:val="00604586"/>
    <w:rsid w:val="00604591"/>
    <w:rsid w:val="00604A3E"/>
    <w:rsid w:val="00604E98"/>
    <w:rsid w:val="00605593"/>
    <w:rsid w:val="0060751C"/>
    <w:rsid w:val="00607D49"/>
    <w:rsid w:val="00607E9C"/>
    <w:rsid w:val="00610586"/>
    <w:rsid w:val="00610A0E"/>
    <w:rsid w:val="00611ED2"/>
    <w:rsid w:val="00611EE1"/>
    <w:rsid w:val="00613239"/>
    <w:rsid w:val="00614D9F"/>
    <w:rsid w:val="0061600A"/>
    <w:rsid w:val="00616417"/>
    <w:rsid w:val="0061657A"/>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7AAB"/>
    <w:rsid w:val="00627B99"/>
    <w:rsid w:val="00627E79"/>
    <w:rsid w:val="006300C1"/>
    <w:rsid w:val="006304B1"/>
    <w:rsid w:val="00631533"/>
    <w:rsid w:val="00631EC7"/>
    <w:rsid w:val="0063209E"/>
    <w:rsid w:val="006335B0"/>
    <w:rsid w:val="00633D19"/>
    <w:rsid w:val="00633D42"/>
    <w:rsid w:val="00634056"/>
    <w:rsid w:val="00634CAD"/>
    <w:rsid w:val="00634E82"/>
    <w:rsid w:val="006363FA"/>
    <w:rsid w:val="0063655E"/>
    <w:rsid w:val="00636979"/>
    <w:rsid w:val="00636B5D"/>
    <w:rsid w:val="006372D5"/>
    <w:rsid w:val="006379A7"/>
    <w:rsid w:val="00637EA1"/>
    <w:rsid w:val="00640237"/>
    <w:rsid w:val="0064124F"/>
    <w:rsid w:val="00641AB6"/>
    <w:rsid w:val="00642173"/>
    <w:rsid w:val="00642997"/>
    <w:rsid w:val="00642BFD"/>
    <w:rsid w:val="006436D0"/>
    <w:rsid w:val="00643F7D"/>
    <w:rsid w:val="006453A3"/>
    <w:rsid w:val="00645BC8"/>
    <w:rsid w:val="00645DD3"/>
    <w:rsid w:val="0064650B"/>
    <w:rsid w:val="00646B2F"/>
    <w:rsid w:val="00646FF5"/>
    <w:rsid w:val="00647CD3"/>
    <w:rsid w:val="0065022E"/>
    <w:rsid w:val="0065047A"/>
    <w:rsid w:val="006510E7"/>
    <w:rsid w:val="00651D1E"/>
    <w:rsid w:val="006524CF"/>
    <w:rsid w:val="00652AB2"/>
    <w:rsid w:val="006532AB"/>
    <w:rsid w:val="006539B3"/>
    <w:rsid w:val="00653D97"/>
    <w:rsid w:val="00653DB2"/>
    <w:rsid w:val="00654F65"/>
    <w:rsid w:val="006556B0"/>
    <w:rsid w:val="0065588A"/>
    <w:rsid w:val="00655983"/>
    <w:rsid w:val="00656065"/>
    <w:rsid w:val="00656AE4"/>
    <w:rsid w:val="006571CF"/>
    <w:rsid w:val="0065748E"/>
    <w:rsid w:val="00657934"/>
    <w:rsid w:val="00657A63"/>
    <w:rsid w:val="006604AF"/>
    <w:rsid w:val="0066067A"/>
    <w:rsid w:val="006612B7"/>
    <w:rsid w:val="00661497"/>
    <w:rsid w:val="00661503"/>
    <w:rsid w:val="006617A5"/>
    <w:rsid w:val="00661EB0"/>
    <w:rsid w:val="0066235E"/>
    <w:rsid w:val="00662523"/>
    <w:rsid w:val="00662B0D"/>
    <w:rsid w:val="00663E53"/>
    <w:rsid w:val="006644CF"/>
    <w:rsid w:val="00666308"/>
    <w:rsid w:val="00666BB7"/>
    <w:rsid w:val="00666C4C"/>
    <w:rsid w:val="00667518"/>
    <w:rsid w:val="00670342"/>
    <w:rsid w:val="00670C82"/>
    <w:rsid w:val="00670D33"/>
    <w:rsid w:val="00671921"/>
    <w:rsid w:val="00671AFA"/>
    <w:rsid w:val="006722F6"/>
    <w:rsid w:val="006725F0"/>
    <w:rsid w:val="00672A00"/>
    <w:rsid w:val="0067332F"/>
    <w:rsid w:val="00674A25"/>
    <w:rsid w:val="00674DCE"/>
    <w:rsid w:val="00675104"/>
    <w:rsid w:val="006755EE"/>
    <w:rsid w:val="00675A8E"/>
    <w:rsid w:val="00675D1F"/>
    <w:rsid w:val="00676955"/>
    <w:rsid w:val="00676D3E"/>
    <w:rsid w:val="00677048"/>
    <w:rsid w:val="0068046C"/>
    <w:rsid w:val="006812C0"/>
    <w:rsid w:val="006817D3"/>
    <w:rsid w:val="00682313"/>
    <w:rsid w:val="006828B7"/>
    <w:rsid w:val="00683085"/>
    <w:rsid w:val="0068387C"/>
    <w:rsid w:val="00683942"/>
    <w:rsid w:val="00683ACE"/>
    <w:rsid w:val="00683E1A"/>
    <w:rsid w:val="0068574F"/>
    <w:rsid w:val="00686222"/>
    <w:rsid w:val="0068634C"/>
    <w:rsid w:val="00686C68"/>
    <w:rsid w:val="00686F04"/>
    <w:rsid w:val="00686F62"/>
    <w:rsid w:val="00687043"/>
    <w:rsid w:val="00690B64"/>
    <w:rsid w:val="00691F51"/>
    <w:rsid w:val="006922DF"/>
    <w:rsid w:val="00692328"/>
    <w:rsid w:val="0069241A"/>
    <w:rsid w:val="00693531"/>
    <w:rsid w:val="006935B9"/>
    <w:rsid w:val="00694848"/>
    <w:rsid w:val="00695224"/>
    <w:rsid w:val="006953B6"/>
    <w:rsid w:val="006959D4"/>
    <w:rsid w:val="00695AB8"/>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31F"/>
    <w:rsid w:val="006A256B"/>
    <w:rsid w:val="006A2F27"/>
    <w:rsid w:val="006A333F"/>
    <w:rsid w:val="006A33B2"/>
    <w:rsid w:val="006A38CC"/>
    <w:rsid w:val="006A4592"/>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E18"/>
    <w:rsid w:val="006B3D4C"/>
    <w:rsid w:val="006B445B"/>
    <w:rsid w:val="006B541F"/>
    <w:rsid w:val="006B5DC9"/>
    <w:rsid w:val="006B65F2"/>
    <w:rsid w:val="006B66F8"/>
    <w:rsid w:val="006B6C8C"/>
    <w:rsid w:val="006B6CDF"/>
    <w:rsid w:val="006B71C3"/>
    <w:rsid w:val="006B7604"/>
    <w:rsid w:val="006B77FE"/>
    <w:rsid w:val="006B7A32"/>
    <w:rsid w:val="006C0088"/>
    <w:rsid w:val="006C01F1"/>
    <w:rsid w:val="006C0CC8"/>
    <w:rsid w:val="006C0EE3"/>
    <w:rsid w:val="006C1D0E"/>
    <w:rsid w:val="006C1E75"/>
    <w:rsid w:val="006C1FFC"/>
    <w:rsid w:val="006C2185"/>
    <w:rsid w:val="006C2192"/>
    <w:rsid w:val="006C2237"/>
    <w:rsid w:val="006C2A33"/>
    <w:rsid w:val="006C3391"/>
    <w:rsid w:val="006C3C53"/>
    <w:rsid w:val="006C3CBA"/>
    <w:rsid w:val="006C3E30"/>
    <w:rsid w:val="006C3E96"/>
    <w:rsid w:val="006C4AC7"/>
    <w:rsid w:val="006C511D"/>
    <w:rsid w:val="006C5552"/>
    <w:rsid w:val="006C5F50"/>
    <w:rsid w:val="006D0435"/>
    <w:rsid w:val="006D05EF"/>
    <w:rsid w:val="006D0878"/>
    <w:rsid w:val="006D0BDD"/>
    <w:rsid w:val="006D0CB8"/>
    <w:rsid w:val="006D0CDA"/>
    <w:rsid w:val="006D133B"/>
    <w:rsid w:val="006D150F"/>
    <w:rsid w:val="006D2028"/>
    <w:rsid w:val="006D2762"/>
    <w:rsid w:val="006D2A1D"/>
    <w:rsid w:val="006D32D2"/>
    <w:rsid w:val="006D33A7"/>
    <w:rsid w:val="006D41C9"/>
    <w:rsid w:val="006D56DA"/>
    <w:rsid w:val="006D5920"/>
    <w:rsid w:val="006D59CA"/>
    <w:rsid w:val="006D6A01"/>
    <w:rsid w:val="006D776D"/>
    <w:rsid w:val="006D7DAF"/>
    <w:rsid w:val="006D7E04"/>
    <w:rsid w:val="006E0126"/>
    <w:rsid w:val="006E0848"/>
    <w:rsid w:val="006E11AC"/>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4B32"/>
    <w:rsid w:val="006F6278"/>
    <w:rsid w:val="006F6F4D"/>
    <w:rsid w:val="006F7BB8"/>
    <w:rsid w:val="0070066B"/>
    <w:rsid w:val="00701022"/>
    <w:rsid w:val="0070184D"/>
    <w:rsid w:val="00701DDF"/>
    <w:rsid w:val="00702247"/>
    <w:rsid w:val="007033F1"/>
    <w:rsid w:val="00704CBD"/>
    <w:rsid w:val="00705148"/>
    <w:rsid w:val="0070597A"/>
    <w:rsid w:val="007059E9"/>
    <w:rsid w:val="00705DC2"/>
    <w:rsid w:val="0070655B"/>
    <w:rsid w:val="00706FFC"/>
    <w:rsid w:val="00707536"/>
    <w:rsid w:val="00707A84"/>
    <w:rsid w:val="00707DE3"/>
    <w:rsid w:val="00710292"/>
    <w:rsid w:val="00714054"/>
    <w:rsid w:val="00714083"/>
    <w:rsid w:val="007157B2"/>
    <w:rsid w:val="00716097"/>
    <w:rsid w:val="00716559"/>
    <w:rsid w:val="00716825"/>
    <w:rsid w:val="007205F0"/>
    <w:rsid w:val="00720A0D"/>
    <w:rsid w:val="0072127E"/>
    <w:rsid w:val="007215B3"/>
    <w:rsid w:val="0072271B"/>
    <w:rsid w:val="007237D7"/>
    <w:rsid w:val="00723C90"/>
    <w:rsid w:val="0072460F"/>
    <w:rsid w:val="00724702"/>
    <w:rsid w:val="00724AD9"/>
    <w:rsid w:val="00725268"/>
    <w:rsid w:val="007258FF"/>
    <w:rsid w:val="00725968"/>
    <w:rsid w:val="00725CA4"/>
    <w:rsid w:val="00725EFC"/>
    <w:rsid w:val="007264FB"/>
    <w:rsid w:val="00727237"/>
    <w:rsid w:val="00730B23"/>
    <w:rsid w:val="00731614"/>
    <w:rsid w:val="007325D2"/>
    <w:rsid w:val="00732A5E"/>
    <w:rsid w:val="00732F1C"/>
    <w:rsid w:val="00733153"/>
    <w:rsid w:val="0073339B"/>
    <w:rsid w:val="00733B22"/>
    <w:rsid w:val="00733FF7"/>
    <w:rsid w:val="007356DE"/>
    <w:rsid w:val="00735C72"/>
    <w:rsid w:val="007367CA"/>
    <w:rsid w:val="00736C6D"/>
    <w:rsid w:val="007377B5"/>
    <w:rsid w:val="00737C0A"/>
    <w:rsid w:val="00740187"/>
    <w:rsid w:val="0074160D"/>
    <w:rsid w:val="00741C58"/>
    <w:rsid w:val="00741C5E"/>
    <w:rsid w:val="00743262"/>
    <w:rsid w:val="00744153"/>
    <w:rsid w:val="007444BF"/>
    <w:rsid w:val="007444FA"/>
    <w:rsid w:val="00744BE0"/>
    <w:rsid w:val="0074533B"/>
    <w:rsid w:val="00745374"/>
    <w:rsid w:val="00745BD2"/>
    <w:rsid w:val="00746164"/>
    <w:rsid w:val="007463BC"/>
    <w:rsid w:val="00746A22"/>
    <w:rsid w:val="00746AEF"/>
    <w:rsid w:val="00746F94"/>
    <w:rsid w:val="00746FB8"/>
    <w:rsid w:val="00747C97"/>
    <w:rsid w:val="00747CEF"/>
    <w:rsid w:val="0075028B"/>
    <w:rsid w:val="00750D85"/>
    <w:rsid w:val="00750D90"/>
    <w:rsid w:val="00751041"/>
    <w:rsid w:val="00751196"/>
    <w:rsid w:val="00751C20"/>
    <w:rsid w:val="00752B74"/>
    <w:rsid w:val="00752CDD"/>
    <w:rsid w:val="00752E07"/>
    <w:rsid w:val="00752FEA"/>
    <w:rsid w:val="00753B52"/>
    <w:rsid w:val="00753F35"/>
    <w:rsid w:val="0075447B"/>
    <w:rsid w:val="0075523F"/>
    <w:rsid w:val="00755530"/>
    <w:rsid w:val="00755A5C"/>
    <w:rsid w:val="00755E79"/>
    <w:rsid w:val="007566DE"/>
    <w:rsid w:val="00756F86"/>
    <w:rsid w:val="0075777A"/>
    <w:rsid w:val="0076013E"/>
    <w:rsid w:val="007645ED"/>
    <w:rsid w:val="00765002"/>
    <w:rsid w:val="0076501C"/>
    <w:rsid w:val="007675F7"/>
    <w:rsid w:val="0077091F"/>
    <w:rsid w:val="00771266"/>
    <w:rsid w:val="00772036"/>
    <w:rsid w:val="0077203D"/>
    <w:rsid w:val="00772114"/>
    <w:rsid w:val="00772150"/>
    <w:rsid w:val="007721E3"/>
    <w:rsid w:val="00775850"/>
    <w:rsid w:val="00776534"/>
    <w:rsid w:val="007768AE"/>
    <w:rsid w:val="00776F7B"/>
    <w:rsid w:val="00777322"/>
    <w:rsid w:val="00777C1D"/>
    <w:rsid w:val="00777E1B"/>
    <w:rsid w:val="00780D57"/>
    <w:rsid w:val="00780F67"/>
    <w:rsid w:val="007811DE"/>
    <w:rsid w:val="007818C5"/>
    <w:rsid w:val="00781EF6"/>
    <w:rsid w:val="00781F40"/>
    <w:rsid w:val="00782CE7"/>
    <w:rsid w:val="00782F5F"/>
    <w:rsid w:val="00784306"/>
    <w:rsid w:val="00784450"/>
    <w:rsid w:val="00784DDD"/>
    <w:rsid w:val="00785434"/>
    <w:rsid w:val="007854AB"/>
    <w:rsid w:val="00785789"/>
    <w:rsid w:val="007857B5"/>
    <w:rsid w:val="00785F9C"/>
    <w:rsid w:val="00786820"/>
    <w:rsid w:val="00786D03"/>
    <w:rsid w:val="007874E8"/>
    <w:rsid w:val="00787A4E"/>
    <w:rsid w:val="00787E46"/>
    <w:rsid w:val="00790B36"/>
    <w:rsid w:val="00790C65"/>
    <w:rsid w:val="007914C4"/>
    <w:rsid w:val="007919AA"/>
    <w:rsid w:val="00792891"/>
    <w:rsid w:val="00794258"/>
    <w:rsid w:val="00794997"/>
    <w:rsid w:val="0079543C"/>
    <w:rsid w:val="00795707"/>
    <w:rsid w:val="007958A2"/>
    <w:rsid w:val="00795A32"/>
    <w:rsid w:val="00795C4E"/>
    <w:rsid w:val="007970DC"/>
    <w:rsid w:val="00797438"/>
    <w:rsid w:val="00797A25"/>
    <w:rsid w:val="00797EDC"/>
    <w:rsid w:val="007A03B1"/>
    <w:rsid w:val="007A0520"/>
    <w:rsid w:val="007A0605"/>
    <w:rsid w:val="007A0E19"/>
    <w:rsid w:val="007A0E2F"/>
    <w:rsid w:val="007A10E6"/>
    <w:rsid w:val="007A1136"/>
    <w:rsid w:val="007A241F"/>
    <w:rsid w:val="007A26FB"/>
    <w:rsid w:val="007A2E07"/>
    <w:rsid w:val="007A3506"/>
    <w:rsid w:val="007A4153"/>
    <w:rsid w:val="007A424B"/>
    <w:rsid w:val="007A46C9"/>
    <w:rsid w:val="007A4983"/>
    <w:rsid w:val="007A501A"/>
    <w:rsid w:val="007A530D"/>
    <w:rsid w:val="007A5CB7"/>
    <w:rsid w:val="007A5CE6"/>
    <w:rsid w:val="007A6113"/>
    <w:rsid w:val="007A6DFA"/>
    <w:rsid w:val="007A6F5D"/>
    <w:rsid w:val="007A7B86"/>
    <w:rsid w:val="007B1A47"/>
    <w:rsid w:val="007B1DED"/>
    <w:rsid w:val="007B2741"/>
    <w:rsid w:val="007B3EEC"/>
    <w:rsid w:val="007B3F83"/>
    <w:rsid w:val="007B3FFF"/>
    <w:rsid w:val="007B47BA"/>
    <w:rsid w:val="007B4B17"/>
    <w:rsid w:val="007B62F5"/>
    <w:rsid w:val="007B7A1F"/>
    <w:rsid w:val="007B7ACF"/>
    <w:rsid w:val="007C07D2"/>
    <w:rsid w:val="007C0C41"/>
    <w:rsid w:val="007C0E51"/>
    <w:rsid w:val="007C0F7B"/>
    <w:rsid w:val="007C12FC"/>
    <w:rsid w:val="007C1A56"/>
    <w:rsid w:val="007C1BD2"/>
    <w:rsid w:val="007C22A2"/>
    <w:rsid w:val="007C2322"/>
    <w:rsid w:val="007C2370"/>
    <w:rsid w:val="007C44C4"/>
    <w:rsid w:val="007C4B16"/>
    <w:rsid w:val="007C573D"/>
    <w:rsid w:val="007C5EB7"/>
    <w:rsid w:val="007D02AD"/>
    <w:rsid w:val="007D0368"/>
    <w:rsid w:val="007D04E6"/>
    <w:rsid w:val="007D06EE"/>
    <w:rsid w:val="007D0D57"/>
    <w:rsid w:val="007D1D33"/>
    <w:rsid w:val="007D2628"/>
    <w:rsid w:val="007D2656"/>
    <w:rsid w:val="007D27C9"/>
    <w:rsid w:val="007D2C1F"/>
    <w:rsid w:val="007D2D2D"/>
    <w:rsid w:val="007D3809"/>
    <w:rsid w:val="007D3ABD"/>
    <w:rsid w:val="007D3E32"/>
    <w:rsid w:val="007D3F81"/>
    <w:rsid w:val="007D45FE"/>
    <w:rsid w:val="007D4A85"/>
    <w:rsid w:val="007D4BBF"/>
    <w:rsid w:val="007D52F4"/>
    <w:rsid w:val="007D53E8"/>
    <w:rsid w:val="007D5CFE"/>
    <w:rsid w:val="007D5FFC"/>
    <w:rsid w:val="007D6907"/>
    <w:rsid w:val="007D723B"/>
    <w:rsid w:val="007D7965"/>
    <w:rsid w:val="007E03E4"/>
    <w:rsid w:val="007E0EDD"/>
    <w:rsid w:val="007E0F1F"/>
    <w:rsid w:val="007E1165"/>
    <w:rsid w:val="007E1EBF"/>
    <w:rsid w:val="007E21CA"/>
    <w:rsid w:val="007E24F9"/>
    <w:rsid w:val="007E2D10"/>
    <w:rsid w:val="007E31D2"/>
    <w:rsid w:val="007E3300"/>
    <w:rsid w:val="007E3601"/>
    <w:rsid w:val="007E3899"/>
    <w:rsid w:val="007E4431"/>
    <w:rsid w:val="007E479E"/>
    <w:rsid w:val="007E5533"/>
    <w:rsid w:val="007E5555"/>
    <w:rsid w:val="007E5691"/>
    <w:rsid w:val="007E56DD"/>
    <w:rsid w:val="007E614B"/>
    <w:rsid w:val="007E6353"/>
    <w:rsid w:val="007E637E"/>
    <w:rsid w:val="007E7BB8"/>
    <w:rsid w:val="007E7BEA"/>
    <w:rsid w:val="007F0400"/>
    <w:rsid w:val="007F040C"/>
    <w:rsid w:val="007F0A9F"/>
    <w:rsid w:val="007F1B06"/>
    <w:rsid w:val="007F215B"/>
    <w:rsid w:val="007F2594"/>
    <w:rsid w:val="007F268D"/>
    <w:rsid w:val="007F2907"/>
    <w:rsid w:val="007F2930"/>
    <w:rsid w:val="007F2AD8"/>
    <w:rsid w:val="007F2BEA"/>
    <w:rsid w:val="007F3346"/>
    <w:rsid w:val="007F345B"/>
    <w:rsid w:val="007F36BA"/>
    <w:rsid w:val="007F3731"/>
    <w:rsid w:val="007F497F"/>
    <w:rsid w:val="007F5019"/>
    <w:rsid w:val="007F5124"/>
    <w:rsid w:val="007F53C0"/>
    <w:rsid w:val="007F577C"/>
    <w:rsid w:val="007F6AC2"/>
    <w:rsid w:val="00800F5C"/>
    <w:rsid w:val="00801AB1"/>
    <w:rsid w:val="00801EA6"/>
    <w:rsid w:val="00802C82"/>
    <w:rsid w:val="008033B8"/>
    <w:rsid w:val="008033C1"/>
    <w:rsid w:val="00803689"/>
    <w:rsid w:val="00803DDC"/>
    <w:rsid w:val="00803EBA"/>
    <w:rsid w:val="0080434A"/>
    <w:rsid w:val="0080498C"/>
    <w:rsid w:val="008049DB"/>
    <w:rsid w:val="0080557B"/>
    <w:rsid w:val="00805B7B"/>
    <w:rsid w:val="00805D34"/>
    <w:rsid w:val="00806393"/>
    <w:rsid w:val="00806D7C"/>
    <w:rsid w:val="00806FF0"/>
    <w:rsid w:val="00810A80"/>
    <w:rsid w:val="00811009"/>
    <w:rsid w:val="00812CAB"/>
    <w:rsid w:val="00812D0A"/>
    <w:rsid w:val="00813405"/>
    <w:rsid w:val="0081357E"/>
    <w:rsid w:val="00813C9D"/>
    <w:rsid w:val="00814F99"/>
    <w:rsid w:val="00815C51"/>
    <w:rsid w:val="00816BEF"/>
    <w:rsid w:val="0081722B"/>
    <w:rsid w:val="008179EA"/>
    <w:rsid w:val="00817F99"/>
    <w:rsid w:val="0082025A"/>
    <w:rsid w:val="00820DCE"/>
    <w:rsid w:val="00820DEF"/>
    <w:rsid w:val="008210EA"/>
    <w:rsid w:val="00821B46"/>
    <w:rsid w:val="008222AD"/>
    <w:rsid w:val="00822512"/>
    <w:rsid w:val="00822561"/>
    <w:rsid w:val="008225F9"/>
    <w:rsid w:val="00822D3C"/>
    <w:rsid w:val="00822FFE"/>
    <w:rsid w:val="00823691"/>
    <w:rsid w:val="008239AF"/>
    <w:rsid w:val="008254A4"/>
    <w:rsid w:val="008275A6"/>
    <w:rsid w:val="00827773"/>
    <w:rsid w:val="00827B06"/>
    <w:rsid w:val="00827E2A"/>
    <w:rsid w:val="00830148"/>
    <w:rsid w:val="00830AF2"/>
    <w:rsid w:val="00830BFC"/>
    <w:rsid w:val="00830EAB"/>
    <w:rsid w:val="008310D2"/>
    <w:rsid w:val="00831F24"/>
    <w:rsid w:val="00832458"/>
    <w:rsid w:val="00832601"/>
    <w:rsid w:val="00832DD9"/>
    <w:rsid w:val="00832EE1"/>
    <w:rsid w:val="00833A00"/>
    <w:rsid w:val="0083687A"/>
    <w:rsid w:val="0083775C"/>
    <w:rsid w:val="008400CE"/>
    <w:rsid w:val="00841487"/>
    <w:rsid w:val="008415DF"/>
    <w:rsid w:val="0084170D"/>
    <w:rsid w:val="00841F99"/>
    <w:rsid w:val="0084293B"/>
    <w:rsid w:val="00842ACC"/>
    <w:rsid w:val="00842BD7"/>
    <w:rsid w:val="008430B9"/>
    <w:rsid w:val="00843A6E"/>
    <w:rsid w:val="008443F1"/>
    <w:rsid w:val="00844AC8"/>
    <w:rsid w:val="0084510F"/>
    <w:rsid w:val="0084544D"/>
    <w:rsid w:val="008454E1"/>
    <w:rsid w:val="00845E68"/>
    <w:rsid w:val="008460C4"/>
    <w:rsid w:val="008469B2"/>
    <w:rsid w:val="00847032"/>
    <w:rsid w:val="008472DB"/>
    <w:rsid w:val="008476CA"/>
    <w:rsid w:val="0084776B"/>
    <w:rsid w:val="00850E57"/>
    <w:rsid w:val="0085101E"/>
    <w:rsid w:val="00852470"/>
    <w:rsid w:val="008524EA"/>
    <w:rsid w:val="00852846"/>
    <w:rsid w:val="008538E8"/>
    <w:rsid w:val="00854CBF"/>
    <w:rsid w:val="00855CB8"/>
    <w:rsid w:val="00856618"/>
    <w:rsid w:val="008566CA"/>
    <w:rsid w:val="008568C5"/>
    <w:rsid w:val="0085699B"/>
    <w:rsid w:val="00856B2E"/>
    <w:rsid w:val="008576E8"/>
    <w:rsid w:val="00862342"/>
    <w:rsid w:val="00862708"/>
    <w:rsid w:val="00862D18"/>
    <w:rsid w:val="008632E4"/>
    <w:rsid w:val="008638FB"/>
    <w:rsid w:val="00864BA7"/>
    <w:rsid w:val="00864FA0"/>
    <w:rsid w:val="00864FD5"/>
    <w:rsid w:val="00867216"/>
    <w:rsid w:val="0086743B"/>
    <w:rsid w:val="0087014B"/>
    <w:rsid w:val="00870347"/>
    <w:rsid w:val="0087052B"/>
    <w:rsid w:val="008708C1"/>
    <w:rsid w:val="00870CEF"/>
    <w:rsid w:val="0087154B"/>
    <w:rsid w:val="00871579"/>
    <w:rsid w:val="00871B86"/>
    <w:rsid w:val="00872962"/>
    <w:rsid w:val="008729E8"/>
    <w:rsid w:val="00872D02"/>
    <w:rsid w:val="008731BF"/>
    <w:rsid w:val="0087367B"/>
    <w:rsid w:val="0087379B"/>
    <w:rsid w:val="00873A05"/>
    <w:rsid w:val="00873C79"/>
    <w:rsid w:val="008742B8"/>
    <w:rsid w:val="008745FB"/>
    <w:rsid w:val="00874903"/>
    <w:rsid w:val="00874AFA"/>
    <w:rsid w:val="00874BE6"/>
    <w:rsid w:val="00874BEF"/>
    <w:rsid w:val="00874C43"/>
    <w:rsid w:val="00875044"/>
    <w:rsid w:val="008752CF"/>
    <w:rsid w:val="008752D5"/>
    <w:rsid w:val="00875D1B"/>
    <w:rsid w:val="00876093"/>
    <w:rsid w:val="008774B2"/>
    <w:rsid w:val="0088119F"/>
    <w:rsid w:val="008815C0"/>
    <w:rsid w:val="0088250C"/>
    <w:rsid w:val="008832BB"/>
    <w:rsid w:val="00883477"/>
    <w:rsid w:val="00884182"/>
    <w:rsid w:val="008844CC"/>
    <w:rsid w:val="00884DE8"/>
    <w:rsid w:val="0088512A"/>
    <w:rsid w:val="008859CF"/>
    <w:rsid w:val="00885B9F"/>
    <w:rsid w:val="00885F38"/>
    <w:rsid w:val="008864C3"/>
    <w:rsid w:val="00886B83"/>
    <w:rsid w:val="00887AA2"/>
    <w:rsid w:val="008900AB"/>
    <w:rsid w:val="00890CC0"/>
    <w:rsid w:val="00891630"/>
    <w:rsid w:val="008916E6"/>
    <w:rsid w:val="00891B0F"/>
    <w:rsid w:val="0089263D"/>
    <w:rsid w:val="008926B9"/>
    <w:rsid w:val="00892BD6"/>
    <w:rsid w:val="00892C69"/>
    <w:rsid w:val="00892CA6"/>
    <w:rsid w:val="00893562"/>
    <w:rsid w:val="008935B1"/>
    <w:rsid w:val="00894579"/>
    <w:rsid w:val="008959FD"/>
    <w:rsid w:val="00895C6B"/>
    <w:rsid w:val="00896D0A"/>
    <w:rsid w:val="0089751D"/>
    <w:rsid w:val="00897A46"/>
    <w:rsid w:val="00897F8F"/>
    <w:rsid w:val="008A0126"/>
    <w:rsid w:val="008A07C5"/>
    <w:rsid w:val="008A0954"/>
    <w:rsid w:val="008A0D61"/>
    <w:rsid w:val="008A241B"/>
    <w:rsid w:val="008A2A96"/>
    <w:rsid w:val="008A3F58"/>
    <w:rsid w:val="008A4D01"/>
    <w:rsid w:val="008A531F"/>
    <w:rsid w:val="008A596A"/>
    <w:rsid w:val="008A5DAC"/>
    <w:rsid w:val="008A636F"/>
    <w:rsid w:val="008A6F31"/>
    <w:rsid w:val="008A7065"/>
    <w:rsid w:val="008A78FE"/>
    <w:rsid w:val="008A79F4"/>
    <w:rsid w:val="008A7EC2"/>
    <w:rsid w:val="008B11DE"/>
    <w:rsid w:val="008B1807"/>
    <w:rsid w:val="008B2637"/>
    <w:rsid w:val="008B2706"/>
    <w:rsid w:val="008B2FB4"/>
    <w:rsid w:val="008B3114"/>
    <w:rsid w:val="008B319C"/>
    <w:rsid w:val="008B3E6B"/>
    <w:rsid w:val="008B4A88"/>
    <w:rsid w:val="008B5768"/>
    <w:rsid w:val="008B591C"/>
    <w:rsid w:val="008B5B1F"/>
    <w:rsid w:val="008B5F93"/>
    <w:rsid w:val="008B5FD5"/>
    <w:rsid w:val="008B63BB"/>
    <w:rsid w:val="008B65E7"/>
    <w:rsid w:val="008B6948"/>
    <w:rsid w:val="008B6DA0"/>
    <w:rsid w:val="008B6E0E"/>
    <w:rsid w:val="008B71AE"/>
    <w:rsid w:val="008B761D"/>
    <w:rsid w:val="008B7D5A"/>
    <w:rsid w:val="008C0190"/>
    <w:rsid w:val="008C01FF"/>
    <w:rsid w:val="008C0A9D"/>
    <w:rsid w:val="008C17E1"/>
    <w:rsid w:val="008C2E17"/>
    <w:rsid w:val="008C32C7"/>
    <w:rsid w:val="008C455A"/>
    <w:rsid w:val="008C4A4A"/>
    <w:rsid w:val="008C4CA8"/>
    <w:rsid w:val="008C4EDA"/>
    <w:rsid w:val="008C5305"/>
    <w:rsid w:val="008C5566"/>
    <w:rsid w:val="008C562A"/>
    <w:rsid w:val="008C5863"/>
    <w:rsid w:val="008C6D7A"/>
    <w:rsid w:val="008C7124"/>
    <w:rsid w:val="008C713E"/>
    <w:rsid w:val="008C76FE"/>
    <w:rsid w:val="008C7B9B"/>
    <w:rsid w:val="008D0D6B"/>
    <w:rsid w:val="008D0E73"/>
    <w:rsid w:val="008D0EAD"/>
    <w:rsid w:val="008D14B9"/>
    <w:rsid w:val="008D1648"/>
    <w:rsid w:val="008D2745"/>
    <w:rsid w:val="008D2A84"/>
    <w:rsid w:val="008D4D1D"/>
    <w:rsid w:val="008D5D67"/>
    <w:rsid w:val="008D5F2F"/>
    <w:rsid w:val="008D6448"/>
    <w:rsid w:val="008D7E7E"/>
    <w:rsid w:val="008E02FA"/>
    <w:rsid w:val="008E1922"/>
    <w:rsid w:val="008E1CD3"/>
    <w:rsid w:val="008E1F25"/>
    <w:rsid w:val="008E202D"/>
    <w:rsid w:val="008E27CB"/>
    <w:rsid w:val="008E2AE3"/>
    <w:rsid w:val="008E449D"/>
    <w:rsid w:val="008E57B4"/>
    <w:rsid w:val="008E58A8"/>
    <w:rsid w:val="008E5DD0"/>
    <w:rsid w:val="008E6374"/>
    <w:rsid w:val="008E6791"/>
    <w:rsid w:val="008E72A7"/>
    <w:rsid w:val="008E7C43"/>
    <w:rsid w:val="008F04AE"/>
    <w:rsid w:val="008F0682"/>
    <w:rsid w:val="008F06E3"/>
    <w:rsid w:val="008F0D7F"/>
    <w:rsid w:val="008F247C"/>
    <w:rsid w:val="008F2C96"/>
    <w:rsid w:val="008F349F"/>
    <w:rsid w:val="008F3767"/>
    <w:rsid w:val="008F3AB4"/>
    <w:rsid w:val="008F432B"/>
    <w:rsid w:val="008F43F9"/>
    <w:rsid w:val="008F4452"/>
    <w:rsid w:val="008F4F69"/>
    <w:rsid w:val="008F4FFD"/>
    <w:rsid w:val="008F53DF"/>
    <w:rsid w:val="008F6E39"/>
    <w:rsid w:val="00900473"/>
    <w:rsid w:val="009005B3"/>
    <w:rsid w:val="00900ED9"/>
    <w:rsid w:val="009013F6"/>
    <w:rsid w:val="00901880"/>
    <w:rsid w:val="009018CE"/>
    <w:rsid w:val="00901BEE"/>
    <w:rsid w:val="00901D16"/>
    <w:rsid w:val="00901EB2"/>
    <w:rsid w:val="00902AA5"/>
    <w:rsid w:val="009044CE"/>
    <w:rsid w:val="00904F14"/>
    <w:rsid w:val="0090562E"/>
    <w:rsid w:val="00905A66"/>
    <w:rsid w:val="00905DB4"/>
    <w:rsid w:val="00906446"/>
    <w:rsid w:val="00906459"/>
    <w:rsid w:val="00906C94"/>
    <w:rsid w:val="00911100"/>
    <w:rsid w:val="009130F8"/>
    <w:rsid w:val="00913494"/>
    <w:rsid w:val="009134BC"/>
    <w:rsid w:val="00913699"/>
    <w:rsid w:val="00913C46"/>
    <w:rsid w:val="00913F80"/>
    <w:rsid w:val="009144AB"/>
    <w:rsid w:val="00914654"/>
    <w:rsid w:val="00914F50"/>
    <w:rsid w:val="009152A9"/>
    <w:rsid w:val="00915CC4"/>
    <w:rsid w:val="0091602F"/>
    <w:rsid w:val="00916161"/>
    <w:rsid w:val="00916292"/>
    <w:rsid w:val="00916BE3"/>
    <w:rsid w:val="009175C2"/>
    <w:rsid w:val="0091789A"/>
    <w:rsid w:val="00917BAD"/>
    <w:rsid w:val="00917D64"/>
    <w:rsid w:val="009201D9"/>
    <w:rsid w:val="009209BA"/>
    <w:rsid w:val="0092251C"/>
    <w:rsid w:val="009226C5"/>
    <w:rsid w:val="009229C9"/>
    <w:rsid w:val="0092357A"/>
    <w:rsid w:val="0092402B"/>
    <w:rsid w:val="00924588"/>
    <w:rsid w:val="00924A9F"/>
    <w:rsid w:val="00925042"/>
    <w:rsid w:val="009251E0"/>
    <w:rsid w:val="00925E8E"/>
    <w:rsid w:val="009269BD"/>
    <w:rsid w:val="00926AA3"/>
    <w:rsid w:val="009303D6"/>
    <w:rsid w:val="00930B44"/>
    <w:rsid w:val="00931225"/>
    <w:rsid w:val="0093126B"/>
    <w:rsid w:val="0093128F"/>
    <w:rsid w:val="00931CCE"/>
    <w:rsid w:val="00931D72"/>
    <w:rsid w:val="00932288"/>
    <w:rsid w:val="00932774"/>
    <w:rsid w:val="00933023"/>
    <w:rsid w:val="00933603"/>
    <w:rsid w:val="009350DA"/>
    <w:rsid w:val="0093570B"/>
    <w:rsid w:val="009357E4"/>
    <w:rsid w:val="009362C2"/>
    <w:rsid w:val="0093646B"/>
    <w:rsid w:val="00937522"/>
    <w:rsid w:val="0093791B"/>
    <w:rsid w:val="009401AB"/>
    <w:rsid w:val="00940D6C"/>
    <w:rsid w:val="00941303"/>
    <w:rsid w:val="0094165E"/>
    <w:rsid w:val="00941FD2"/>
    <w:rsid w:val="009429B6"/>
    <w:rsid w:val="009443AE"/>
    <w:rsid w:val="00944B51"/>
    <w:rsid w:val="00944BA6"/>
    <w:rsid w:val="00944CFB"/>
    <w:rsid w:val="00944F50"/>
    <w:rsid w:val="00945022"/>
    <w:rsid w:val="00945199"/>
    <w:rsid w:val="009457AA"/>
    <w:rsid w:val="00945A29"/>
    <w:rsid w:val="00945BA0"/>
    <w:rsid w:val="00946797"/>
    <w:rsid w:val="00946800"/>
    <w:rsid w:val="00946822"/>
    <w:rsid w:val="00947C03"/>
    <w:rsid w:val="009511EB"/>
    <w:rsid w:val="00951479"/>
    <w:rsid w:val="00951870"/>
    <w:rsid w:val="00951EE6"/>
    <w:rsid w:val="00952B25"/>
    <w:rsid w:val="00953D69"/>
    <w:rsid w:val="00954226"/>
    <w:rsid w:val="00954658"/>
    <w:rsid w:val="00956153"/>
    <w:rsid w:val="009561B4"/>
    <w:rsid w:val="009565AE"/>
    <w:rsid w:val="00956AA3"/>
    <w:rsid w:val="009574B7"/>
    <w:rsid w:val="009605F6"/>
    <w:rsid w:val="009611D3"/>
    <w:rsid w:val="0096138E"/>
    <w:rsid w:val="0096171A"/>
    <w:rsid w:val="00962193"/>
    <w:rsid w:val="009627CF"/>
    <w:rsid w:val="00962A11"/>
    <w:rsid w:val="00962E7D"/>
    <w:rsid w:val="0096406A"/>
    <w:rsid w:val="00964A4F"/>
    <w:rsid w:val="00964D10"/>
    <w:rsid w:val="00965153"/>
    <w:rsid w:val="00965371"/>
    <w:rsid w:val="00965468"/>
    <w:rsid w:val="00965874"/>
    <w:rsid w:val="00965E71"/>
    <w:rsid w:val="009667F1"/>
    <w:rsid w:val="009668D3"/>
    <w:rsid w:val="009670C2"/>
    <w:rsid w:val="00970100"/>
    <w:rsid w:val="0097040B"/>
    <w:rsid w:val="00972177"/>
    <w:rsid w:val="00973222"/>
    <w:rsid w:val="00973DF4"/>
    <w:rsid w:val="00974624"/>
    <w:rsid w:val="00975087"/>
    <w:rsid w:val="00975C59"/>
    <w:rsid w:val="00975DEE"/>
    <w:rsid w:val="00976215"/>
    <w:rsid w:val="00976309"/>
    <w:rsid w:val="00976487"/>
    <w:rsid w:val="0097700C"/>
    <w:rsid w:val="009773D6"/>
    <w:rsid w:val="00977A8A"/>
    <w:rsid w:val="00977C0C"/>
    <w:rsid w:val="009808B3"/>
    <w:rsid w:val="0098149C"/>
    <w:rsid w:val="00982626"/>
    <w:rsid w:val="00982DCA"/>
    <w:rsid w:val="00983210"/>
    <w:rsid w:val="009833D1"/>
    <w:rsid w:val="0098376A"/>
    <w:rsid w:val="00983F50"/>
    <w:rsid w:val="0098413C"/>
    <w:rsid w:val="0098560B"/>
    <w:rsid w:val="0098605C"/>
    <w:rsid w:val="0098675C"/>
    <w:rsid w:val="00987290"/>
    <w:rsid w:val="009872EB"/>
    <w:rsid w:val="009876EE"/>
    <w:rsid w:val="00987AA2"/>
    <w:rsid w:val="00987B8C"/>
    <w:rsid w:val="00987CEE"/>
    <w:rsid w:val="00990C19"/>
    <w:rsid w:val="00991530"/>
    <w:rsid w:val="009916DA"/>
    <w:rsid w:val="00991D80"/>
    <w:rsid w:val="00991EA5"/>
    <w:rsid w:val="009920AC"/>
    <w:rsid w:val="00992B33"/>
    <w:rsid w:val="009945E8"/>
    <w:rsid w:val="00994FC7"/>
    <w:rsid w:val="009959BD"/>
    <w:rsid w:val="00995E92"/>
    <w:rsid w:val="00996363"/>
    <w:rsid w:val="009964CD"/>
    <w:rsid w:val="009967CE"/>
    <w:rsid w:val="00997309"/>
    <w:rsid w:val="00997DE4"/>
    <w:rsid w:val="009A0338"/>
    <w:rsid w:val="009A055F"/>
    <w:rsid w:val="009A0F7D"/>
    <w:rsid w:val="009A1344"/>
    <w:rsid w:val="009A1365"/>
    <w:rsid w:val="009A14FA"/>
    <w:rsid w:val="009A20BC"/>
    <w:rsid w:val="009A24FB"/>
    <w:rsid w:val="009A26E1"/>
    <w:rsid w:val="009A2CF1"/>
    <w:rsid w:val="009A363C"/>
    <w:rsid w:val="009A3C08"/>
    <w:rsid w:val="009A4A0D"/>
    <w:rsid w:val="009A4AA5"/>
    <w:rsid w:val="009A55FF"/>
    <w:rsid w:val="009A57CD"/>
    <w:rsid w:val="009A5D5A"/>
    <w:rsid w:val="009A5DEE"/>
    <w:rsid w:val="009A6277"/>
    <w:rsid w:val="009A6783"/>
    <w:rsid w:val="009A73C8"/>
    <w:rsid w:val="009A76E5"/>
    <w:rsid w:val="009A7788"/>
    <w:rsid w:val="009A7AFF"/>
    <w:rsid w:val="009A7D13"/>
    <w:rsid w:val="009B0472"/>
    <w:rsid w:val="009B0773"/>
    <w:rsid w:val="009B0DA6"/>
    <w:rsid w:val="009B1362"/>
    <w:rsid w:val="009B1A87"/>
    <w:rsid w:val="009B1B04"/>
    <w:rsid w:val="009B21EE"/>
    <w:rsid w:val="009B2247"/>
    <w:rsid w:val="009B2576"/>
    <w:rsid w:val="009B297F"/>
    <w:rsid w:val="009B298D"/>
    <w:rsid w:val="009B31C1"/>
    <w:rsid w:val="009B3D52"/>
    <w:rsid w:val="009B4548"/>
    <w:rsid w:val="009B4699"/>
    <w:rsid w:val="009B4E55"/>
    <w:rsid w:val="009B5487"/>
    <w:rsid w:val="009B55EE"/>
    <w:rsid w:val="009B5882"/>
    <w:rsid w:val="009B6644"/>
    <w:rsid w:val="009B69BA"/>
    <w:rsid w:val="009C0631"/>
    <w:rsid w:val="009C1008"/>
    <w:rsid w:val="009C1AFF"/>
    <w:rsid w:val="009C218C"/>
    <w:rsid w:val="009C21E3"/>
    <w:rsid w:val="009C222F"/>
    <w:rsid w:val="009C25F1"/>
    <w:rsid w:val="009C2C60"/>
    <w:rsid w:val="009C3B12"/>
    <w:rsid w:val="009C3EC8"/>
    <w:rsid w:val="009C4186"/>
    <w:rsid w:val="009C47F5"/>
    <w:rsid w:val="009C59C1"/>
    <w:rsid w:val="009C6134"/>
    <w:rsid w:val="009C7301"/>
    <w:rsid w:val="009C749C"/>
    <w:rsid w:val="009C788F"/>
    <w:rsid w:val="009C7ACB"/>
    <w:rsid w:val="009C7EF2"/>
    <w:rsid w:val="009D135A"/>
    <w:rsid w:val="009D16E4"/>
    <w:rsid w:val="009D1A50"/>
    <w:rsid w:val="009D2F15"/>
    <w:rsid w:val="009D321C"/>
    <w:rsid w:val="009D32F7"/>
    <w:rsid w:val="009D3F25"/>
    <w:rsid w:val="009D4A53"/>
    <w:rsid w:val="009D4B3F"/>
    <w:rsid w:val="009D500B"/>
    <w:rsid w:val="009D5228"/>
    <w:rsid w:val="009D57AF"/>
    <w:rsid w:val="009D5899"/>
    <w:rsid w:val="009D5EFF"/>
    <w:rsid w:val="009D60D2"/>
    <w:rsid w:val="009D648F"/>
    <w:rsid w:val="009D719E"/>
    <w:rsid w:val="009D737C"/>
    <w:rsid w:val="009D7683"/>
    <w:rsid w:val="009D7811"/>
    <w:rsid w:val="009D7E70"/>
    <w:rsid w:val="009D7EC6"/>
    <w:rsid w:val="009E0313"/>
    <w:rsid w:val="009E1C84"/>
    <w:rsid w:val="009E1E04"/>
    <w:rsid w:val="009E1FF9"/>
    <w:rsid w:val="009E4179"/>
    <w:rsid w:val="009E4732"/>
    <w:rsid w:val="009E59F4"/>
    <w:rsid w:val="009E5C5E"/>
    <w:rsid w:val="009E5D79"/>
    <w:rsid w:val="009E7266"/>
    <w:rsid w:val="009E7D74"/>
    <w:rsid w:val="009F0190"/>
    <w:rsid w:val="009F047C"/>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7CD"/>
    <w:rsid w:val="00A01E51"/>
    <w:rsid w:val="00A04494"/>
    <w:rsid w:val="00A04EC8"/>
    <w:rsid w:val="00A0546E"/>
    <w:rsid w:val="00A0551C"/>
    <w:rsid w:val="00A05BB8"/>
    <w:rsid w:val="00A06295"/>
    <w:rsid w:val="00A06427"/>
    <w:rsid w:val="00A07156"/>
    <w:rsid w:val="00A076BA"/>
    <w:rsid w:val="00A121A7"/>
    <w:rsid w:val="00A12416"/>
    <w:rsid w:val="00A125BD"/>
    <w:rsid w:val="00A12C45"/>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DD2"/>
    <w:rsid w:val="00A16FBE"/>
    <w:rsid w:val="00A170A7"/>
    <w:rsid w:val="00A17BA4"/>
    <w:rsid w:val="00A207DC"/>
    <w:rsid w:val="00A20CEB"/>
    <w:rsid w:val="00A21118"/>
    <w:rsid w:val="00A22977"/>
    <w:rsid w:val="00A229E4"/>
    <w:rsid w:val="00A232E0"/>
    <w:rsid w:val="00A23A82"/>
    <w:rsid w:val="00A241F9"/>
    <w:rsid w:val="00A24437"/>
    <w:rsid w:val="00A252B6"/>
    <w:rsid w:val="00A25FFF"/>
    <w:rsid w:val="00A2607B"/>
    <w:rsid w:val="00A27980"/>
    <w:rsid w:val="00A27A38"/>
    <w:rsid w:val="00A27C3C"/>
    <w:rsid w:val="00A27D03"/>
    <w:rsid w:val="00A27DB4"/>
    <w:rsid w:val="00A303A5"/>
    <w:rsid w:val="00A30430"/>
    <w:rsid w:val="00A30E89"/>
    <w:rsid w:val="00A314A0"/>
    <w:rsid w:val="00A31ADE"/>
    <w:rsid w:val="00A31C7D"/>
    <w:rsid w:val="00A320DB"/>
    <w:rsid w:val="00A3249C"/>
    <w:rsid w:val="00A32A75"/>
    <w:rsid w:val="00A33C93"/>
    <w:rsid w:val="00A3410E"/>
    <w:rsid w:val="00A3522A"/>
    <w:rsid w:val="00A35ACD"/>
    <w:rsid w:val="00A35AFF"/>
    <w:rsid w:val="00A36A84"/>
    <w:rsid w:val="00A370B4"/>
    <w:rsid w:val="00A37836"/>
    <w:rsid w:val="00A406E6"/>
    <w:rsid w:val="00A41B17"/>
    <w:rsid w:val="00A421B2"/>
    <w:rsid w:val="00A4292D"/>
    <w:rsid w:val="00A42E17"/>
    <w:rsid w:val="00A4329A"/>
    <w:rsid w:val="00A4334A"/>
    <w:rsid w:val="00A43DB0"/>
    <w:rsid w:val="00A443E2"/>
    <w:rsid w:val="00A450A0"/>
    <w:rsid w:val="00A45961"/>
    <w:rsid w:val="00A45B2B"/>
    <w:rsid w:val="00A46B6F"/>
    <w:rsid w:val="00A47C6D"/>
    <w:rsid w:val="00A50E22"/>
    <w:rsid w:val="00A5145B"/>
    <w:rsid w:val="00A51586"/>
    <w:rsid w:val="00A52936"/>
    <w:rsid w:val="00A52EE9"/>
    <w:rsid w:val="00A53746"/>
    <w:rsid w:val="00A54141"/>
    <w:rsid w:val="00A541FD"/>
    <w:rsid w:val="00A54589"/>
    <w:rsid w:val="00A54811"/>
    <w:rsid w:val="00A54BD8"/>
    <w:rsid w:val="00A54CB9"/>
    <w:rsid w:val="00A551E5"/>
    <w:rsid w:val="00A55987"/>
    <w:rsid w:val="00A560B3"/>
    <w:rsid w:val="00A56340"/>
    <w:rsid w:val="00A565AC"/>
    <w:rsid w:val="00A57688"/>
    <w:rsid w:val="00A57A69"/>
    <w:rsid w:val="00A57F82"/>
    <w:rsid w:val="00A60351"/>
    <w:rsid w:val="00A607BD"/>
    <w:rsid w:val="00A608B7"/>
    <w:rsid w:val="00A60FE1"/>
    <w:rsid w:val="00A61836"/>
    <w:rsid w:val="00A61853"/>
    <w:rsid w:val="00A618C6"/>
    <w:rsid w:val="00A622E3"/>
    <w:rsid w:val="00A62436"/>
    <w:rsid w:val="00A62A4D"/>
    <w:rsid w:val="00A62CC5"/>
    <w:rsid w:val="00A6317B"/>
    <w:rsid w:val="00A63184"/>
    <w:rsid w:val="00A639B1"/>
    <w:rsid w:val="00A63A95"/>
    <w:rsid w:val="00A63DF1"/>
    <w:rsid w:val="00A6410C"/>
    <w:rsid w:val="00A6435A"/>
    <w:rsid w:val="00A647CD"/>
    <w:rsid w:val="00A6560B"/>
    <w:rsid w:val="00A65C42"/>
    <w:rsid w:val="00A65EF7"/>
    <w:rsid w:val="00A66396"/>
    <w:rsid w:val="00A671D1"/>
    <w:rsid w:val="00A67879"/>
    <w:rsid w:val="00A67EF5"/>
    <w:rsid w:val="00A7218B"/>
    <w:rsid w:val="00A7234D"/>
    <w:rsid w:val="00A72703"/>
    <w:rsid w:val="00A72852"/>
    <w:rsid w:val="00A72E28"/>
    <w:rsid w:val="00A732BA"/>
    <w:rsid w:val="00A74454"/>
    <w:rsid w:val="00A754DD"/>
    <w:rsid w:val="00A75510"/>
    <w:rsid w:val="00A75723"/>
    <w:rsid w:val="00A75E47"/>
    <w:rsid w:val="00A766AD"/>
    <w:rsid w:val="00A76961"/>
    <w:rsid w:val="00A76BFB"/>
    <w:rsid w:val="00A8122B"/>
    <w:rsid w:val="00A81726"/>
    <w:rsid w:val="00A81A20"/>
    <w:rsid w:val="00A81B8D"/>
    <w:rsid w:val="00A81EC8"/>
    <w:rsid w:val="00A82EDC"/>
    <w:rsid w:val="00A82F09"/>
    <w:rsid w:val="00A8326D"/>
    <w:rsid w:val="00A83DDC"/>
    <w:rsid w:val="00A83F37"/>
    <w:rsid w:val="00A84018"/>
    <w:rsid w:val="00A84AF3"/>
    <w:rsid w:val="00A84BED"/>
    <w:rsid w:val="00A8536F"/>
    <w:rsid w:val="00A85511"/>
    <w:rsid w:val="00A857C4"/>
    <w:rsid w:val="00A85CD9"/>
    <w:rsid w:val="00A85E27"/>
    <w:rsid w:val="00A86D6F"/>
    <w:rsid w:val="00A86E3E"/>
    <w:rsid w:val="00A87BAE"/>
    <w:rsid w:val="00A9015D"/>
    <w:rsid w:val="00A90976"/>
    <w:rsid w:val="00A90B03"/>
    <w:rsid w:val="00A913A1"/>
    <w:rsid w:val="00A91ACB"/>
    <w:rsid w:val="00A92584"/>
    <w:rsid w:val="00A925DB"/>
    <w:rsid w:val="00A93DC6"/>
    <w:rsid w:val="00A94354"/>
    <w:rsid w:val="00A94796"/>
    <w:rsid w:val="00A94CEF"/>
    <w:rsid w:val="00A9501F"/>
    <w:rsid w:val="00A951AC"/>
    <w:rsid w:val="00A951C2"/>
    <w:rsid w:val="00A95452"/>
    <w:rsid w:val="00A95EE0"/>
    <w:rsid w:val="00A96B79"/>
    <w:rsid w:val="00A96EF6"/>
    <w:rsid w:val="00A97CF6"/>
    <w:rsid w:val="00AA096E"/>
    <w:rsid w:val="00AA1293"/>
    <w:rsid w:val="00AA14C3"/>
    <w:rsid w:val="00AA188D"/>
    <w:rsid w:val="00AA3EDF"/>
    <w:rsid w:val="00AA4239"/>
    <w:rsid w:val="00AA4D46"/>
    <w:rsid w:val="00AA5361"/>
    <w:rsid w:val="00AA54AE"/>
    <w:rsid w:val="00AA6816"/>
    <w:rsid w:val="00AA69E5"/>
    <w:rsid w:val="00AA7322"/>
    <w:rsid w:val="00AA75CE"/>
    <w:rsid w:val="00AB023A"/>
    <w:rsid w:val="00AB0C43"/>
    <w:rsid w:val="00AB1098"/>
    <w:rsid w:val="00AB173C"/>
    <w:rsid w:val="00AB188D"/>
    <w:rsid w:val="00AB1B38"/>
    <w:rsid w:val="00AB217D"/>
    <w:rsid w:val="00AB2581"/>
    <w:rsid w:val="00AB2643"/>
    <w:rsid w:val="00AB27C6"/>
    <w:rsid w:val="00AB3031"/>
    <w:rsid w:val="00AB3379"/>
    <w:rsid w:val="00AB3F05"/>
    <w:rsid w:val="00AB4013"/>
    <w:rsid w:val="00AB462F"/>
    <w:rsid w:val="00AB4BB5"/>
    <w:rsid w:val="00AB4C0D"/>
    <w:rsid w:val="00AB557D"/>
    <w:rsid w:val="00AB6477"/>
    <w:rsid w:val="00AB6533"/>
    <w:rsid w:val="00AB689D"/>
    <w:rsid w:val="00AB6EB6"/>
    <w:rsid w:val="00AB7675"/>
    <w:rsid w:val="00AB7AA7"/>
    <w:rsid w:val="00AB7E48"/>
    <w:rsid w:val="00AC070D"/>
    <w:rsid w:val="00AC1A14"/>
    <w:rsid w:val="00AC2A94"/>
    <w:rsid w:val="00AC322C"/>
    <w:rsid w:val="00AC33E2"/>
    <w:rsid w:val="00AC3674"/>
    <w:rsid w:val="00AC4423"/>
    <w:rsid w:val="00AC4A20"/>
    <w:rsid w:val="00AC4FEA"/>
    <w:rsid w:val="00AC5213"/>
    <w:rsid w:val="00AC53F3"/>
    <w:rsid w:val="00AC56B3"/>
    <w:rsid w:val="00AC584E"/>
    <w:rsid w:val="00AC5B6E"/>
    <w:rsid w:val="00AC5E1A"/>
    <w:rsid w:val="00AC7B80"/>
    <w:rsid w:val="00AD0A32"/>
    <w:rsid w:val="00AD1442"/>
    <w:rsid w:val="00AD14AB"/>
    <w:rsid w:val="00AD1B73"/>
    <w:rsid w:val="00AD20ED"/>
    <w:rsid w:val="00AD20FA"/>
    <w:rsid w:val="00AD2CBD"/>
    <w:rsid w:val="00AD2DED"/>
    <w:rsid w:val="00AD2F04"/>
    <w:rsid w:val="00AD2FE7"/>
    <w:rsid w:val="00AD30DD"/>
    <w:rsid w:val="00AD39EF"/>
    <w:rsid w:val="00AD3BC2"/>
    <w:rsid w:val="00AD4264"/>
    <w:rsid w:val="00AD4434"/>
    <w:rsid w:val="00AD53AA"/>
    <w:rsid w:val="00AD72BC"/>
    <w:rsid w:val="00AD79BF"/>
    <w:rsid w:val="00AD7C84"/>
    <w:rsid w:val="00AE03CE"/>
    <w:rsid w:val="00AE07E1"/>
    <w:rsid w:val="00AE1170"/>
    <w:rsid w:val="00AE1D52"/>
    <w:rsid w:val="00AE2133"/>
    <w:rsid w:val="00AE2622"/>
    <w:rsid w:val="00AE43F4"/>
    <w:rsid w:val="00AE4550"/>
    <w:rsid w:val="00AE5099"/>
    <w:rsid w:val="00AE50D3"/>
    <w:rsid w:val="00AE597B"/>
    <w:rsid w:val="00AE5A64"/>
    <w:rsid w:val="00AE606A"/>
    <w:rsid w:val="00AE7312"/>
    <w:rsid w:val="00AF013B"/>
    <w:rsid w:val="00AF0A66"/>
    <w:rsid w:val="00AF0CF8"/>
    <w:rsid w:val="00AF218F"/>
    <w:rsid w:val="00AF262C"/>
    <w:rsid w:val="00AF381C"/>
    <w:rsid w:val="00AF415A"/>
    <w:rsid w:val="00AF4288"/>
    <w:rsid w:val="00AF44F2"/>
    <w:rsid w:val="00AF4950"/>
    <w:rsid w:val="00AF53AB"/>
    <w:rsid w:val="00AF53BA"/>
    <w:rsid w:val="00AF69B4"/>
    <w:rsid w:val="00AF717B"/>
    <w:rsid w:val="00B00415"/>
    <w:rsid w:val="00B00CD0"/>
    <w:rsid w:val="00B00D77"/>
    <w:rsid w:val="00B0117B"/>
    <w:rsid w:val="00B011BD"/>
    <w:rsid w:val="00B01283"/>
    <w:rsid w:val="00B0153C"/>
    <w:rsid w:val="00B02A46"/>
    <w:rsid w:val="00B035B9"/>
    <w:rsid w:val="00B03EBB"/>
    <w:rsid w:val="00B04DD4"/>
    <w:rsid w:val="00B0530B"/>
    <w:rsid w:val="00B05993"/>
    <w:rsid w:val="00B060CD"/>
    <w:rsid w:val="00B0686C"/>
    <w:rsid w:val="00B06E97"/>
    <w:rsid w:val="00B077F2"/>
    <w:rsid w:val="00B102AD"/>
    <w:rsid w:val="00B10681"/>
    <w:rsid w:val="00B10B50"/>
    <w:rsid w:val="00B116D4"/>
    <w:rsid w:val="00B1238A"/>
    <w:rsid w:val="00B134E7"/>
    <w:rsid w:val="00B13A79"/>
    <w:rsid w:val="00B14B59"/>
    <w:rsid w:val="00B14FC0"/>
    <w:rsid w:val="00B159F7"/>
    <w:rsid w:val="00B1649D"/>
    <w:rsid w:val="00B16524"/>
    <w:rsid w:val="00B165E7"/>
    <w:rsid w:val="00B16E86"/>
    <w:rsid w:val="00B17315"/>
    <w:rsid w:val="00B20364"/>
    <w:rsid w:val="00B20661"/>
    <w:rsid w:val="00B2130C"/>
    <w:rsid w:val="00B215D0"/>
    <w:rsid w:val="00B219ED"/>
    <w:rsid w:val="00B21EDE"/>
    <w:rsid w:val="00B226A9"/>
    <w:rsid w:val="00B2300D"/>
    <w:rsid w:val="00B230F6"/>
    <w:rsid w:val="00B23139"/>
    <w:rsid w:val="00B232D6"/>
    <w:rsid w:val="00B23368"/>
    <w:rsid w:val="00B23539"/>
    <w:rsid w:val="00B23551"/>
    <w:rsid w:val="00B24DC8"/>
    <w:rsid w:val="00B25335"/>
    <w:rsid w:val="00B2556A"/>
    <w:rsid w:val="00B25FA0"/>
    <w:rsid w:val="00B26391"/>
    <w:rsid w:val="00B26A06"/>
    <w:rsid w:val="00B27AD5"/>
    <w:rsid w:val="00B27F3D"/>
    <w:rsid w:val="00B30E74"/>
    <w:rsid w:val="00B3108F"/>
    <w:rsid w:val="00B3114E"/>
    <w:rsid w:val="00B3148D"/>
    <w:rsid w:val="00B31CC5"/>
    <w:rsid w:val="00B32AD4"/>
    <w:rsid w:val="00B3357B"/>
    <w:rsid w:val="00B33D79"/>
    <w:rsid w:val="00B33E3B"/>
    <w:rsid w:val="00B33F59"/>
    <w:rsid w:val="00B34483"/>
    <w:rsid w:val="00B34DAE"/>
    <w:rsid w:val="00B359E3"/>
    <w:rsid w:val="00B365CA"/>
    <w:rsid w:val="00B36CA1"/>
    <w:rsid w:val="00B379C8"/>
    <w:rsid w:val="00B40514"/>
    <w:rsid w:val="00B41014"/>
    <w:rsid w:val="00B41534"/>
    <w:rsid w:val="00B4154B"/>
    <w:rsid w:val="00B41784"/>
    <w:rsid w:val="00B42E68"/>
    <w:rsid w:val="00B43910"/>
    <w:rsid w:val="00B4420E"/>
    <w:rsid w:val="00B44DFC"/>
    <w:rsid w:val="00B45669"/>
    <w:rsid w:val="00B46554"/>
    <w:rsid w:val="00B466F0"/>
    <w:rsid w:val="00B467BB"/>
    <w:rsid w:val="00B47E3B"/>
    <w:rsid w:val="00B50892"/>
    <w:rsid w:val="00B511ED"/>
    <w:rsid w:val="00B51602"/>
    <w:rsid w:val="00B51F21"/>
    <w:rsid w:val="00B52540"/>
    <w:rsid w:val="00B53C34"/>
    <w:rsid w:val="00B53F0D"/>
    <w:rsid w:val="00B5455A"/>
    <w:rsid w:val="00B5657A"/>
    <w:rsid w:val="00B56B84"/>
    <w:rsid w:val="00B57961"/>
    <w:rsid w:val="00B57C56"/>
    <w:rsid w:val="00B60BE1"/>
    <w:rsid w:val="00B61614"/>
    <w:rsid w:val="00B61672"/>
    <w:rsid w:val="00B61B8F"/>
    <w:rsid w:val="00B61EEB"/>
    <w:rsid w:val="00B62488"/>
    <w:rsid w:val="00B628A4"/>
    <w:rsid w:val="00B62D2F"/>
    <w:rsid w:val="00B63293"/>
    <w:rsid w:val="00B64774"/>
    <w:rsid w:val="00B64B13"/>
    <w:rsid w:val="00B64D8D"/>
    <w:rsid w:val="00B64E06"/>
    <w:rsid w:val="00B65CB5"/>
    <w:rsid w:val="00B65D4A"/>
    <w:rsid w:val="00B668FC"/>
    <w:rsid w:val="00B66B65"/>
    <w:rsid w:val="00B70A11"/>
    <w:rsid w:val="00B70F06"/>
    <w:rsid w:val="00B70FEF"/>
    <w:rsid w:val="00B7145B"/>
    <w:rsid w:val="00B71881"/>
    <w:rsid w:val="00B718FB"/>
    <w:rsid w:val="00B721B5"/>
    <w:rsid w:val="00B728FD"/>
    <w:rsid w:val="00B72FA4"/>
    <w:rsid w:val="00B73290"/>
    <w:rsid w:val="00B7374F"/>
    <w:rsid w:val="00B74500"/>
    <w:rsid w:val="00B74AFB"/>
    <w:rsid w:val="00B7547E"/>
    <w:rsid w:val="00B754EA"/>
    <w:rsid w:val="00B75A04"/>
    <w:rsid w:val="00B7605A"/>
    <w:rsid w:val="00B768AD"/>
    <w:rsid w:val="00B76D77"/>
    <w:rsid w:val="00B7702D"/>
    <w:rsid w:val="00B774E3"/>
    <w:rsid w:val="00B7761D"/>
    <w:rsid w:val="00B77BCD"/>
    <w:rsid w:val="00B77E2A"/>
    <w:rsid w:val="00B8050E"/>
    <w:rsid w:val="00B80BF0"/>
    <w:rsid w:val="00B80E48"/>
    <w:rsid w:val="00B810CD"/>
    <w:rsid w:val="00B81196"/>
    <w:rsid w:val="00B81393"/>
    <w:rsid w:val="00B81607"/>
    <w:rsid w:val="00B81787"/>
    <w:rsid w:val="00B8280A"/>
    <w:rsid w:val="00B83638"/>
    <w:rsid w:val="00B839BC"/>
    <w:rsid w:val="00B84738"/>
    <w:rsid w:val="00B84B83"/>
    <w:rsid w:val="00B8517C"/>
    <w:rsid w:val="00B853F9"/>
    <w:rsid w:val="00B860D7"/>
    <w:rsid w:val="00B86158"/>
    <w:rsid w:val="00B868DC"/>
    <w:rsid w:val="00B92342"/>
    <w:rsid w:val="00B92412"/>
    <w:rsid w:val="00B92971"/>
    <w:rsid w:val="00B92D1A"/>
    <w:rsid w:val="00B93445"/>
    <w:rsid w:val="00B93720"/>
    <w:rsid w:val="00B938AB"/>
    <w:rsid w:val="00B939A1"/>
    <w:rsid w:val="00B93B87"/>
    <w:rsid w:val="00B9431E"/>
    <w:rsid w:val="00B9465D"/>
    <w:rsid w:val="00B9473D"/>
    <w:rsid w:val="00B94881"/>
    <w:rsid w:val="00B9517B"/>
    <w:rsid w:val="00B954D6"/>
    <w:rsid w:val="00B95517"/>
    <w:rsid w:val="00B95C12"/>
    <w:rsid w:val="00B961F1"/>
    <w:rsid w:val="00B96885"/>
    <w:rsid w:val="00B96C4E"/>
    <w:rsid w:val="00B973E7"/>
    <w:rsid w:val="00B979CC"/>
    <w:rsid w:val="00B97C50"/>
    <w:rsid w:val="00BA0AC7"/>
    <w:rsid w:val="00BA1434"/>
    <w:rsid w:val="00BA3212"/>
    <w:rsid w:val="00BA3B4B"/>
    <w:rsid w:val="00BA40BE"/>
    <w:rsid w:val="00BA467B"/>
    <w:rsid w:val="00BA4D41"/>
    <w:rsid w:val="00BA57F5"/>
    <w:rsid w:val="00BA58BB"/>
    <w:rsid w:val="00BA67FC"/>
    <w:rsid w:val="00BA6B8E"/>
    <w:rsid w:val="00BA6C85"/>
    <w:rsid w:val="00BA70FF"/>
    <w:rsid w:val="00BA711E"/>
    <w:rsid w:val="00BA7285"/>
    <w:rsid w:val="00BA7BE8"/>
    <w:rsid w:val="00BB08F7"/>
    <w:rsid w:val="00BB0BA7"/>
    <w:rsid w:val="00BB0CA1"/>
    <w:rsid w:val="00BB133D"/>
    <w:rsid w:val="00BB1924"/>
    <w:rsid w:val="00BB2616"/>
    <w:rsid w:val="00BB26EB"/>
    <w:rsid w:val="00BB2C15"/>
    <w:rsid w:val="00BB37AA"/>
    <w:rsid w:val="00BB3C8A"/>
    <w:rsid w:val="00BB4049"/>
    <w:rsid w:val="00BB5E0A"/>
    <w:rsid w:val="00BB7AF7"/>
    <w:rsid w:val="00BC00C1"/>
    <w:rsid w:val="00BC0230"/>
    <w:rsid w:val="00BC0688"/>
    <w:rsid w:val="00BC11B0"/>
    <w:rsid w:val="00BC1478"/>
    <w:rsid w:val="00BC1BFE"/>
    <w:rsid w:val="00BC1EF2"/>
    <w:rsid w:val="00BC2264"/>
    <w:rsid w:val="00BC2C3A"/>
    <w:rsid w:val="00BC358A"/>
    <w:rsid w:val="00BC3982"/>
    <w:rsid w:val="00BC3B6C"/>
    <w:rsid w:val="00BC3CE2"/>
    <w:rsid w:val="00BC3E3B"/>
    <w:rsid w:val="00BC52DE"/>
    <w:rsid w:val="00BC69C6"/>
    <w:rsid w:val="00BC7956"/>
    <w:rsid w:val="00BD0288"/>
    <w:rsid w:val="00BD02E6"/>
    <w:rsid w:val="00BD065D"/>
    <w:rsid w:val="00BD0CF8"/>
    <w:rsid w:val="00BD0DDA"/>
    <w:rsid w:val="00BD1469"/>
    <w:rsid w:val="00BD154F"/>
    <w:rsid w:val="00BD1AFC"/>
    <w:rsid w:val="00BD1E2C"/>
    <w:rsid w:val="00BD1FF6"/>
    <w:rsid w:val="00BD2256"/>
    <w:rsid w:val="00BD24B6"/>
    <w:rsid w:val="00BD3080"/>
    <w:rsid w:val="00BD3124"/>
    <w:rsid w:val="00BD316A"/>
    <w:rsid w:val="00BD33EC"/>
    <w:rsid w:val="00BD3A94"/>
    <w:rsid w:val="00BD49DE"/>
    <w:rsid w:val="00BD4CF5"/>
    <w:rsid w:val="00BD5C38"/>
    <w:rsid w:val="00BD661C"/>
    <w:rsid w:val="00BD6C08"/>
    <w:rsid w:val="00BD72A6"/>
    <w:rsid w:val="00BD762F"/>
    <w:rsid w:val="00BD7A8E"/>
    <w:rsid w:val="00BD7D70"/>
    <w:rsid w:val="00BE0529"/>
    <w:rsid w:val="00BE09C7"/>
    <w:rsid w:val="00BE12EF"/>
    <w:rsid w:val="00BE1AA5"/>
    <w:rsid w:val="00BE1BBB"/>
    <w:rsid w:val="00BE2ACB"/>
    <w:rsid w:val="00BE3013"/>
    <w:rsid w:val="00BE367D"/>
    <w:rsid w:val="00BE3CB6"/>
    <w:rsid w:val="00BE4035"/>
    <w:rsid w:val="00BE4239"/>
    <w:rsid w:val="00BE4A58"/>
    <w:rsid w:val="00BE4B70"/>
    <w:rsid w:val="00BE4C67"/>
    <w:rsid w:val="00BE5120"/>
    <w:rsid w:val="00BE5756"/>
    <w:rsid w:val="00BE576D"/>
    <w:rsid w:val="00BE59E5"/>
    <w:rsid w:val="00BE64BF"/>
    <w:rsid w:val="00BE654A"/>
    <w:rsid w:val="00BE6653"/>
    <w:rsid w:val="00BE6B77"/>
    <w:rsid w:val="00BE7457"/>
    <w:rsid w:val="00BE7783"/>
    <w:rsid w:val="00BE7B46"/>
    <w:rsid w:val="00BF02D4"/>
    <w:rsid w:val="00BF0724"/>
    <w:rsid w:val="00BF15B9"/>
    <w:rsid w:val="00BF1896"/>
    <w:rsid w:val="00BF324E"/>
    <w:rsid w:val="00BF329F"/>
    <w:rsid w:val="00BF3D79"/>
    <w:rsid w:val="00BF3DDC"/>
    <w:rsid w:val="00BF4038"/>
    <w:rsid w:val="00BF4674"/>
    <w:rsid w:val="00BF47B7"/>
    <w:rsid w:val="00BF5020"/>
    <w:rsid w:val="00BF55BA"/>
    <w:rsid w:val="00BF58F2"/>
    <w:rsid w:val="00BF590D"/>
    <w:rsid w:val="00BF63BD"/>
    <w:rsid w:val="00BF6637"/>
    <w:rsid w:val="00BF756C"/>
    <w:rsid w:val="00BF7870"/>
    <w:rsid w:val="00BF794A"/>
    <w:rsid w:val="00BF7E92"/>
    <w:rsid w:val="00C00D9E"/>
    <w:rsid w:val="00C017D4"/>
    <w:rsid w:val="00C023E0"/>
    <w:rsid w:val="00C024DF"/>
    <w:rsid w:val="00C028F9"/>
    <w:rsid w:val="00C02F52"/>
    <w:rsid w:val="00C0308D"/>
    <w:rsid w:val="00C035A7"/>
    <w:rsid w:val="00C0387C"/>
    <w:rsid w:val="00C04A2A"/>
    <w:rsid w:val="00C04FA3"/>
    <w:rsid w:val="00C051F1"/>
    <w:rsid w:val="00C05216"/>
    <w:rsid w:val="00C05754"/>
    <w:rsid w:val="00C0586E"/>
    <w:rsid w:val="00C05C1A"/>
    <w:rsid w:val="00C05F6F"/>
    <w:rsid w:val="00C06021"/>
    <w:rsid w:val="00C06091"/>
    <w:rsid w:val="00C06AFA"/>
    <w:rsid w:val="00C06BCC"/>
    <w:rsid w:val="00C077A9"/>
    <w:rsid w:val="00C10D34"/>
    <w:rsid w:val="00C11612"/>
    <w:rsid w:val="00C11B8C"/>
    <w:rsid w:val="00C12101"/>
    <w:rsid w:val="00C1230F"/>
    <w:rsid w:val="00C12EC3"/>
    <w:rsid w:val="00C13810"/>
    <w:rsid w:val="00C13934"/>
    <w:rsid w:val="00C13B21"/>
    <w:rsid w:val="00C14234"/>
    <w:rsid w:val="00C14C9F"/>
    <w:rsid w:val="00C155CC"/>
    <w:rsid w:val="00C15941"/>
    <w:rsid w:val="00C15A4A"/>
    <w:rsid w:val="00C160D1"/>
    <w:rsid w:val="00C168BD"/>
    <w:rsid w:val="00C16E20"/>
    <w:rsid w:val="00C16F02"/>
    <w:rsid w:val="00C170CD"/>
    <w:rsid w:val="00C2047B"/>
    <w:rsid w:val="00C20A4F"/>
    <w:rsid w:val="00C215BB"/>
    <w:rsid w:val="00C21801"/>
    <w:rsid w:val="00C2304D"/>
    <w:rsid w:val="00C236EB"/>
    <w:rsid w:val="00C23BE9"/>
    <w:rsid w:val="00C24016"/>
    <w:rsid w:val="00C24904"/>
    <w:rsid w:val="00C2541E"/>
    <w:rsid w:val="00C25F86"/>
    <w:rsid w:val="00C2649C"/>
    <w:rsid w:val="00C26623"/>
    <w:rsid w:val="00C26685"/>
    <w:rsid w:val="00C26D74"/>
    <w:rsid w:val="00C2701E"/>
    <w:rsid w:val="00C2748B"/>
    <w:rsid w:val="00C27850"/>
    <w:rsid w:val="00C30824"/>
    <w:rsid w:val="00C30AA8"/>
    <w:rsid w:val="00C30F87"/>
    <w:rsid w:val="00C31BF8"/>
    <w:rsid w:val="00C3273C"/>
    <w:rsid w:val="00C3307F"/>
    <w:rsid w:val="00C33F77"/>
    <w:rsid w:val="00C348FF"/>
    <w:rsid w:val="00C34CC3"/>
    <w:rsid w:val="00C34F30"/>
    <w:rsid w:val="00C363E7"/>
    <w:rsid w:val="00C3640A"/>
    <w:rsid w:val="00C36F96"/>
    <w:rsid w:val="00C37086"/>
    <w:rsid w:val="00C3796D"/>
    <w:rsid w:val="00C4057F"/>
    <w:rsid w:val="00C40753"/>
    <w:rsid w:val="00C40815"/>
    <w:rsid w:val="00C40B89"/>
    <w:rsid w:val="00C40B90"/>
    <w:rsid w:val="00C41BEB"/>
    <w:rsid w:val="00C427A2"/>
    <w:rsid w:val="00C42E64"/>
    <w:rsid w:val="00C43C61"/>
    <w:rsid w:val="00C441C2"/>
    <w:rsid w:val="00C4421D"/>
    <w:rsid w:val="00C47B24"/>
    <w:rsid w:val="00C50040"/>
    <w:rsid w:val="00C507A3"/>
    <w:rsid w:val="00C511FE"/>
    <w:rsid w:val="00C5183A"/>
    <w:rsid w:val="00C51B9C"/>
    <w:rsid w:val="00C51BEC"/>
    <w:rsid w:val="00C521AE"/>
    <w:rsid w:val="00C52B13"/>
    <w:rsid w:val="00C53591"/>
    <w:rsid w:val="00C547CC"/>
    <w:rsid w:val="00C54A87"/>
    <w:rsid w:val="00C55428"/>
    <w:rsid w:val="00C55DE1"/>
    <w:rsid w:val="00C56373"/>
    <w:rsid w:val="00C56A7A"/>
    <w:rsid w:val="00C56BC5"/>
    <w:rsid w:val="00C57185"/>
    <w:rsid w:val="00C572FF"/>
    <w:rsid w:val="00C57683"/>
    <w:rsid w:val="00C57991"/>
    <w:rsid w:val="00C60B64"/>
    <w:rsid w:val="00C60D23"/>
    <w:rsid w:val="00C615B8"/>
    <w:rsid w:val="00C61AFD"/>
    <w:rsid w:val="00C62D67"/>
    <w:rsid w:val="00C633BA"/>
    <w:rsid w:val="00C6356B"/>
    <w:rsid w:val="00C652E2"/>
    <w:rsid w:val="00C653FB"/>
    <w:rsid w:val="00C65CBF"/>
    <w:rsid w:val="00C66375"/>
    <w:rsid w:val="00C667D0"/>
    <w:rsid w:val="00C66AD7"/>
    <w:rsid w:val="00C66E3C"/>
    <w:rsid w:val="00C67EA5"/>
    <w:rsid w:val="00C70107"/>
    <w:rsid w:val="00C70E36"/>
    <w:rsid w:val="00C71279"/>
    <w:rsid w:val="00C71351"/>
    <w:rsid w:val="00C71A08"/>
    <w:rsid w:val="00C72625"/>
    <w:rsid w:val="00C7271D"/>
    <w:rsid w:val="00C72B6C"/>
    <w:rsid w:val="00C73FAB"/>
    <w:rsid w:val="00C747DA"/>
    <w:rsid w:val="00C74CF6"/>
    <w:rsid w:val="00C75A01"/>
    <w:rsid w:val="00C75BCA"/>
    <w:rsid w:val="00C75C66"/>
    <w:rsid w:val="00C75DB6"/>
    <w:rsid w:val="00C76E04"/>
    <w:rsid w:val="00C76FB0"/>
    <w:rsid w:val="00C81278"/>
    <w:rsid w:val="00C81A2C"/>
    <w:rsid w:val="00C82647"/>
    <w:rsid w:val="00C8285E"/>
    <w:rsid w:val="00C82F2D"/>
    <w:rsid w:val="00C83260"/>
    <w:rsid w:val="00C836F0"/>
    <w:rsid w:val="00C8398B"/>
    <w:rsid w:val="00C84318"/>
    <w:rsid w:val="00C856BE"/>
    <w:rsid w:val="00C85F2C"/>
    <w:rsid w:val="00C8734C"/>
    <w:rsid w:val="00C87388"/>
    <w:rsid w:val="00C87A9E"/>
    <w:rsid w:val="00C91633"/>
    <w:rsid w:val="00C9382C"/>
    <w:rsid w:val="00C94C71"/>
    <w:rsid w:val="00C94F15"/>
    <w:rsid w:val="00C954BD"/>
    <w:rsid w:val="00C95615"/>
    <w:rsid w:val="00C97517"/>
    <w:rsid w:val="00C97CC0"/>
    <w:rsid w:val="00C97D75"/>
    <w:rsid w:val="00CA0261"/>
    <w:rsid w:val="00CA04BA"/>
    <w:rsid w:val="00CA136D"/>
    <w:rsid w:val="00CA147B"/>
    <w:rsid w:val="00CA1DF5"/>
    <w:rsid w:val="00CA2400"/>
    <w:rsid w:val="00CA24A1"/>
    <w:rsid w:val="00CA2D7A"/>
    <w:rsid w:val="00CA41B5"/>
    <w:rsid w:val="00CA47F5"/>
    <w:rsid w:val="00CA4CA2"/>
    <w:rsid w:val="00CA5103"/>
    <w:rsid w:val="00CA5368"/>
    <w:rsid w:val="00CA6310"/>
    <w:rsid w:val="00CA6FE5"/>
    <w:rsid w:val="00CA7B88"/>
    <w:rsid w:val="00CB0113"/>
    <w:rsid w:val="00CB058C"/>
    <w:rsid w:val="00CB0BE4"/>
    <w:rsid w:val="00CB0DD0"/>
    <w:rsid w:val="00CB121D"/>
    <w:rsid w:val="00CB14A4"/>
    <w:rsid w:val="00CB2CCA"/>
    <w:rsid w:val="00CB30D0"/>
    <w:rsid w:val="00CB3502"/>
    <w:rsid w:val="00CB37A5"/>
    <w:rsid w:val="00CB3C01"/>
    <w:rsid w:val="00CB3EBC"/>
    <w:rsid w:val="00CB44B7"/>
    <w:rsid w:val="00CB493B"/>
    <w:rsid w:val="00CB4EC9"/>
    <w:rsid w:val="00CB5187"/>
    <w:rsid w:val="00CB5256"/>
    <w:rsid w:val="00CB570A"/>
    <w:rsid w:val="00CB679C"/>
    <w:rsid w:val="00CB6A84"/>
    <w:rsid w:val="00CB6A85"/>
    <w:rsid w:val="00CB7121"/>
    <w:rsid w:val="00CB7364"/>
    <w:rsid w:val="00CB768E"/>
    <w:rsid w:val="00CB7B4A"/>
    <w:rsid w:val="00CB7C4A"/>
    <w:rsid w:val="00CB7ECC"/>
    <w:rsid w:val="00CC0B1E"/>
    <w:rsid w:val="00CC0C76"/>
    <w:rsid w:val="00CC1475"/>
    <w:rsid w:val="00CC1DED"/>
    <w:rsid w:val="00CC319E"/>
    <w:rsid w:val="00CC340A"/>
    <w:rsid w:val="00CC36E9"/>
    <w:rsid w:val="00CC597B"/>
    <w:rsid w:val="00CC5AA0"/>
    <w:rsid w:val="00CC669A"/>
    <w:rsid w:val="00CC75B6"/>
    <w:rsid w:val="00CC779B"/>
    <w:rsid w:val="00CD0261"/>
    <w:rsid w:val="00CD28B2"/>
    <w:rsid w:val="00CD2DD0"/>
    <w:rsid w:val="00CD33EE"/>
    <w:rsid w:val="00CD3776"/>
    <w:rsid w:val="00CD4D65"/>
    <w:rsid w:val="00CD5120"/>
    <w:rsid w:val="00CD55B1"/>
    <w:rsid w:val="00CD5DA2"/>
    <w:rsid w:val="00CD648D"/>
    <w:rsid w:val="00CD6B80"/>
    <w:rsid w:val="00CD7616"/>
    <w:rsid w:val="00CD775A"/>
    <w:rsid w:val="00CE01B5"/>
    <w:rsid w:val="00CE021F"/>
    <w:rsid w:val="00CE0765"/>
    <w:rsid w:val="00CE0959"/>
    <w:rsid w:val="00CE0B98"/>
    <w:rsid w:val="00CE2312"/>
    <w:rsid w:val="00CE336E"/>
    <w:rsid w:val="00CE384F"/>
    <w:rsid w:val="00CE3CDF"/>
    <w:rsid w:val="00CE3D08"/>
    <w:rsid w:val="00CE3E07"/>
    <w:rsid w:val="00CE455E"/>
    <w:rsid w:val="00CE68A3"/>
    <w:rsid w:val="00CE79A8"/>
    <w:rsid w:val="00CE7BC1"/>
    <w:rsid w:val="00CE7E34"/>
    <w:rsid w:val="00CF0639"/>
    <w:rsid w:val="00CF0AE5"/>
    <w:rsid w:val="00CF12B7"/>
    <w:rsid w:val="00CF14A0"/>
    <w:rsid w:val="00CF19DF"/>
    <w:rsid w:val="00CF1ED5"/>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511"/>
    <w:rsid w:val="00D005B4"/>
    <w:rsid w:val="00D00784"/>
    <w:rsid w:val="00D00BC5"/>
    <w:rsid w:val="00D00D4D"/>
    <w:rsid w:val="00D00E6F"/>
    <w:rsid w:val="00D01549"/>
    <w:rsid w:val="00D019EA"/>
    <w:rsid w:val="00D01AD1"/>
    <w:rsid w:val="00D02277"/>
    <w:rsid w:val="00D022F4"/>
    <w:rsid w:val="00D02BB4"/>
    <w:rsid w:val="00D03128"/>
    <w:rsid w:val="00D033C8"/>
    <w:rsid w:val="00D03B43"/>
    <w:rsid w:val="00D03C14"/>
    <w:rsid w:val="00D046B2"/>
    <w:rsid w:val="00D04B2D"/>
    <w:rsid w:val="00D04C84"/>
    <w:rsid w:val="00D052B0"/>
    <w:rsid w:val="00D053AF"/>
    <w:rsid w:val="00D0545B"/>
    <w:rsid w:val="00D058FD"/>
    <w:rsid w:val="00D05F86"/>
    <w:rsid w:val="00D06433"/>
    <w:rsid w:val="00D070BE"/>
    <w:rsid w:val="00D07169"/>
    <w:rsid w:val="00D07583"/>
    <w:rsid w:val="00D0769F"/>
    <w:rsid w:val="00D07C40"/>
    <w:rsid w:val="00D102A5"/>
    <w:rsid w:val="00D109FA"/>
    <w:rsid w:val="00D10F4D"/>
    <w:rsid w:val="00D10F85"/>
    <w:rsid w:val="00D111EF"/>
    <w:rsid w:val="00D11712"/>
    <w:rsid w:val="00D11EC0"/>
    <w:rsid w:val="00D120D2"/>
    <w:rsid w:val="00D13294"/>
    <w:rsid w:val="00D13A91"/>
    <w:rsid w:val="00D13CB3"/>
    <w:rsid w:val="00D14D12"/>
    <w:rsid w:val="00D171C8"/>
    <w:rsid w:val="00D20137"/>
    <w:rsid w:val="00D208E6"/>
    <w:rsid w:val="00D2190E"/>
    <w:rsid w:val="00D21A55"/>
    <w:rsid w:val="00D22651"/>
    <w:rsid w:val="00D23AD0"/>
    <w:rsid w:val="00D23B0A"/>
    <w:rsid w:val="00D23E23"/>
    <w:rsid w:val="00D24239"/>
    <w:rsid w:val="00D24BAF"/>
    <w:rsid w:val="00D24C26"/>
    <w:rsid w:val="00D255C6"/>
    <w:rsid w:val="00D25F2F"/>
    <w:rsid w:val="00D2620A"/>
    <w:rsid w:val="00D27091"/>
    <w:rsid w:val="00D277EE"/>
    <w:rsid w:val="00D27D59"/>
    <w:rsid w:val="00D309DD"/>
    <w:rsid w:val="00D30C66"/>
    <w:rsid w:val="00D30ECB"/>
    <w:rsid w:val="00D31163"/>
    <w:rsid w:val="00D31D60"/>
    <w:rsid w:val="00D3238A"/>
    <w:rsid w:val="00D3239D"/>
    <w:rsid w:val="00D3330C"/>
    <w:rsid w:val="00D3330E"/>
    <w:rsid w:val="00D3349D"/>
    <w:rsid w:val="00D33682"/>
    <w:rsid w:val="00D34598"/>
    <w:rsid w:val="00D3511A"/>
    <w:rsid w:val="00D35572"/>
    <w:rsid w:val="00D35F28"/>
    <w:rsid w:val="00D36458"/>
    <w:rsid w:val="00D3672A"/>
    <w:rsid w:val="00D368A2"/>
    <w:rsid w:val="00D368FF"/>
    <w:rsid w:val="00D369D2"/>
    <w:rsid w:val="00D36D8E"/>
    <w:rsid w:val="00D374D1"/>
    <w:rsid w:val="00D37596"/>
    <w:rsid w:val="00D37899"/>
    <w:rsid w:val="00D37FCE"/>
    <w:rsid w:val="00D40238"/>
    <w:rsid w:val="00D40D79"/>
    <w:rsid w:val="00D4117C"/>
    <w:rsid w:val="00D41258"/>
    <w:rsid w:val="00D420F0"/>
    <w:rsid w:val="00D43430"/>
    <w:rsid w:val="00D439C3"/>
    <w:rsid w:val="00D449C6"/>
    <w:rsid w:val="00D44A3B"/>
    <w:rsid w:val="00D451A0"/>
    <w:rsid w:val="00D451C2"/>
    <w:rsid w:val="00D45385"/>
    <w:rsid w:val="00D45C34"/>
    <w:rsid w:val="00D4777F"/>
    <w:rsid w:val="00D478D3"/>
    <w:rsid w:val="00D5062B"/>
    <w:rsid w:val="00D50B46"/>
    <w:rsid w:val="00D51867"/>
    <w:rsid w:val="00D519DD"/>
    <w:rsid w:val="00D51AD4"/>
    <w:rsid w:val="00D53414"/>
    <w:rsid w:val="00D54B76"/>
    <w:rsid w:val="00D54E08"/>
    <w:rsid w:val="00D5508A"/>
    <w:rsid w:val="00D55828"/>
    <w:rsid w:val="00D55C1D"/>
    <w:rsid w:val="00D56305"/>
    <w:rsid w:val="00D566F1"/>
    <w:rsid w:val="00D57388"/>
    <w:rsid w:val="00D61A0D"/>
    <w:rsid w:val="00D63F0E"/>
    <w:rsid w:val="00D63F45"/>
    <w:rsid w:val="00D64048"/>
    <w:rsid w:val="00D645A6"/>
    <w:rsid w:val="00D64E9D"/>
    <w:rsid w:val="00D65A11"/>
    <w:rsid w:val="00D65B91"/>
    <w:rsid w:val="00D662C7"/>
    <w:rsid w:val="00D6688A"/>
    <w:rsid w:val="00D66CD5"/>
    <w:rsid w:val="00D67145"/>
    <w:rsid w:val="00D7057C"/>
    <w:rsid w:val="00D70FF2"/>
    <w:rsid w:val="00D7160F"/>
    <w:rsid w:val="00D7197E"/>
    <w:rsid w:val="00D726FD"/>
    <w:rsid w:val="00D72C26"/>
    <w:rsid w:val="00D73242"/>
    <w:rsid w:val="00D73288"/>
    <w:rsid w:val="00D73686"/>
    <w:rsid w:val="00D7371E"/>
    <w:rsid w:val="00D741DB"/>
    <w:rsid w:val="00D742A0"/>
    <w:rsid w:val="00D74E88"/>
    <w:rsid w:val="00D75216"/>
    <w:rsid w:val="00D756A7"/>
    <w:rsid w:val="00D75D33"/>
    <w:rsid w:val="00D75E56"/>
    <w:rsid w:val="00D76167"/>
    <w:rsid w:val="00D763AE"/>
    <w:rsid w:val="00D76CD8"/>
    <w:rsid w:val="00D76F2E"/>
    <w:rsid w:val="00D77919"/>
    <w:rsid w:val="00D779D4"/>
    <w:rsid w:val="00D8158C"/>
    <w:rsid w:val="00D8359E"/>
    <w:rsid w:val="00D85096"/>
    <w:rsid w:val="00D857FE"/>
    <w:rsid w:val="00D86F69"/>
    <w:rsid w:val="00D86F82"/>
    <w:rsid w:val="00D86FDB"/>
    <w:rsid w:val="00D87458"/>
    <w:rsid w:val="00D87AC4"/>
    <w:rsid w:val="00D901F7"/>
    <w:rsid w:val="00D90311"/>
    <w:rsid w:val="00D907F2"/>
    <w:rsid w:val="00D913F3"/>
    <w:rsid w:val="00D915FF"/>
    <w:rsid w:val="00D91CC6"/>
    <w:rsid w:val="00D92BBF"/>
    <w:rsid w:val="00D933F6"/>
    <w:rsid w:val="00D93F68"/>
    <w:rsid w:val="00D94010"/>
    <w:rsid w:val="00D948C4"/>
    <w:rsid w:val="00D94E85"/>
    <w:rsid w:val="00D962CF"/>
    <w:rsid w:val="00D9652E"/>
    <w:rsid w:val="00D96531"/>
    <w:rsid w:val="00D96E0B"/>
    <w:rsid w:val="00D97CEB"/>
    <w:rsid w:val="00DA0A11"/>
    <w:rsid w:val="00DA0F56"/>
    <w:rsid w:val="00DA26B3"/>
    <w:rsid w:val="00DA2FCF"/>
    <w:rsid w:val="00DA3113"/>
    <w:rsid w:val="00DA3199"/>
    <w:rsid w:val="00DA38EC"/>
    <w:rsid w:val="00DA3AAC"/>
    <w:rsid w:val="00DA3F40"/>
    <w:rsid w:val="00DA435A"/>
    <w:rsid w:val="00DA43EB"/>
    <w:rsid w:val="00DA465F"/>
    <w:rsid w:val="00DA4823"/>
    <w:rsid w:val="00DA4E2E"/>
    <w:rsid w:val="00DA518C"/>
    <w:rsid w:val="00DA5B16"/>
    <w:rsid w:val="00DA654C"/>
    <w:rsid w:val="00DA77DE"/>
    <w:rsid w:val="00DA7C18"/>
    <w:rsid w:val="00DB0A0F"/>
    <w:rsid w:val="00DB2AEF"/>
    <w:rsid w:val="00DB2B51"/>
    <w:rsid w:val="00DB341C"/>
    <w:rsid w:val="00DB4525"/>
    <w:rsid w:val="00DB47A5"/>
    <w:rsid w:val="00DB4D17"/>
    <w:rsid w:val="00DB55E1"/>
    <w:rsid w:val="00DB5EDA"/>
    <w:rsid w:val="00DB7CED"/>
    <w:rsid w:val="00DC09FC"/>
    <w:rsid w:val="00DC102C"/>
    <w:rsid w:val="00DC15B7"/>
    <w:rsid w:val="00DC1EC8"/>
    <w:rsid w:val="00DC2E18"/>
    <w:rsid w:val="00DC2FA0"/>
    <w:rsid w:val="00DC30FE"/>
    <w:rsid w:val="00DC3512"/>
    <w:rsid w:val="00DC385E"/>
    <w:rsid w:val="00DC3EC8"/>
    <w:rsid w:val="00DC4068"/>
    <w:rsid w:val="00DC4145"/>
    <w:rsid w:val="00DC493B"/>
    <w:rsid w:val="00DC759F"/>
    <w:rsid w:val="00DD0B51"/>
    <w:rsid w:val="00DD0BE6"/>
    <w:rsid w:val="00DD1707"/>
    <w:rsid w:val="00DD1C59"/>
    <w:rsid w:val="00DD23B0"/>
    <w:rsid w:val="00DD2FD9"/>
    <w:rsid w:val="00DD3272"/>
    <w:rsid w:val="00DD3467"/>
    <w:rsid w:val="00DD45B5"/>
    <w:rsid w:val="00DD474F"/>
    <w:rsid w:val="00DD4A1A"/>
    <w:rsid w:val="00DD52FC"/>
    <w:rsid w:val="00DD5516"/>
    <w:rsid w:val="00DD5C14"/>
    <w:rsid w:val="00DD5C3A"/>
    <w:rsid w:val="00DD64C8"/>
    <w:rsid w:val="00DD674D"/>
    <w:rsid w:val="00DD701C"/>
    <w:rsid w:val="00DD7DA4"/>
    <w:rsid w:val="00DE017D"/>
    <w:rsid w:val="00DE0CC3"/>
    <w:rsid w:val="00DE0F83"/>
    <w:rsid w:val="00DE2C73"/>
    <w:rsid w:val="00DE3136"/>
    <w:rsid w:val="00DE39F4"/>
    <w:rsid w:val="00DE39F8"/>
    <w:rsid w:val="00DE3A27"/>
    <w:rsid w:val="00DE3A6B"/>
    <w:rsid w:val="00DE3C7D"/>
    <w:rsid w:val="00DE4965"/>
    <w:rsid w:val="00DE4EA8"/>
    <w:rsid w:val="00DE50FD"/>
    <w:rsid w:val="00DE5854"/>
    <w:rsid w:val="00DE587D"/>
    <w:rsid w:val="00DE6805"/>
    <w:rsid w:val="00DE7807"/>
    <w:rsid w:val="00DE7C25"/>
    <w:rsid w:val="00DF0D0A"/>
    <w:rsid w:val="00DF1211"/>
    <w:rsid w:val="00DF1385"/>
    <w:rsid w:val="00DF1FB9"/>
    <w:rsid w:val="00DF2469"/>
    <w:rsid w:val="00DF2EB3"/>
    <w:rsid w:val="00DF316E"/>
    <w:rsid w:val="00DF3626"/>
    <w:rsid w:val="00DF3FC2"/>
    <w:rsid w:val="00DF58E5"/>
    <w:rsid w:val="00DF7634"/>
    <w:rsid w:val="00DF79E1"/>
    <w:rsid w:val="00E000D0"/>
    <w:rsid w:val="00E00F2E"/>
    <w:rsid w:val="00E01525"/>
    <w:rsid w:val="00E0160E"/>
    <w:rsid w:val="00E0186E"/>
    <w:rsid w:val="00E01D83"/>
    <w:rsid w:val="00E01FE1"/>
    <w:rsid w:val="00E024B2"/>
    <w:rsid w:val="00E025CC"/>
    <w:rsid w:val="00E02FCC"/>
    <w:rsid w:val="00E03063"/>
    <w:rsid w:val="00E036B3"/>
    <w:rsid w:val="00E03797"/>
    <w:rsid w:val="00E057EA"/>
    <w:rsid w:val="00E05BBB"/>
    <w:rsid w:val="00E06FAA"/>
    <w:rsid w:val="00E07AA2"/>
    <w:rsid w:val="00E1015B"/>
    <w:rsid w:val="00E106AE"/>
    <w:rsid w:val="00E10723"/>
    <w:rsid w:val="00E10E5A"/>
    <w:rsid w:val="00E11A5C"/>
    <w:rsid w:val="00E1223A"/>
    <w:rsid w:val="00E122A9"/>
    <w:rsid w:val="00E12ABE"/>
    <w:rsid w:val="00E1415F"/>
    <w:rsid w:val="00E15683"/>
    <w:rsid w:val="00E1603D"/>
    <w:rsid w:val="00E171AC"/>
    <w:rsid w:val="00E1784D"/>
    <w:rsid w:val="00E20A95"/>
    <w:rsid w:val="00E20E02"/>
    <w:rsid w:val="00E21BD1"/>
    <w:rsid w:val="00E2282E"/>
    <w:rsid w:val="00E2294D"/>
    <w:rsid w:val="00E2297A"/>
    <w:rsid w:val="00E229C1"/>
    <w:rsid w:val="00E22C09"/>
    <w:rsid w:val="00E2339C"/>
    <w:rsid w:val="00E238C8"/>
    <w:rsid w:val="00E239E9"/>
    <w:rsid w:val="00E23FAE"/>
    <w:rsid w:val="00E25C75"/>
    <w:rsid w:val="00E26416"/>
    <w:rsid w:val="00E2796A"/>
    <w:rsid w:val="00E30003"/>
    <w:rsid w:val="00E30CDC"/>
    <w:rsid w:val="00E31053"/>
    <w:rsid w:val="00E313CE"/>
    <w:rsid w:val="00E31F09"/>
    <w:rsid w:val="00E320DB"/>
    <w:rsid w:val="00E32733"/>
    <w:rsid w:val="00E32DB0"/>
    <w:rsid w:val="00E331D5"/>
    <w:rsid w:val="00E33AB2"/>
    <w:rsid w:val="00E33E69"/>
    <w:rsid w:val="00E3493A"/>
    <w:rsid w:val="00E3497F"/>
    <w:rsid w:val="00E34E6A"/>
    <w:rsid w:val="00E34F1E"/>
    <w:rsid w:val="00E35F0A"/>
    <w:rsid w:val="00E36245"/>
    <w:rsid w:val="00E363CF"/>
    <w:rsid w:val="00E36D49"/>
    <w:rsid w:val="00E36E14"/>
    <w:rsid w:val="00E408E9"/>
    <w:rsid w:val="00E418F1"/>
    <w:rsid w:val="00E41C29"/>
    <w:rsid w:val="00E4238A"/>
    <w:rsid w:val="00E423EE"/>
    <w:rsid w:val="00E4324D"/>
    <w:rsid w:val="00E43812"/>
    <w:rsid w:val="00E4443F"/>
    <w:rsid w:val="00E44935"/>
    <w:rsid w:val="00E4579A"/>
    <w:rsid w:val="00E46771"/>
    <w:rsid w:val="00E46E0B"/>
    <w:rsid w:val="00E471ED"/>
    <w:rsid w:val="00E478DA"/>
    <w:rsid w:val="00E479FF"/>
    <w:rsid w:val="00E5076A"/>
    <w:rsid w:val="00E50934"/>
    <w:rsid w:val="00E50E1F"/>
    <w:rsid w:val="00E52538"/>
    <w:rsid w:val="00E528AD"/>
    <w:rsid w:val="00E52A22"/>
    <w:rsid w:val="00E53041"/>
    <w:rsid w:val="00E535C2"/>
    <w:rsid w:val="00E53728"/>
    <w:rsid w:val="00E53914"/>
    <w:rsid w:val="00E540D5"/>
    <w:rsid w:val="00E54A4F"/>
    <w:rsid w:val="00E564BC"/>
    <w:rsid w:val="00E5696B"/>
    <w:rsid w:val="00E60221"/>
    <w:rsid w:val="00E6098E"/>
    <w:rsid w:val="00E60A5A"/>
    <w:rsid w:val="00E61389"/>
    <w:rsid w:val="00E61780"/>
    <w:rsid w:val="00E6301A"/>
    <w:rsid w:val="00E649E1"/>
    <w:rsid w:val="00E65663"/>
    <w:rsid w:val="00E661DB"/>
    <w:rsid w:val="00E66781"/>
    <w:rsid w:val="00E66C88"/>
    <w:rsid w:val="00E67BA3"/>
    <w:rsid w:val="00E67D73"/>
    <w:rsid w:val="00E67D7A"/>
    <w:rsid w:val="00E71086"/>
    <w:rsid w:val="00E71B32"/>
    <w:rsid w:val="00E72079"/>
    <w:rsid w:val="00E72E8F"/>
    <w:rsid w:val="00E72F98"/>
    <w:rsid w:val="00E736AA"/>
    <w:rsid w:val="00E7391F"/>
    <w:rsid w:val="00E745BB"/>
    <w:rsid w:val="00E748D7"/>
    <w:rsid w:val="00E75BEC"/>
    <w:rsid w:val="00E7632F"/>
    <w:rsid w:val="00E767E3"/>
    <w:rsid w:val="00E777A5"/>
    <w:rsid w:val="00E77BF3"/>
    <w:rsid w:val="00E77E32"/>
    <w:rsid w:val="00E800B4"/>
    <w:rsid w:val="00E809C8"/>
    <w:rsid w:val="00E80EE9"/>
    <w:rsid w:val="00E8173D"/>
    <w:rsid w:val="00E81907"/>
    <w:rsid w:val="00E81B11"/>
    <w:rsid w:val="00E825D5"/>
    <w:rsid w:val="00E82FC8"/>
    <w:rsid w:val="00E8339E"/>
    <w:rsid w:val="00E834BF"/>
    <w:rsid w:val="00E83987"/>
    <w:rsid w:val="00E84CC4"/>
    <w:rsid w:val="00E87BD5"/>
    <w:rsid w:val="00E87C5D"/>
    <w:rsid w:val="00E90B12"/>
    <w:rsid w:val="00E91E57"/>
    <w:rsid w:val="00E921EF"/>
    <w:rsid w:val="00E92BF5"/>
    <w:rsid w:val="00E95897"/>
    <w:rsid w:val="00E95C12"/>
    <w:rsid w:val="00E95DDA"/>
    <w:rsid w:val="00E972A2"/>
    <w:rsid w:val="00EA021F"/>
    <w:rsid w:val="00EA0243"/>
    <w:rsid w:val="00EA03AA"/>
    <w:rsid w:val="00EA0837"/>
    <w:rsid w:val="00EA12EA"/>
    <w:rsid w:val="00EA141E"/>
    <w:rsid w:val="00EA1B41"/>
    <w:rsid w:val="00EA1DF6"/>
    <w:rsid w:val="00EA2134"/>
    <w:rsid w:val="00EA23AC"/>
    <w:rsid w:val="00EA288F"/>
    <w:rsid w:val="00EA2B29"/>
    <w:rsid w:val="00EA2BF9"/>
    <w:rsid w:val="00EA2C90"/>
    <w:rsid w:val="00EA35FC"/>
    <w:rsid w:val="00EA3942"/>
    <w:rsid w:val="00EA3F5C"/>
    <w:rsid w:val="00EA5A78"/>
    <w:rsid w:val="00EA5DE5"/>
    <w:rsid w:val="00EA71D3"/>
    <w:rsid w:val="00EA7791"/>
    <w:rsid w:val="00EB051D"/>
    <w:rsid w:val="00EB1072"/>
    <w:rsid w:val="00EB1A14"/>
    <w:rsid w:val="00EB1A97"/>
    <w:rsid w:val="00EB1DDC"/>
    <w:rsid w:val="00EB2196"/>
    <w:rsid w:val="00EB2610"/>
    <w:rsid w:val="00EB2A87"/>
    <w:rsid w:val="00EB2C1A"/>
    <w:rsid w:val="00EB2D92"/>
    <w:rsid w:val="00EB3229"/>
    <w:rsid w:val="00EB341F"/>
    <w:rsid w:val="00EB43C4"/>
    <w:rsid w:val="00EB5C2A"/>
    <w:rsid w:val="00EB686E"/>
    <w:rsid w:val="00EB6974"/>
    <w:rsid w:val="00EB6D6E"/>
    <w:rsid w:val="00EB7570"/>
    <w:rsid w:val="00EB76BD"/>
    <w:rsid w:val="00EC05A9"/>
    <w:rsid w:val="00EC07EF"/>
    <w:rsid w:val="00EC2103"/>
    <w:rsid w:val="00EC27C8"/>
    <w:rsid w:val="00EC2BE5"/>
    <w:rsid w:val="00EC2CCA"/>
    <w:rsid w:val="00EC2E57"/>
    <w:rsid w:val="00EC2E71"/>
    <w:rsid w:val="00EC4BC3"/>
    <w:rsid w:val="00EC4D53"/>
    <w:rsid w:val="00EC5347"/>
    <w:rsid w:val="00EC5FAC"/>
    <w:rsid w:val="00EC6B91"/>
    <w:rsid w:val="00EC7652"/>
    <w:rsid w:val="00EC766D"/>
    <w:rsid w:val="00EC7835"/>
    <w:rsid w:val="00ED05EB"/>
    <w:rsid w:val="00ED0D53"/>
    <w:rsid w:val="00ED0ED2"/>
    <w:rsid w:val="00ED25BD"/>
    <w:rsid w:val="00ED3605"/>
    <w:rsid w:val="00ED3CE8"/>
    <w:rsid w:val="00ED47E4"/>
    <w:rsid w:val="00ED4B01"/>
    <w:rsid w:val="00ED5511"/>
    <w:rsid w:val="00ED58AD"/>
    <w:rsid w:val="00ED5E13"/>
    <w:rsid w:val="00ED6524"/>
    <w:rsid w:val="00ED659F"/>
    <w:rsid w:val="00ED6A91"/>
    <w:rsid w:val="00ED6C71"/>
    <w:rsid w:val="00ED71AE"/>
    <w:rsid w:val="00ED73A4"/>
    <w:rsid w:val="00ED7D8F"/>
    <w:rsid w:val="00EE1A53"/>
    <w:rsid w:val="00EE1BEE"/>
    <w:rsid w:val="00EE22A7"/>
    <w:rsid w:val="00EE3627"/>
    <w:rsid w:val="00EE4D2B"/>
    <w:rsid w:val="00EE559E"/>
    <w:rsid w:val="00EE5D97"/>
    <w:rsid w:val="00EE5DE3"/>
    <w:rsid w:val="00EE6288"/>
    <w:rsid w:val="00EE66AD"/>
    <w:rsid w:val="00EE66D4"/>
    <w:rsid w:val="00EE6B64"/>
    <w:rsid w:val="00EE6C36"/>
    <w:rsid w:val="00EE6F5D"/>
    <w:rsid w:val="00EE725D"/>
    <w:rsid w:val="00EF00D3"/>
    <w:rsid w:val="00EF0280"/>
    <w:rsid w:val="00EF12CC"/>
    <w:rsid w:val="00EF1613"/>
    <w:rsid w:val="00EF2355"/>
    <w:rsid w:val="00EF3011"/>
    <w:rsid w:val="00EF3786"/>
    <w:rsid w:val="00EF3793"/>
    <w:rsid w:val="00EF3BE1"/>
    <w:rsid w:val="00EF41A1"/>
    <w:rsid w:val="00EF4351"/>
    <w:rsid w:val="00EF4927"/>
    <w:rsid w:val="00EF4B23"/>
    <w:rsid w:val="00EF5363"/>
    <w:rsid w:val="00EF5387"/>
    <w:rsid w:val="00EF59F2"/>
    <w:rsid w:val="00EF622F"/>
    <w:rsid w:val="00EF6E4E"/>
    <w:rsid w:val="00EF713B"/>
    <w:rsid w:val="00EF780A"/>
    <w:rsid w:val="00EF7B3E"/>
    <w:rsid w:val="00F0026E"/>
    <w:rsid w:val="00F0069B"/>
    <w:rsid w:val="00F01D44"/>
    <w:rsid w:val="00F01F24"/>
    <w:rsid w:val="00F02BF0"/>
    <w:rsid w:val="00F03C49"/>
    <w:rsid w:val="00F03F33"/>
    <w:rsid w:val="00F0432C"/>
    <w:rsid w:val="00F04516"/>
    <w:rsid w:val="00F062F5"/>
    <w:rsid w:val="00F07A6D"/>
    <w:rsid w:val="00F1097C"/>
    <w:rsid w:val="00F121F0"/>
    <w:rsid w:val="00F123F4"/>
    <w:rsid w:val="00F12F63"/>
    <w:rsid w:val="00F1310D"/>
    <w:rsid w:val="00F13971"/>
    <w:rsid w:val="00F14133"/>
    <w:rsid w:val="00F144D6"/>
    <w:rsid w:val="00F14C5F"/>
    <w:rsid w:val="00F14FC4"/>
    <w:rsid w:val="00F1511E"/>
    <w:rsid w:val="00F15860"/>
    <w:rsid w:val="00F15A42"/>
    <w:rsid w:val="00F15DA5"/>
    <w:rsid w:val="00F16108"/>
    <w:rsid w:val="00F16136"/>
    <w:rsid w:val="00F16D91"/>
    <w:rsid w:val="00F1705F"/>
    <w:rsid w:val="00F173F4"/>
    <w:rsid w:val="00F201FD"/>
    <w:rsid w:val="00F2085A"/>
    <w:rsid w:val="00F2166C"/>
    <w:rsid w:val="00F2199B"/>
    <w:rsid w:val="00F2227C"/>
    <w:rsid w:val="00F23548"/>
    <w:rsid w:val="00F2359A"/>
    <w:rsid w:val="00F2404C"/>
    <w:rsid w:val="00F2429E"/>
    <w:rsid w:val="00F25371"/>
    <w:rsid w:val="00F25545"/>
    <w:rsid w:val="00F26340"/>
    <w:rsid w:val="00F265B9"/>
    <w:rsid w:val="00F266AA"/>
    <w:rsid w:val="00F2685A"/>
    <w:rsid w:val="00F2701E"/>
    <w:rsid w:val="00F27557"/>
    <w:rsid w:val="00F27661"/>
    <w:rsid w:val="00F27FFD"/>
    <w:rsid w:val="00F3079C"/>
    <w:rsid w:val="00F3223F"/>
    <w:rsid w:val="00F3267F"/>
    <w:rsid w:val="00F33779"/>
    <w:rsid w:val="00F33B9C"/>
    <w:rsid w:val="00F340F6"/>
    <w:rsid w:val="00F34129"/>
    <w:rsid w:val="00F3424C"/>
    <w:rsid w:val="00F354AA"/>
    <w:rsid w:val="00F3604D"/>
    <w:rsid w:val="00F3659C"/>
    <w:rsid w:val="00F37037"/>
    <w:rsid w:val="00F373AE"/>
    <w:rsid w:val="00F3771F"/>
    <w:rsid w:val="00F37869"/>
    <w:rsid w:val="00F37A08"/>
    <w:rsid w:val="00F37BB9"/>
    <w:rsid w:val="00F406EC"/>
    <w:rsid w:val="00F40B80"/>
    <w:rsid w:val="00F41B49"/>
    <w:rsid w:val="00F423F0"/>
    <w:rsid w:val="00F42726"/>
    <w:rsid w:val="00F42C78"/>
    <w:rsid w:val="00F43C32"/>
    <w:rsid w:val="00F44601"/>
    <w:rsid w:val="00F453B6"/>
    <w:rsid w:val="00F4568C"/>
    <w:rsid w:val="00F45854"/>
    <w:rsid w:val="00F45D0C"/>
    <w:rsid w:val="00F468F2"/>
    <w:rsid w:val="00F4697F"/>
    <w:rsid w:val="00F46B56"/>
    <w:rsid w:val="00F46D54"/>
    <w:rsid w:val="00F50DC4"/>
    <w:rsid w:val="00F52363"/>
    <w:rsid w:val="00F524C0"/>
    <w:rsid w:val="00F52A72"/>
    <w:rsid w:val="00F53548"/>
    <w:rsid w:val="00F548BE"/>
    <w:rsid w:val="00F5528F"/>
    <w:rsid w:val="00F567D9"/>
    <w:rsid w:val="00F568B3"/>
    <w:rsid w:val="00F568CD"/>
    <w:rsid w:val="00F569C2"/>
    <w:rsid w:val="00F56AE4"/>
    <w:rsid w:val="00F57527"/>
    <w:rsid w:val="00F57C62"/>
    <w:rsid w:val="00F57FC5"/>
    <w:rsid w:val="00F6000C"/>
    <w:rsid w:val="00F61269"/>
    <w:rsid w:val="00F61EFA"/>
    <w:rsid w:val="00F62DFC"/>
    <w:rsid w:val="00F62F58"/>
    <w:rsid w:val="00F6362F"/>
    <w:rsid w:val="00F6381A"/>
    <w:rsid w:val="00F64983"/>
    <w:rsid w:val="00F65403"/>
    <w:rsid w:val="00F658BB"/>
    <w:rsid w:val="00F6598F"/>
    <w:rsid w:val="00F65FF3"/>
    <w:rsid w:val="00F66292"/>
    <w:rsid w:val="00F6694F"/>
    <w:rsid w:val="00F67026"/>
    <w:rsid w:val="00F70012"/>
    <w:rsid w:val="00F702ED"/>
    <w:rsid w:val="00F7048F"/>
    <w:rsid w:val="00F70A5D"/>
    <w:rsid w:val="00F70D04"/>
    <w:rsid w:val="00F71756"/>
    <w:rsid w:val="00F717ED"/>
    <w:rsid w:val="00F722AD"/>
    <w:rsid w:val="00F72E37"/>
    <w:rsid w:val="00F72ED6"/>
    <w:rsid w:val="00F72EDE"/>
    <w:rsid w:val="00F73F4D"/>
    <w:rsid w:val="00F748DB"/>
    <w:rsid w:val="00F7494B"/>
    <w:rsid w:val="00F74B62"/>
    <w:rsid w:val="00F74E67"/>
    <w:rsid w:val="00F75BD6"/>
    <w:rsid w:val="00F76257"/>
    <w:rsid w:val="00F765FF"/>
    <w:rsid w:val="00F76B38"/>
    <w:rsid w:val="00F76DA5"/>
    <w:rsid w:val="00F76F1C"/>
    <w:rsid w:val="00F76FC2"/>
    <w:rsid w:val="00F770EF"/>
    <w:rsid w:val="00F775E1"/>
    <w:rsid w:val="00F77672"/>
    <w:rsid w:val="00F7791F"/>
    <w:rsid w:val="00F77BDA"/>
    <w:rsid w:val="00F77EC2"/>
    <w:rsid w:val="00F808A8"/>
    <w:rsid w:val="00F80E09"/>
    <w:rsid w:val="00F812FC"/>
    <w:rsid w:val="00F81687"/>
    <w:rsid w:val="00F81CE3"/>
    <w:rsid w:val="00F81D23"/>
    <w:rsid w:val="00F82060"/>
    <w:rsid w:val="00F820BF"/>
    <w:rsid w:val="00F82B2A"/>
    <w:rsid w:val="00F83B27"/>
    <w:rsid w:val="00F83E60"/>
    <w:rsid w:val="00F83FD9"/>
    <w:rsid w:val="00F84289"/>
    <w:rsid w:val="00F84293"/>
    <w:rsid w:val="00F857D6"/>
    <w:rsid w:val="00F87193"/>
    <w:rsid w:val="00F8722D"/>
    <w:rsid w:val="00F8768E"/>
    <w:rsid w:val="00F87F99"/>
    <w:rsid w:val="00F87FCA"/>
    <w:rsid w:val="00F902E6"/>
    <w:rsid w:val="00F9196A"/>
    <w:rsid w:val="00F92621"/>
    <w:rsid w:val="00F92790"/>
    <w:rsid w:val="00F92920"/>
    <w:rsid w:val="00F92ACA"/>
    <w:rsid w:val="00F92E7C"/>
    <w:rsid w:val="00F92EAB"/>
    <w:rsid w:val="00F93083"/>
    <w:rsid w:val="00F930D9"/>
    <w:rsid w:val="00F93EEE"/>
    <w:rsid w:val="00F93FDA"/>
    <w:rsid w:val="00F954CA"/>
    <w:rsid w:val="00F96280"/>
    <w:rsid w:val="00F96E84"/>
    <w:rsid w:val="00F97914"/>
    <w:rsid w:val="00FA01D4"/>
    <w:rsid w:val="00FA084F"/>
    <w:rsid w:val="00FA2BD7"/>
    <w:rsid w:val="00FA30F5"/>
    <w:rsid w:val="00FA3BAD"/>
    <w:rsid w:val="00FA3F06"/>
    <w:rsid w:val="00FA416A"/>
    <w:rsid w:val="00FA4744"/>
    <w:rsid w:val="00FA4872"/>
    <w:rsid w:val="00FA4B78"/>
    <w:rsid w:val="00FA62E0"/>
    <w:rsid w:val="00FA63D3"/>
    <w:rsid w:val="00FA6741"/>
    <w:rsid w:val="00FA6DE6"/>
    <w:rsid w:val="00FA6F37"/>
    <w:rsid w:val="00FA6FA7"/>
    <w:rsid w:val="00FB0862"/>
    <w:rsid w:val="00FB119A"/>
    <w:rsid w:val="00FB1431"/>
    <w:rsid w:val="00FB181F"/>
    <w:rsid w:val="00FB1918"/>
    <w:rsid w:val="00FB1AE8"/>
    <w:rsid w:val="00FB1D7A"/>
    <w:rsid w:val="00FB24C0"/>
    <w:rsid w:val="00FB286E"/>
    <w:rsid w:val="00FB2A18"/>
    <w:rsid w:val="00FB3F9C"/>
    <w:rsid w:val="00FB4206"/>
    <w:rsid w:val="00FB4D9A"/>
    <w:rsid w:val="00FB526E"/>
    <w:rsid w:val="00FB5CF6"/>
    <w:rsid w:val="00FB6C8D"/>
    <w:rsid w:val="00FB6D76"/>
    <w:rsid w:val="00FB6F8F"/>
    <w:rsid w:val="00FB7430"/>
    <w:rsid w:val="00FB7450"/>
    <w:rsid w:val="00FB7968"/>
    <w:rsid w:val="00FC0562"/>
    <w:rsid w:val="00FC0EFA"/>
    <w:rsid w:val="00FC1079"/>
    <w:rsid w:val="00FC1327"/>
    <w:rsid w:val="00FC1533"/>
    <w:rsid w:val="00FC1B8F"/>
    <w:rsid w:val="00FC1BE4"/>
    <w:rsid w:val="00FC1D4B"/>
    <w:rsid w:val="00FC201C"/>
    <w:rsid w:val="00FC242A"/>
    <w:rsid w:val="00FC2580"/>
    <w:rsid w:val="00FC314B"/>
    <w:rsid w:val="00FC39CA"/>
    <w:rsid w:val="00FC3AE8"/>
    <w:rsid w:val="00FC3C18"/>
    <w:rsid w:val="00FC4A41"/>
    <w:rsid w:val="00FC5E6F"/>
    <w:rsid w:val="00FC7615"/>
    <w:rsid w:val="00FC7785"/>
    <w:rsid w:val="00FC7F4D"/>
    <w:rsid w:val="00FD058E"/>
    <w:rsid w:val="00FD05BC"/>
    <w:rsid w:val="00FD0E60"/>
    <w:rsid w:val="00FD2102"/>
    <w:rsid w:val="00FD2718"/>
    <w:rsid w:val="00FD3889"/>
    <w:rsid w:val="00FD45D6"/>
    <w:rsid w:val="00FD465C"/>
    <w:rsid w:val="00FD4D73"/>
    <w:rsid w:val="00FD562A"/>
    <w:rsid w:val="00FD6411"/>
    <w:rsid w:val="00FD64EF"/>
    <w:rsid w:val="00FD7771"/>
    <w:rsid w:val="00FE0294"/>
    <w:rsid w:val="00FE14D4"/>
    <w:rsid w:val="00FE18B4"/>
    <w:rsid w:val="00FE2F0E"/>
    <w:rsid w:val="00FE2F48"/>
    <w:rsid w:val="00FE357B"/>
    <w:rsid w:val="00FE37C2"/>
    <w:rsid w:val="00FE4F46"/>
    <w:rsid w:val="00FE5276"/>
    <w:rsid w:val="00FE563B"/>
    <w:rsid w:val="00FE5DA3"/>
    <w:rsid w:val="00FE66FB"/>
    <w:rsid w:val="00FE6997"/>
    <w:rsid w:val="00FE6FAA"/>
    <w:rsid w:val="00FE7053"/>
    <w:rsid w:val="00FE7884"/>
    <w:rsid w:val="00FE7D12"/>
    <w:rsid w:val="00FF3DBD"/>
    <w:rsid w:val="00FF4204"/>
    <w:rsid w:val="00FF4314"/>
    <w:rsid w:val="00FF456E"/>
    <w:rsid w:val="00FF4A19"/>
    <w:rsid w:val="00FF4CE2"/>
    <w:rsid w:val="00FF520E"/>
    <w:rsid w:val="00FF70F3"/>
    <w:rsid w:val="00FF7533"/>
    <w:rsid w:val="00FF7BA6"/>
    <w:rsid w:val="00FF7C38"/>
    <w:rsid w:val="01F0299B"/>
    <w:rsid w:val="026E4F91"/>
    <w:rsid w:val="041D095D"/>
    <w:rsid w:val="04C06D83"/>
    <w:rsid w:val="05C87DB9"/>
    <w:rsid w:val="071719AF"/>
    <w:rsid w:val="0961739E"/>
    <w:rsid w:val="098E6083"/>
    <w:rsid w:val="0B205B2B"/>
    <w:rsid w:val="0B782559"/>
    <w:rsid w:val="0D566BC9"/>
    <w:rsid w:val="0E180322"/>
    <w:rsid w:val="0E8C4995"/>
    <w:rsid w:val="0EF27BFB"/>
    <w:rsid w:val="0FBC50EF"/>
    <w:rsid w:val="100131FC"/>
    <w:rsid w:val="115F3FD7"/>
    <w:rsid w:val="11A259DD"/>
    <w:rsid w:val="120474A0"/>
    <w:rsid w:val="13102ABE"/>
    <w:rsid w:val="167D280D"/>
    <w:rsid w:val="17047766"/>
    <w:rsid w:val="17935895"/>
    <w:rsid w:val="17F52C18"/>
    <w:rsid w:val="184530EF"/>
    <w:rsid w:val="189A33B7"/>
    <w:rsid w:val="19227A4B"/>
    <w:rsid w:val="1B3E182A"/>
    <w:rsid w:val="1B4B5195"/>
    <w:rsid w:val="1B577881"/>
    <w:rsid w:val="1C174C6F"/>
    <w:rsid w:val="1C7C020D"/>
    <w:rsid w:val="1C8F78BA"/>
    <w:rsid w:val="1C9B0D84"/>
    <w:rsid w:val="1CCB706C"/>
    <w:rsid w:val="1CDD3F3B"/>
    <w:rsid w:val="1D4D6869"/>
    <w:rsid w:val="20660D90"/>
    <w:rsid w:val="21760101"/>
    <w:rsid w:val="22B25284"/>
    <w:rsid w:val="22C07D9F"/>
    <w:rsid w:val="23056CBA"/>
    <w:rsid w:val="234C1E42"/>
    <w:rsid w:val="23C6059E"/>
    <w:rsid w:val="23C95079"/>
    <w:rsid w:val="24031A53"/>
    <w:rsid w:val="24307C26"/>
    <w:rsid w:val="248E5D4C"/>
    <w:rsid w:val="24C47897"/>
    <w:rsid w:val="24E337F8"/>
    <w:rsid w:val="258D3B57"/>
    <w:rsid w:val="26044B56"/>
    <w:rsid w:val="262336EE"/>
    <w:rsid w:val="266D2A5D"/>
    <w:rsid w:val="269E4C0C"/>
    <w:rsid w:val="27024D1A"/>
    <w:rsid w:val="285735F9"/>
    <w:rsid w:val="29371F10"/>
    <w:rsid w:val="2AD85037"/>
    <w:rsid w:val="2B6A5CA2"/>
    <w:rsid w:val="2BD0253B"/>
    <w:rsid w:val="2C444480"/>
    <w:rsid w:val="2C564DC3"/>
    <w:rsid w:val="2C6A3498"/>
    <w:rsid w:val="2D6C141D"/>
    <w:rsid w:val="2DF77CF4"/>
    <w:rsid w:val="2EB64B4B"/>
    <w:rsid w:val="2EDB590A"/>
    <w:rsid w:val="2F0A29E3"/>
    <w:rsid w:val="30817D6A"/>
    <w:rsid w:val="3157114E"/>
    <w:rsid w:val="31F2037F"/>
    <w:rsid w:val="329B11F6"/>
    <w:rsid w:val="336E087E"/>
    <w:rsid w:val="33C3087D"/>
    <w:rsid w:val="35961B12"/>
    <w:rsid w:val="364523AD"/>
    <w:rsid w:val="36700D38"/>
    <w:rsid w:val="36C4673D"/>
    <w:rsid w:val="37B10B63"/>
    <w:rsid w:val="37D17C49"/>
    <w:rsid w:val="384C097F"/>
    <w:rsid w:val="390721D7"/>
    <w:rsid w:val="393B510C"/>
    <w:rsid w:val="393F4767"/>
    <w:rsid w:val="39A97E97"/>
    <w:rsid w:val="3A260C29"/>
    <w:rsid w:val="3B57268D"/>
    <w:rsid w:val="3B6176CE"/>
    <w:rsid w:val="3BF9504C"/>
    <w:rsid w:val="3CC67E5A"/>
    <w:rsid w:val="3CF11603"/>
    <w:rsid w:val="3D7507FB"/>
    <w:rsid w:val="3DFF5C71"/>
    <w:rsid w:val="3EB5127A"/>
    <w:rsid w:val="3F503E5E"/>
    <w:rsid w:val="3FC16214"/>
    <w:rsid w:val="3FEE6A4A"/>
    <w:rsid w:val="41576FF8"/>
    <w:rsid w:val="41D9164E"/>
    <w:rsid w:val="41DD521D"/>
    <w:rsid w:val="423B7022"/>
    <w:rsid w:val="4389060E"/>
    <w:rsid w:val="43C8028A"/>
    <w:rsid w:val="43D51667"/>
    <w:rsid w:val="443B2C25"/>
    <w:rsid w:val="448421F1"/>
    <w:rsid w:val="45D37D9B"/>
    <w:rsid w:val="47280A93"/>
    <w:rsid w:val="48194FD5"/>
    <w:rsid w:val="484514CB"/>
    <w:rsid w:val="48C86EE1"/>
    <w:rsid w:val="49FA6EF8"/>
    <w:rsid w:val="4A784961"/>
    <w:rsid w:val="4ACF3A3C"/>
    <w:rsid w:val="4B1700DF"/>
    <w:rsid w:val="4BBE3774"/>
    <w:rsid w:val="4C382EE5"/>
    <w:rsid w:val="4E2A2E96"/>
    <w:rsid w:val="4F0F6A19"/>
    <w:rsid w:val="4F610FE6"/>
    <w:rsid w:val="50074EFC"/>
    <w:rsid w:val="51D10A66"/>
    <w:rsid w:val="528A390F"/>
    <w:rsid w:val="528C6991"/>
    <w:rsid w:val="53C3378D"/>
    <w:rsid w:val="54054633"/>
    <w:rsid w:val="540605E4"/>
    <w:rsid w:val="547F0032"/>
    <w:rsid w:val="54A02A20"/>
    <w:rsid w:val="55374D1D"/>
    <w:rsid w:val="55C87B3E"/>
    <w:rsid w:val="58D67D8C"/>
    <w:rsid w:val="58E10577"/>
    <w:rsid w:val="59165EF7"/>
    <w:rsid w:val="59702A12"/>
    <w:rsid w:val="5AED2A9C"/>
    <w:rsid w:val="5B270145"/>
    <w:rsid w:val="5BAC33CB"/>
    <w:rsid w:val="5BC746C9"/>
    <w:rsid w:val="5CC61F72"/>
    <w:rsid w:val="5CF206F7"/>
    <w:rsid w:val="5EA0340D"/>
    <w:rsid w:val="5ED66C3C"/>
    <w:rsid w:val="5FDD643B"/>
    <w:rsid w:val="60391874"/>
    <w:rsid w:val="60BA3E42"/>
    <w:rsid w:val="610E77EE"/>
    <w:rsid w:val="6194383B"/>
    <w:rsid w:val="61A14A39"/>
    <w:rsid w:val="61CB5375"/>
    <w:rsid w:val="62233ED9"/>
    <w:rsid w:val="6232549B"/>
    <w:rsid w:val="623348CA"/>
    <w:rsid w:val="657449B3"/>
    <w:rsid w:val="65CA685B"/>
    <w:rsid w:val="65CF34A7"/>
    <w:rsid w:val="65F660EF"/>
    <w:rsid w:val="6673798C"/>
    <w:rsid w:val="673905B6"/>
    <w:rsid w:val="681C3942"/>
    <w:rsid w:val="68460AAC"/>
    <w:rsid w:val="68AC1CFE"/>
    <w:rsid w:val="69D871E5"/>
    <w:rsid w:val="6BCD1DE6"/>
    <w:rsid w:val="6C505023"/>
    <w:rsid w:val="6D14299F"/>
    <w:rsid w:val="6D672A1E"/>
    <w:rsid w:val="6DC237D1"/>
    <w:rsid w:val="6F40725E"/>
    <w:rsid w:val="6F6E0D4A"/>
    <w:rsid w:val="711172CF"/>
    <w:rsid w:val="71FD54DD"/>
    <w:rsid w:val="7410294D"/>
    <w:rsid w:val="76B33484"/>
    <w:rsid w:val="76D71644"/>
    <w:rsid w:val="776C2FB6"/>
    <w:rsid w:val="786820CA"/>
    <w:rsid w:val="79982284"/>
    <w:rsid w:val="7998662D"/>
    <w:rsid w:val="7A8C5878"/>
    <w:rsid w:val="7B471854"/>
    <w:rsid w:val="7C552333"/>
    <w:rsid w:val="7CA86C55"/>
    <w:rsid w:val="7CF019C1"/>
    <w:rsid w:val="7D461CAD"/>
    <w:rsid w:val="7E28286A"/>
    <w:rsid w:val="7E4515FE"/>
    <w:rsid w:val="7EAD59B2"/>
    <w:rsid w:val="7F9127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60"/>
    <w:qFormat/>
    <w:uiPriority w:val="0"/>
    <w:pPr>
      <w:spacing w:before="460" w:after="450" w:line="360" w:lineRule="auto"/>
      <w:jc w:val="center"/>
      <w:outlineLvl w:val="0"/>
    </w:pPr>
    <w:rPr>
      <w:rFonts w:eastAsiaTheme="minorEastAsia"/>
      <w:bCs w:val="0"/>
      <w:kern w:val="44"/>
      <w:sz w:val="44"/>
      <w:szCs w:val="28"/>
    </w:rPr>
  </w:style>
  <w:style w:type="paragraph" w:styleId="4">
    <w:name w:val="heading 2"/>
    <w:basedOn w:val="1"/>
    <w:next w:val="1"/>
    <w:link w:val="61"/>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3">
    <w:name w:val="heading 3"/>
    <w:basedOn w:val="1"/>
    <w:next w:val="1"/>
    <w:link w:val="59"/>
    <w:qFormat/>
    <w:uiPriority w:val="0"/>
    <w:pPr>
      <w:keepNext/>
      <w:keepLines/>
      <w:spacing w:before="260" w:after="260" w:line="416" w:lineRule="auto"/>
      <w:jc w:val="left"/>
      <w:outlineLvl w:val="2"/>
    </w:pPr>
    <w:rPr>
      <w:b/>
      <w:bCs/>
      <w:sz w:val="24"/>
      <w:szCs w:val="32"/>
    </w:rPr>
  </w:style>
  <w:style w:type="paragraph" w:styleId="5">
    <w:name w:val="heading 4"/>
    <w:basedOn w:val="1"/>
    <w:next w:val="1"/>
    <w:link w:val="62"/>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4"/>
    <w:qFormat/>
    <w:uiPriority w:val="0"/>
    <w:pPr>
      <w:keepNext/>
      <w:keepLines/>
      <w:numPr>
        <w:ilvl w:val="4"/>
        <w:numId w:val="1"/>
      </w:numPr>
      <w:tabs>
        <w:tab w:val="left" w:pos="371"/>
      </w:tabs>
      <w:spacing w:before="280" w:after="290" w:line="374" w:lineRule="auto"/>
      <w:outlineLvl w:val="4"/>
    </w:pPr>
    <w:rPr>
      <w:b/>
      <w:sz w:val="28"/>
    </w:rPr>
  </w:style>
  <w:style w:type="paragraph" w:styleId="8">
    <w:name w:val="heading 6"/>
    <w:basedOn w:val="1"/>
    <w:next w:val="7"/>
    <w:link w:val="65"/>
    <w:qFormat/>
    <w:uiPriority w:val="9"/>
    <w:pPr>
      <w:keepNext/>
      <w:keepLines/>
      <w:numPr>
        <w:ilvl w:val="5"/>
        <w:numId w:val="1"/>
      </w:numPr>
      <w:spacing w:before="240" w:after="64" w:line="319" w:lineRule="auto"/>
      <w:outlineLvl w:val="5"/>
    </w:pPr>
    <w:rPr>
      <w:rFonts w:ascii="Arial" w:hAnsi="Arial" w:eastAsia="黑体"/>
      <w:b/>
      <w:sz w:val="24"/>
    </w:rPr>
  </w:style>
  <w:style w:type="paragraph" w:styleId="9">
    <w:name w:val="heading 7"/>
    <w:basedOn w:val="1"/>
    <w:next w:val="7"/>
    <w:link w:val="66"/>
    <w:qFormat/>
    <w:uiPriority w:val="9"/>
    <w:pPr>
      <w:keepNext/>
      <w:keepLines/>
      <w:numPr>
        <w:ilvl w:val="6"/>
        <w:numId w:val="1"/>
      </w:numPr>
      <w:spacing w:before="240" w:after="64" w:line="319" w:lineRule="auto"/>
      <w:outlineLvl w:val="6"/>
    </w:pPr>
    <w:rPr>
      <w:b/>
      <w:sz w:val="24"/>
    </w:rPr>
  </w:style>
  <w:style w:type="paragraph" w:styleId="10">
    <w:name w:val="heading 8"/>
    <w:basedOn w:val="1"/>
    <w:next w:val="7"/>
    <w:link w:val="67"/>
    <w:qFormat/>
    <w:uiPriority w:val="9"/>
    <w:pPr>
      <w:keepNext/>
      <w:keepLines/>
      <w:numPr>
        <w:ilvl w:val="7"/>
        <w:numId w:val="1"/>
      </w:numPr>
      <w:spacing w:before="240" w:after="64" w:line="319" w:lineRule="auto"/>
      <w:outlineLvl w:val="7"/>
    </w:pPr>
    <w:rPr>
      <w:rFonts w:ascii="Arial" w:hAnsi="Arial" w:eastAsia="黑体"/>
      <w:sz w:val="24"/>
    </w:rPr>
  </w:style>
  <w:style w:type="paragraph" w:styleId="11">
    <w:name w:val="heading 9"/>
    <w:basedOn w:val="1"/>
    <w:next w:val="7"/>
    <w:link w:val="68"/>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63"/>
    <w:qFormat/>
    <w:uiPriority w:val="0"/>
    <w:pPr>
      <w:ind w:firstLine="420" w:firstLineChars="200"/>
    </w:pPr>
  </w:style>
  <w:style w:type="paragraph" w:styleId="12">
    <w:name w:val="toc 7"/>
    <w:basedOn w:val="1"/>
    <w:next w:val="1"/>
    <w:qFormat/>
    <w:uiPriority w:val="0"/>
    <w:pPr>
      <w:ind w:left="1260"/>
      <w:jc w:val="left"/>
    </w:pPr>
    <w:rPr>
      <w:szCs w:val="21"/>
    </w:rPr>
  </w:style>
  <w:style w:type="paragraph" w:styleId="13">
    <w:name w:val="List Number 2"/>
    <w:basedOn w:val="1"/>
    <w:qFormat/>
    <w:uiPriority w:val="0"/>
    <w:pPr>
      <w:tabs>
        <w:tab w:val="left" w:pos="780"/>
      </w:tabs>
      <w:ind w:left="780" w:hanging="360"/>
    </w:pPr>
    <w:rPr>
      <w:szCs w:val="20"/>
    </w:rPr>
  </w:style>
  <w:style w:type="paragraph" w:styleId="14">
    <w:name w:val="List Bullet 4"/>
    <w:basedOn w:val="1"/>
    <w:qFormat/>
    <w:uiPriority w:val="0"/>
    <w:pPr>
      <w:tabs>
        <w:tab w:val="left" w:pos="425"/>
        <w:tab w:val="left" w:pos="1620"/>
      </w:tabs>
      <w:ind w:left="425" w:hanging="425"/>
    </w:pPr>
    <w:rPr>
      <w:szCs w:val="20"/>
    </w:rPr>
  </w:style>
  <w:style w:type="paragraph" w:styleId="15">
    <w:name w:val="caption"/>
    <w:basedOn w:val="1"/>
    <w:next w:val="1"/>
    <w:link w:val="297"/>
    <w:qFormat/>
    <w:uiPriority w:val="0"/>
    <w:rPr>
      <w:rFonts w:ascii="Cambria" w:hAnsi="Cambria" w:eastAsia="黑体"/>
    </w:rPr>
  </w:style>
  <w:style w:type="paragraph" w:styleId="16">
    <w:name w:val="List Bullet"/>
    <w:basedOn w:val="1"/>
    <w:qFormat/>
    <w:uiPriority w:val="0"/>
    <w:pPr>
      <w:numPr>
        <w:ilvl w:val="0"/>
        <w:numId w:val="1"/>
      </w:numPr>
      <w:tabs>
        <w:tab w:val="left" w:pos="360"/>
        <w:tab w:val="clear" w:pos="371"/>
      </w:tabs>
    </w:pPr>
    <w:rPr>
      <w:szCs w:val="20"/>
    </w:rPr>
  </w:style>
  <w:style w:type="paragraph" w:styleId="17">
    <w:name w:val="Document Map"/>
    <w:basedOn w:val="1"/>
    <w:link w:val="73"/>
    <w:qFormat/>
    <w:uiPriority w:val="0"/>
    <w:pPr>
      <w:shd w:val="clear" w:color="auto" w:fill="000080"/>
    </w:pPr>
  </w:style>
  <w:style w:type="paragraph" w:styleId="18">
    <w:name w:val="annotation text"/>
    <w:basedOn w:val="1"/>
    <w:link w:val="69"/>
    <w:qFormat/>
    <w:uiPriority w:val="0"/>
    <w:pPr>
      <w:jc w:val="left"/>
    </w:pPr>
  </w:style>
  <w:style w:type="paragraph" w:styleId="19">
    <w:name w:val="Body Text 3"/>
    <w:basedOn w:val="1"/>
    <w:link w:val="458"/>
    <w:unhideWhenUsed/>
    <w:qFormat/>
    <w:uiPriority w:val="0"/>
    <w:pPr>
      <w:spacing w:after="120"/>
    </w:pPr>
    <w:rPr>
      <w:sz w:val="16"/>
      <w:szCs w:val="16"/>
    </w:rPr>
  </w:style>
  <w:style w:type="paragraph" w:styleId="20">
    <w:name w:val="Body Text"/>
    <w:basedOn w:val="1"/>
    <w:link w:val="71"/>
    <w:qFormat/>
    <w:uiPriority w:val="0"/>
    <w:pPr>
      <w:spacing w:after="120"/>
    </w:pPr>
  </w:style>
  <w:style w:type="paragraph" w:styleId="21">
    <w:name w:val="Body Text Indent"/>
    <w:basedOn w:val="1"/>
    <w:link w:val="74"/>
    <w:qFormat/>
    <w:uiPriority w:val="0"/>
    <w:pPr>
      <w:spacing w:after="120"/>
      <w:ind w:left="420" w:leftChars="200"/>
    </w:pPr>
  </w:style>
  <w:style w:type="paragraph" w:styleId="22">
    <w:name w:val="Block Text"/>
    <w:basedOn w:val="1"/>
    <w:qFormat/>
    <w:uiPriority w:val="0"/>
    <w:pPr>
      <w:spacing w:after="120"/>
      <w:ind w:left="1440" w:leftChars="700" w:right="1440" w:rightChars="700"/>
    </w:pPr>
  </w:style>
  <w:style w:type="paragraph" w:styleId="23">
    <w:name w:val="List Bullet 2"/>
    <w:basedOn w:val="1"/>
    <w:qFormat/>
    <w:uiPriority w:val="0"/>
    <w:pPr>
      <w:numPr>
        <w:ilvl w:val="0"/>
        <w:numId w:val="2"/>
      </w:numPr>
      <w:tabs>
        <w:tab w:val="left" w:pos="780"/>
      </w:tabs>
    </w:pPr>
    <w:rPr>
      <w:szCs w:val="20"/>
    </w:rPr>
  </w:style>
  <w:style w:type="paragraph" w:styleId="24">
    <w:name w:val="toc 5"/>
    <w:basedOn w:val="1"/>
    <w:next w:val="1"/>
    <w:qFormat/>
    <w:uiPriority w:val="0"/>
    <w:pPr>
      <w:ind w:left="840"/>
      <w:jc w:val="left"/>
    </w:pPr>
    <w:rPr>
      <w:szCs w:val="21"/>
    </w:rPr>
  </w:style>
  <w:style w:type="paragraph" w:styleId="25">
    <w:name w:val="toc 3"/>
    <w:basedOn w:val="1"/>
    <w:next w:val="1"/>
    <w:qFormat/>
    <w:uiPriority w:val="39"/>
    <w:pPr>
      <w:ind w:left="420"/>
      <w:jc w:val="left"/>
    </w:pPr>
    <w:rPr>
      <w:iCs/>
    </w:rPr>
  </w:style>
  <w:style w:type="paragraph" w:styleId="26">
    <w:name w:val="Plain Text"/>
    <w:basedOn w:val="1"/>
    <w:link w:val="75"/>
    <w:qFormat/>
    <w:uiPriority w:val="0"/>
    <w:rPr>
      <w:rFonts w:ascii="宋体" w:hAnsi="Courier New"/>
      <w:szCs w:val="20"/>
    </w:rPr>
  </w:style>
  <w:style w:type="paragraph" w:styleId="27">
    <w:name w:val="toc 8"/>
    <w:basedOn w:val="1"/>
    <w:next w:val="1"/>
    <w:qFormat/>
    <w:uiPriority w:val="0"/>
    <w:pPr>
      <w:ind w:left="1470"/>
      <w:jc w:val="left"/>
    </w:pPr>
    <w:rPr>
      <w:szCs w:val="21"/>
    </w:rPr>
  </w:style>
  <w:style w:type="paragraph" w:styleId="28">
    <w:name w:val="Date"/>
    <w:basedOn w:val="1"/>
    <w:next w:val="1"/>
    <w:link w:val="316"/>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9">
    <w:name w:val="Body Text Indent 2"/>
    <w:basedOn w:val="1"/>
    <w:link w:val="76"/>
    <w:qFormat/>
    <w:uiPriority w:val="0"/>
    <w:pPr>
      <w:spacing w:after="120" w:line="480" w:lineRule="auto"/>
      <w:ind w:left="420" w:leftChars="200"/>
    </w:pPr>
  </w:style>
  <w:style w:type="paragraph" w:styleId="30">
    <w:name w:val="Balloon Text"/>
    <w:basedOn w:val="1"/>
    <w:link w:val="77"/>
    <w:qFormat/>
    <w:uiPriority w:val="0"/>
    <w:rPr>
      <w:sz w:val="18"/>
      <w:szCs w:val="18"/>
    </w:rPr>
  </w:style>
  <w:style w:type="paragraph" w:styleId="31">
    <w:name w:val="footer"/>
    <w:basedOn w:val="1"/>
    <w:link w:val="78"/>
    <w:qFormat/>
    <w:uiPriority w:val="99"/>
    <w:pPr>
      <w:tabs>
        <w:tab w:val="center" w:pos="4153"/>
        <w:tab w:val="right" w:pos="8306"/>
      </w:tabs>
      <w:snapToGrid w:val="0"/>
      <w:jc w:val="left"/>
    </w:pPr>
    <w:rPr>
      <w:sz w:val="18"/>
      <w:szCs w:val="18"/>
    </w:rPr>
  </w:style>
  <w:style w:type="paragraph" w:styleId="32">
    <w:name w:val="header"/>
    <w:basedOn w:val="1"/>
    <w:link w:val="79"/>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7"/>
    <w:qFormat/>
    <w:uiPriority w:val="0"/>
    <w:pPr>
      <w:ind w:left="4320"/>
    </w:pPr>
    <w:rPr>
      <w:rFonts w:eastAsia="楷体_GB2312"/>
      <w:szCs w:val="20"/>
    </w:rPr>
  </w:style>
  <w:style w:type="paragraph" w:styleId="34">
    <w:name w:val="toc 1"/>
    <w:basedOn w:val="1"/>
    <w:next w:val="1"/>
    <w:qFormat/>
    <w:uiPriority w:val="39"/>
    <w:pPr>
      <w:spacing w:before="120" w:after="120"/>
      <w:jc w:val="left"/>
    </w:pPr>
    <w:rPr>
      <w:b/>
      <w:bCs/>
      <w:caps/>
    </w:rPr>
  </w:style>
  <w:style w:type="paragraph" w:styleId="35">
    <w:name w:val="toc 4"/>
    <w:basedOn w:val="1"/>
    <w:next w:val="1"/>
    <w:qFormat/>
    <w:uiPriority w:val="0"/>
    <w:pPr>
      <w:ind w:left="630"/>
      <w:jc w:val="left"/>
    </w:pPr>
    <w:rPr>
      <w:szCs w:val="21"/>
    </w:rPr>
  </w:style>
  <w:style w:type="paragraph" w:styleId="36">
    <w:name w:val="index heading"/>
    <w:basedOn w:val="1"/>
    <w:next w:val="37"/>
    <w:qFormat/>
    <w:uiPriority w:val="0"/>
    <w:rPr>
      <w:szCs w:val="20"/>
    </w:rPr>
  </w:style>
  <w:style w:type="paragraph" w:styleId="37">
    <w:name w:val="index 1"/>
    <w:basedOn w:val="1"/>
    <w:next w:val="1"/>
    <w:qFormat/>
    <w:uiPriority w:val="0"/>
  </w:style>
  <w:style w:type="paragraph" w:styleId="38">
    <w:name w:val="footnote text"/>
    <w:basedOn w:val="1"/>
    <w:link w:val="463"/>
    <w:qFormat/>
    <w:uiPriority w:val="0"/>
    <w:pPr>
      <w:snapToGrid w:val="0"/>
      <w:jc w:val="left"/>
    </w:pPr>
    <w:rPr>
      <w:sz w:val="18"/>
      <w:szCs w:val="18"/>
    </w:rPr>
  </w:style>
  <w:style w:type="paragraph" w:styleId="39">
    <w:name w:val="toc 6"/>
    <w:basedOn w:val="1"/>
    <w:next w:val="1"/>
    <w:qFormat/>
    <w:uiPriority w:val="0"/>
    <w:pPr>
      <w:ind w:left="1050"/>
      <w:jc w:val="left"/>
    </w:pPr>
    <w:rPr>
      <w:szCs w:val="21"/>
    </w:rPr>
  </w:style>
  <w:style w:type="paragraph" w:styleId="40">
    <w:name w:val="Body Text Indent 3"/>
    <w:basedOn w:val="1"/>
    <w:link w:val="313"/>
    <w:qFormat/>
    <w:uiPriority w:val="0"/>
    <w:pPr>
      <w:ind w:firstLine="426"/>
    </w:pPr>
    <w:rPr>
      <w:szCs w:val="20"/>
    </w:rPr>
  </w:style>
  <w:style w:type="paragraph" w:styleId="41">
    <w:name w:val="toc 2"/>
    <w:basedOn w:val="1"/>
    <w:next w:val="1"/>
    <w:qFormat/>
    <w:uiPriority w:val="39"/>
    <w:pPr>
      <w:ind w:left="210"/>
      <w:jc w:val="left"/>
    </w:pPr>
    <w:rPr>
      <w:smallCaps/>
    </w:rPr>
  </w:style>
  <w:style w:type="paragraph" w:styleId="42">
    <w:name w:val="toc 9"/>
    <w:basedOn w:val="1"/>
    <w:next w:val="1"/>
    <w:qFormat/>
    <w:uiPriority w:val="0"/>
    <w:pPr>
      <w:ind w:left="1680"/>
      <w:jc w:val="left"/>
    </w:pPr>
    <w:rPr>
      <w:szCs w:val="21"/>
    </w:rPr>
  </w:style>
  <w:style w:type="paragraph" w:styleId="43">
    <w:name w:val="Body Text 2"/>
    <w:basedOn w:val="1"/>
    <w:link w:val="306"/>
    <w:qFormat/>
    <w:uiPriority w:val="0"/>
    <w:rPr>
      <w:sz w:val="28"/>
      <w:szCs w:val="20"/>
    </w:rPr>
  </w:style>
  <w:style w:type="paragraph" w:styleId="44">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qFormat/>
    <w:uiPriority w:val="99"/>
    <w:pPr>
      <w:widowControl/>
      <w:spacing w:before="100" w:beforeAutospacing="1" w:after="100" w:afterAutospacing="1"/>
      <w:jc w:val="left"/>
    </w:pPr>
    <w:rPr>
      <w:kern w:val="0"/>
      <w:sz w:val="24"/>
    </w:rPr>
  </w:style>
  <w:style w:type="paragraph" w:styleId="46">
    <w:name w:val="Title"/>
    <w:basedOn w:val="1"/>
    <w:link w:val="81"/>
    <w:qFormat/>
    <w:uiPriority w:val="0"/>
    <w:pPr>
      <w:spacing w:before="240" w:after="60"/>
      <w:jc w:val="center"/>
      <w:outlineLvl w:val="0"/>
    </w:pPr>
    <w:rPr>
      <w:rFonts w:ascii="Arial" w:hAnsi="Arial" w:eastAsia="隶书"/>
      <w:b/>
      <w:bCs/>
      <w:sz w:val="32"/>
      <w:szCs w:val="32"/>
    </w:rPr>
  </w:style>
  <w:style w:type="paragraph" w:styleId="47">
    <w:name w:val="annotation subject"/>
    <w:basedOn w:val="18"/>
    <w:next w:val="18"/>
    <w:link w:val="70"/>
    <w:qFormat/>
    <w:uiPriority w:val="0"/>
    <w:rPr>
      <w:b/>
      <w:bCs/>
    </w:rPr>
  </w:style>
  <w:style w:type="paragraph" w:styleId="48">
    <w:name w:val="Body Text First Indent"/>
    <w:basedOn w:val="20"/>
    <w:link w:val="72"/>
    <w:qFormat/>
    <w:uiPriority w:val="0"/>
    <w:pPr>
      <w:ind w:firstLine="420" w:firstLineChars="100"/>
    </w:pPr>
  </w:style>
  <w:style w:type="paragraph" w:styleId="49">
    <w:name w:val="Body Text First Indent 2"/>
    <w:basedOn w:val="21"/>
    <w:link w:val="292"/>
    <w:qFormat/>
    <w:uiPriority w:val="0"/>
    <w:pPr>
      <w:spacing w:after="160" w:line="360" w:lineRule="auto"/>
      <w:ind w:firstLine="480" w:firstLineChars="200"/>
    </w:pPr>
    <w:rPr>
      <w:kern w:val="0"/>
      <w:sz w:val="24"/>
    </w:rPr>
  </w:style>
  <w:style w:type="table" w:styleId="51">
    <w:name w:val="Table Grid"/>
    <w:basedOn w:val="5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qFormat/>
    <w:uiPriority w:val="22"/>
    <w:rPr>
      <w:b/>
      <w:bCs/>
    </w:rPr>
  </w:style>
  <w:style w:type="character" w:styleId="54">
    <w:name w:val="page number"/>
    <w:basedOn w:val="52"/>
    <w:qFormat/>
    <w:uiPriority w:val="0"/>
  </w:style>
  <w:style w:type="character" w:styleId="55">
    <w:name w:val="FollowedHyperlink"/>
    <w:basedOn w:val="52"/>
    <w:unhideWhenUsed/>
    <w:qFormat/>
    <w:uiPriority w:val="0"/>
    <w:rPr>
      <w:color w:val="800080"/>
      <w:u w:val="single"/>
    </w:rPr>
  </w:style>
  <w:style w:type="character" w:styleId="56">
    <w:name w:val="Emphasis"/>
    <w:qFormat/>
    <w:uiPriority w:val="20"/>
    <w:rPr>
      <w:i/>
      <w:iCs/>
    </w:rPr>
  </w:style>
  <w:style w:type="character" w:styleId="57">
    <w:name w:val="Hyperlink"/>
    <w:qFormat/>
    <w:uiPriority w:val="99"/>
    <w:rPr>
      <w:color w:val="0000FF"/>
      <w:u w:val="single"/>
    </w:rPr>
  </w:style>
  <w:style w:type="character" w:styleId="58">
    <w:name w:val="annotation reference"/>
    <w:qFormat/>
    <w:uiPriority w:val="0"/>
    <w:rPr>
      <w:sz w:val="21"/>
      <w:szCs w:val="21"/>
    </w:rPr>
  </w:style>
  <w:style w:type="character" w:customStyle="1" w:styleId="59">
    <w:name w:val="标题 3 Char"/>
    <w:basedOn w:val="52"/>
    <w:link w:val="3"/>
    <w:qFormat/>
    <w:uiPriority w:val="0"/>
    <w:rPr>
      <w:b/>
      <w:bCs/>
      <w:kern w:val="2"/>
      <w:sz w:val="24"/>
      <w:szCs w:val="32"/>
    </w:rPr>
  </w:style>
  <w:style w:type="character" w:customStyle="1" w:styleId="60">
    <w:name w:val="标题 1 Char"/>
    <w:basedOn w:val="52"/>
    <w:link w:val="2"/>
    <w:qFormat/>
    <w:uiPriority w:val="0"/>
    <w:rPr>
      <w:rFonts w:eastAsiaTheme="minorEastAsia"/>
      <w:b/>
      <w:kern w:val="44"/>
      <w:sz w:val="44"/>
      <w:szCs w:val="28"/>
    </w:rPr>
  </w:style>
  <w:style w:type="character" w:customStyle="1" w:styleId="61">
    <w:name w:val="标题 2 Char"/>
    <w:basedOn w:val="52"/>
    <w:link w:val="4"/>
    <w:qFormat/>
    <w:uiPriority w:val="0"/>
    <w:rPr>
      <w:rFonts w:ascii="Arial" w:hAnsi="Arial" w:eastAsiaTheme="minorEastAsia"/>
      <w:b/>
      <w:bCs/>
      <w:kern w:val="2"/>
      <w:sz w:val="28"/>
      <w:szCs w:val="32"/>
    </w:rPr>
  </w:style>
  <w:style w:type="character" w:customStyle="1" w:styleId="62">
    <w:name w:val="标题 4 Char1"/>
    <w:basedOn w:val="52"/>
    <w:link w:val="5"/>
    <w:qFormat/>
    <w:uiPriority w:val="99"/>
    <w:rPr>
      <w:rFonts w:ascii="Arial" w:hAnsi="Arial" w:eastAsia="黑体"/>
      <w:b/>
      <w:bCs/>
      <w:kern w:val="2"/>
      <w:sz w:val="28"/>
      <w:szCs w:val="28"/>
    </w:rPr>
  </w:style>
  <w:style w:type="character" w:customStyle="1" w:styleId="63">
    <w:name w:val="正文缩进 Char"/>
    <w:link w:val="7"/>
    <w:qFormat/>
    <w:uiPriority w:val="0"/>
    <w:rPr>
      <w:rFonts w:eastAsia="宋体"/>
      <w:kern w:val="2"/>
      <w:sz w:val="21"/>
      <w:szCs w:val="24"/>
      <w:lang w:val="en-US" w:eastAsia="zh-CN" w:bidi="ar-SA"/>
    </w:rPr>
  </w:style>
  <w:style w:type="character" w:customStyle="1" w:styleId="64">
    <w:name w:val="标题 5 Char1"/>
    <w:basedOn w:val="52"/>
    <w:link w:val="6"/>
    <w:qFormat/>
    <w:uiPriority w:val="0"/>
    <w:rPr>
      <w:b/>
      <w:kern w:val="2"/>
      <w:sz w:val="28"/>
      <w:szCs w:val="24"/>
    </w:rPr>
  </w:style>
  <w:style w:type="character" w:customStyle="1" w:styleId="65">
    <w:name w:val="标题 6 Char1"/>
    <w:basedOn w:val="52"/>
    <w:link w:val="8"/>
    <w:qFormat/>
    <w:uiPriority w:val="9"/>
    <w:rPr>
      <w:rFonts w:ascii="Arial" w:hAnsi="Arial" w:eastAsia="黑体"/>
      <w:b/>
      <w:kern w:val="2"/>
      <w:sz w:val="24"/>
      <w:szCs w:val="24"/>
    </w:rPr>
  </w:style>
  <w:style w:type="character" w:customStyle="1" w:styleId="66">
    <w:name w:val="标题 7 Char1"/>
    <w:basedOn w:val="52"/>
    <w:link w:val="9"/>
    <w:qFormat/>
    <w:uiPriority w:val="9"/>
    <w:rPr>
      <w:b/>
      <w:kern w:val="2"/>
      <w:sz w:val="24"/>
      <w:szCs w:val="24"/>
    </w:rPr>
  </w:style>
  <w:style w:type="character" w:customStyle="1" w:styleId="67">
    <w:name w:val="标题 8 Char1"/>
    <w:basedOn w:val="52"/>
    <w:link w:val="10"/>
    <w:qFormat/>
    <w:uiPriority w:val="9"/>
    <w:rPr>
      <w:rFonts w:ascii="Arial" w:hAnsi="Arial" w:eastAsia="黑体"/>
      <w:kern w:val="2"/>
      <w:sz w:val="24"/>
      <w:szCs w:val="24"/>
    </w:rPr>
  </w:style>
  <w:style w:type="character" w:customStyle="1" w:styleId="68">
    <w:name w:val="标题 9 Char1"/>
    <w:basedOn w:val="52"/>
    <w:link w:val="11"/>
    <w:qFormat/>
    <w:uiPriority w:val="0"/>
    <w:rPr>
      <w:rFonts w:ascii="Arial" w:hAnsi="Arial" w:eastAsia="黑体"/>
      <w:kern w:val="2"/>
      <w:sz w:val="21"/>
      <w:szCs w:val="24"/>
    </w:rPr>
  </w:style>
  <w:style w:type="character" w:customStyle="1" w:styleId="69">
    <w:name w:val="批注文字 Char"/>
    <w:link w:val="18"/>
    <w:qFormat/>
    <w:uiPriority w:val="0"/>
    <w:rPr>
      <w:kern w:val="2"/>
      <w:sz w:val="21"/>
      <w:szCs w:val="24"/>
    </w:rPr>
  </w:style>
  <w:style w:type="character" w:customStyle="1" w:styleId="70">
    <w:name w:val="批注主题 Char"/>
    <w:basedOn w:val="69"/>
    <w:link w:val="47"/>
    <w:qFormat/>
    <w:uiPriority w:val="0"/>
    <w:rPr>
      <w:b/>
      <w:bCs/>
      <w:kern w:val="2"/>
      <w:sz w:val="21"/>
      <w:szCs w:val="24"/>
    </w:rPr>
  </w:style>
  <w:style w:type="character" w:customStyle="1" w:styleId="71">
    <w:name w:val="正文文本 Char"/>
    <w:basedOn w:val="52"/>
    <w:link w:val="20"/>
    <w:qFormat/>
    <w:uiPriority w:val="0"/>
    <w:rPr>
      <w:kern w:val="2"/>
      <w:sz w:val="21"/>
      <w:szCs w:val="24"/>
    </w:rPr>
  </w:style>
  <w:style w:type="character" w:customStyle="1" w:styleId="72">
    <w:name w:val="正文首行缩进 Char"/>
    <w:link w:val="48"/>
    <w:qFormat/>
    <w:uiPriority w:val="0"/>
    <w:rPr>
      <w:rFonts w:eastAsia="宋体"/>
      <w:kern w:val="2"/>
      <w:sz w:val="21"/>
      <w:szCs w:val="24"/>
      <w:lang w:val="en-US" w:eastAsia="zh-CN" w:bidi="ar-SA"/>
    </w:rPr>
  </w:style>
  <w:style w:type="character" w:customStyle="1" w:styleId="73">
    <w:name w:val="文档结构图 Char"/>
    <w:basedOn w:val="52"/>
    <w:link w:val="17"/>
    <w:qFormat/>
    <w:uiPriority w:val="0"/>
    <w:rPr>
      <w:kern w:val="2"/>
      <w:sz w:val="21"/>
      <w:szCs w:val="24"/>
      <w:shd w:val="clear" w:color="auto" w:fill="000080"/>
    </w:rPr>
  </w:style>
  <w:style w:type="character" w:customStyle="1" w:styleId="74">
    <w:name w:val="正文文本缩进 Char1"/>
    <w:basedOn w:val="52"/>
    <w:link w:val="21"/>
    <w:qFormat/>
    <w:uiPriority w:val="0"/>
    <w:rPr>
      <w:kern w:val="2"/>
      <w:sz w:val="21"/>
      <w:szCs w:val="24"/>
    </w:rPr>
  </w:style>
  <w:style w:type="character" w:customStyle="1" w:styleId="75">
    <w:name w:val="纯文本 Char"/>
    <w:link w:val="26"/>
    <w:qFormat/>
    <w:uiPriority w:val="0"/>
    <w:rPr>
      <w:rFonts w:ascii="宋体" w:hAnsi="Courier New" w:eastAsia="宋体"/>
      <w:kern w:val="2"/>
      <w:sz w:val="21"/>
      <w:lang w:val="en-US" w:eastAsia="zh-CN" w:bidi="ar-SA"/>
    </w:rPr>
  </w:style>
  <w:style w:type="character" w:customStyle="1" w:styleId="76">
    <w:name w:val="正文文本缩进 2 Char1"/>
    <w:link w:val="29"/>
    <w:qFormat/>
    <w:uiPriority w:val="0"/>
    <w:rPr>
      <w:kern w:val="2"/>
      <w:sz w:val="21"/>
      <w:szCs w:val="24"/>
    </w:rPr>
  </w:style>
  <w:style w:type="character" w:customStyle="1" w:styleId="77">
    <w:name w:val="批注框文本 Char"/>
    <w:basedOn w:val="52"/>
    <w:link w:val="30"/>
    <w:qFormat/>
    <w:uiPriority w:val="99"/>
    <w:rPr>
      <w:kern w:val="2"/>
      <w:sz w:val="18"/>
      <w:szCs w:val="18"/>
    </w:rPr>
  </w:style>
  <w:style w:type="character" w:customStyle="1" w:styleId="78">
    <w:name w:val="页脚 Char"/>
    <w:basedOn w:val="52"/>
    <w:link w:val="31"/>
    <w:qFormat/>
    <w:uiPriority w:val="99"/>
    <w:rPr>
      <w:kern w:val="2"/>
      <w:sz w:val="18"/>
      <w:szCs w:val="18"/>
    </w:rPr>
  </w:style>
  <w:style w:type="character" w:customStyle="1" w:styleId="79">
    <w:name w:val="页眉 Char"/>
    <w:link w:val="32"/>
    <w:qFormat/>
    <w:uiPriority w:val="99"/>
    <w:rPr>
      <w:kern w:val="2"/>
      <w:sz w:val="18"/>
      <w:szCs w:val="18"/>
    </w:rPr>
  </w:style>
  <w:style w:type="character" w:customStyle="1" w:styleId="80">
    <w:name w:val="HTML 预设格式 Char1"/>
    <w:link w:val="44"/>
    <w:qFormat/>
    <w:uiPriority w:val="0"/>
    <w:rPr>
      <w:rFonts w:ascii="宋体" w:hAnsi="宋体" w:cs="宋体"/>
      <w:sz w:val="24"/>
      <w:szCs w:val="24"/>
    </w:rPr>
  </w:style>
  <w:style w:type="character" w:customStyle="1" w:styleId="81">
    <w:name w:val="标题 Char"/>
    <w:link w:val="46"/>
    <w:qFormat/>
    <w:uiPriority w:val="0"/>
    <w:rPr>
      <w:rFonts w:ascii="Arial" w:hAnsi="Arial" w:eastAsia="隶书" w:cs="Arial"/>
      <w:b/>
      <w:bCs/>
      <w:kern w:val="2"/>
      <w:sz w:val="32"/>
      <w:szCs w:val="32"/>
    </w:rPr>
  </w:style>
  <w:style w:type="paragraph" w:customStyle="1" w:styleId="8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1 Char Char"/>
    <w:basedOn w:val="1"/>
    <w:next w:val="1"/>
    <w:link w:val="84"/>
    <w:qFormat/>
    <w:uiPriority w:val="0"/>
    <w:pPr>
      <w:spacing w:line="360" w:lineRule="auto"/>
      <w:ind w:firstLine="516" w:firstLineChars="215"/>
    </w:pPr>
    <w:rPr>
      <w:sz w:val="24"/>
      <w:szCs w:val="20"/>
    </w:rPr>
  </w:style>
  <w:style w:type="character" w:customStyle="1" w:styleId="84">
    <w:name w:val="样式1 Char Char Char"/>
    <w:link w:val="83"/>
    <w:qFormat/>
    <w:uiPriority w:val="0"/>
    <w:rPr>
      <w:rFonts w:eastAsia="宋体"/>
      <w:kern w:val="2"/>
      <w:sz w:val="24"/>
      <w:lang w:val="en-US" w:eastAsia="zh-CN" w:bidi="ar-SA"/>
    </w:rPr>
  </w:style>
  <w:style w:type="paragraph" w:customStyle="1" w:styleId="85">
    <w:name w:val="样式1"/>
    <w:basedOn w:val="46"/>
    <w:link w:val="86"/>
    <w:qFormat/>
    <w:uiPriority w:val="0"/>
    <w:pPr>
      <w:spacing w:before="120" w:after="120"/>
    </w:pPr>
    <w:rPr>
      <w:rFonts w:eastAsia="黑体" w:cs="Arial"/>
      <w:b w:val="0"/>
      <w:sz w:val="30"/>
      <w:szCs w:val="21"/>
    </w:rPr>
  </w:style>
  <w:style w:type="character" w:customStyle="1" w:styleId="86">
    <w:name w:val="样式1 Char"/>
    <w:link w:val="85"/>
    <w:qFormat/>
    <w:uiPriority w:val="0"/>
    <w:rPr>
      <w:rFonts w:ascii="Arial" w:hAnsi="Arial" w:eastAsia="黑体" w:cs="Arial"/>
      <w:bCs/>
      <w:kern w:val="2"/>
      <w:sz w:val="30"/>
      <w:szCs w:val="21"/>
      <w:lang w:val="en-US" w:eastAsia="zh-CN" w:bidi="ar-SA"/>
    </w:rPr>
  </w:style>
  <w:style w:type="paragraph" w:customStyle="1" w:styleId="87">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qFormat/>
    <w:uiPriority w:val="0"/>
    <w:rPr>
      <w:rFonts w:ascii="仿宋_GB2312" w:eastAsia="仿宋_GB2312"/>
      <w:b/>
      <w:sz w:val="32"/>
      <w:szCs w:val="32"/>
    </w:rPr>
  </w:style>
  <w:style w:type="character" w:customStyle="1" w:styleId="91">
    <w:name w:val="tpc_title1"/>
    <w:qFormat/>
    <w:uiPriority w:val="0"/>
    <w:rPr>
      <w:b/>
      <w:bCs/>
      <w:sz w:val="18"/>
      <w:szCs w:val="18"/>
    </w:rPr>
  </w:style>
  <w:style w:type="character" w:customStyle="1" w:styleId="92">
    <w:name w:val="tpc_content1"/>
    <w:qFormat/>
    <w:uiPriority w:val="0"/>
    <w:rPr>
      <w:sz w:val="20"/>
      <w:szCs w:val="20"/>
    </w:rPr>
  </w:style>
  <w:style w:type="paragraph" w:customStyle="1" w:styleId="9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qFormat/>
    <w:uiPriority w:val="0"/>
    <w:pPr>
      <w:ind w:firstLine="420" w:firstLineChars="200"/>
    </w:pPr>
  </w:style>
  <w:style w:type="character" w:customStyle="1" w:styleId="95">
    <w:name w:val="列表段落 字符"/>
    <w:link w:val="94"/>
    <w:qFormat/>
    <w:uiPriority w:val="34"/>
    <w:rPr>
      <w:kern w:val="2"/>
      <w:sz w:val="21"/>
      <w:szCs w:val="24"/>
    </w:rPr>
  </w:style>
  <w:style w:type="paragraph" w:customStyle="1" w:styleId="96">
    <w:name w:val="正文1"/>
    <w:basedOn w:val="1"/>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98">
    <w:name w:val="缩进正文"/>
    <w:basedOn w:val="1"/>
    <w:link w:val="99"/>
    <w:qFormat/>
    <w:uiPriority w:val="0"/>
    <w:pPr>
      <w:ind w:firstLine="560" w:firstLineChars="200"/>
    </w:pPr>
    <w:rPr>
      <w:rFonts w:eastAsia="仿宋_GB2312" w:cs="宋体"/>
      <w:sz w:val="28"/>
      <w:szCs w:val="20"/>
    </w:rPr>
  </w:style>
  <w:style w:type="character" w:customStyle="1" w:styleId="99">
    <w:name w:val="缩进正文 Char"/>
    <w:link w:val="98"/>
    <w:qFormat/>
    <w:uiPriority w:val="0"/>
    <w:rPr>
      <w:rFonts w:eastAsia="仿宋_GB2312" w:cs="宋体"/>
      <w:kern w:val="2"/>
      <w:sz w:val="28"/>
      <w:lang w:val="en-US" w:eastAsia="zh-CN" w:bidi="ar-SA"/>
    </w:rPr>
  </w:style>
  <w:style w:type="character" w:customStyle="1" w:styleId="100">
    <w:name w:val="访问过的超链接1"/>
    <w:qFormat/>
    <w:uiPriority w:val="0"/>
    <w:rPr>
      <w:color w:val="800080"/>
      <w:u w:val="single"/>
    </w:rPr>
  </w:style>
  <w:style w:type="paragraph" w:customStyle="1" w:styleId="101">
    <w:name w:val="Char Char Char Char Char Char Char"/>
    <w:basedOn w:val="1"/>
    <w:qFormat/>
    <w:uiPriority w:val="0"/>
    <w:pPr>
      <w:widowControl/>
      <w:adjustRightInd w:val="0"/>
      <w:spacing w:after="160" w:line="240" w:lineRule="exact"/>
      <w:jc w:val="left"/>
      <w:textAlignment w:val="baseline"/>
    </w:pPr>
  </w:style>
  <w:style w:type="character" w:customStyle="1" w:styleId="102">
    <w:name w:val="正文缩进 Char1"/>
    <w:qFormat/>
    <w:uiPriority w:val="0"/>
    <w:rPr>
      <w:rFonts w:eastAsia="宋体"/>
      <w:kern w:val="2"/>
      <w:sz w:val="21"/>
      <w:lang w:val="en-US" w:eastAsia="zh-CN" w:bidi="ar-SA"/>
    </w:rPr>
  </w:style>
  <w:style w:type="paragraph" w:customStyle="1" w:styleId="103">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4">
    <w:name w:val="列出段落11"/>
    <w:basedOn w:val="1"/>
    <w:unhideWhenUsed/>
    <w:qFormat/>
    <w:uiPriority w:val="34"/>
    <w:pPr>
      <w:ind w:firstLine="420" w:firstLineChars="200"/>
    </w:pPr>
  </w:style>
  <w:style w:type="paragraph" w:customStyle="1" w:styleId="105">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6">
    <w:name w:val="font11"/>
    <w:basedOn w:val="52"/>
    <w:qFormat/>
    <w:uiPriority w:val="0"/>
    <w:rPr>
      <w:rFonts w:hint="eastAsia" w:ascii="宋体" w:hAnsi="宋体" w:eastAsia="宋体" w:cs="宋体"/>
      <w:b/>
      <w:color w:val="000000"/>
      <w:sz w:val="21"/>
      <w:szCs w:val="21"/>
      <w:u w:val="none"/>
    </w:rPr>
  </w:style>
  <w:style w:type="character" w:customStyle="1" w:styleId="107">
    <w:name w:val="批注文字 Char1"/>
    <w:qFormat/>
    <w:locked/>
    <w:uiPriority w:val="0"/>
    <w:rPr>
      <w:rFonts w:ascii="Calibri" w:hAnsi="Calibri" w:eastAsia="宋体" w:cs="Calibri"/>
      <w:szCs w:val="21"/>
    </w:rPr>
  </w:style>
  <w:style w:type="character" w:customStyle="1" w:styleId="108">
    <w:name w:val="title1"/>
    <w:qFormat/>
    <w:uiPriority w:val="0"/>
    <w:rPr>
      <w:rFonts w:hint="eastAsia" w:ascii="微软雅黑" w:hAnsi="微软雅黑" w:eastAsia="微软雅黑"/>
      <w:sz w:val="21"/>
      <w:szCs w:val="21"/>
    </w:rPr>
  </w:style>
  <w:style w:type="character" w:customStyle="1" w:styleId="109">
    <w:name w:val="sect2title1"/>
    <w:qFormat/>
    <w:uiPriority w:val="0"/>
    <w:rPr>
      <w:rFonts w:hint="eastAsia" w:ascii="微软雅黑" w:hAnsi="微软雅黑" w:eastAsia="微软雅黑"/>
      <w:b/>
      <w:bCs/>
      <w:sz w:val="21"/>
      <w:szCs w:val="21"/>
    </w:rPr>
  </w:style>
  <w:style w:type="paragraph" w:customStyle="1" w:styleId="110">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qFormat/>
    <w:uiPriority w:val="0"/>
    <w:rPr>
      <w:rFonts w:ascii="Tahoma" w:hAnsi="Tahoma" w:eastAsia="Tahoma" w:cs="Tahoma"/>
      <w:color w:val="000000"/>
      <w:sz w:val="20"/>
      <w:szCs w:val="20"/>
      <w:u w:val="none"/>
    </w:rPr>
  </w:style>
  <w:style w:type="paragraph" w:customStyle="1" w:styleId="112">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qFormat/>
    <w:uiPriority w:val="0"/>
    <w:rPr>
      <w:rFonts w:hint="eastAsia" w:ascii="仿宋_GB2312" w:eastAsia="仿宋_GB2312" w:cs="仿宋_GB2312"/>
      <w:color w:val="000000"/>
      <w:sz w:val="20"/>
      <w:szCs w:val="20"/>
      <w:u w:val="none"/>
    </w:rPr>
  </w:style>
  <w:style w:type="character" w:customStyle="1" w:styleId="167">
    <w:name w:val="font31"/>
    <w:basedOn w:val="52"/>
    <w:qFormat/>
    <w:uiPriority w:val="0"/>
    <w:rPr>
      <w:rFonts w:hint="default" w:ascii="Symbol" w:hAnsi="Symbol" w:cs="Symbol"/>
      <w:color w:val="000000"/>
      <w:sz w:val="20"/>
      <w:szCs w:val="20"/>
      <w:u w:val="none"/>
    </w:rPr>
  </w:style>
  <w:style w:type="character" w:customStyle="1" w:styleId="168">
    <w:name w:val="font71"/>
    <w:basedOn w:val="52"/>
    <w:qFormat/>
    <w:uiPriority w:val="0"/>
    <w:rPr>
      <w:rFonts w:ascii="Arial" w:hAnsi="Arial" w:cs="Arial"/>
      <w:color w:val="000000"/>
      <w:sz w:val="20"/>
      <w:szCs w:val="20"/>
      <w:u w:val="none"/>
    </w:rPr>
  </w:style>
  <w:style w:type="character" w:customStyle="1" w:styleId="169">
    <w:name w:val="font21"/>
    <w:basedOn w:val="52"/>
    <w:qFormat/>
    <w:uiPriority w:val="0"/>
    <w:rPr>
      <w:rFonts w:hint="default" w:ascii="Symbol" w:hAnsi="Symbol" w:cs="Symbol"/>
      <w:color w:val="000000"/>
      <w:sz w:val="20"/>
      <w:szCs w:val="20"/>
      <w:u w:val="none"/>
    </w:rPr>
  </w:style>
  <w:style w:type="character" w:customStyle="1" w:styleId="170">
    <w:name w:val="font91"/>
    <w:basedOn w:val="52"/>
    <w:qFormat/>
    <w:uiPriority w:val="0"/>
    <w:rPr>
      <w:rFonts w:ascii="Arial" w:hAnsi="Arial" w:cs="Arial"/>
      <w:color w:val="000000"/>
      <w:sz w:val="20"/>
      <w:szCs w:val="20"/>
      <w:u w:val="none"/>
    </w:rPr>
  </w:style>
  <w:style w:type="character" w:customStyle="1" w:styleId="171">
    <w:name w:val="font51"/>
    <w:basedOn w:val="52"/>
    <w:qFormat/>
    <w:uiPriority w:val="0"/>
    <w:rPr>
      <w:rFonts w:ascii="仿宋" w:hAnsi="仿宋" w:eastAsia="仿宋" w:cs="仿宋"/>
      <w:color w:val="000000"/>
      <w:sz w:val="21"/>
      <w:szCs w:val="21"/>
      <w:u w:val="none"/>
    </w:rPr>
  </w:style>
  <w:style w:type="character" w:customStyle="1" w:styleId="172">
    <w:name w:val="font101"/>
    <w:basedOn w:val="52"/>
    <w:qFormat/>
    <w:uiPriority w:val="0"/>
    <w:rPr>
      <w:rFonts w:hint="eastAsia" w:ascii="仿宋_GB2312" w:eastAsia="仿宋_GB2312" w:cs="仿宋_GB2312"/>
      <w:color w:val="000000"/>
      <w:sz w:val="20"/>
      <w:szCs w:val="20"/>
      <w:u w:val="none"/>
    </w:rPr>
  </w:style>
  <w:style w:type="character" w:customStyle="1" w:styleId="173">
    <w:name w:val="font61"/>
    <w:basedOn w:val="52"/>
    <w:qFormat/>
    <w:uiPriority w:val="0"/>
    <w:rPr>
      <w:rFonts w:hint="eastAsia" w:ascii="宋体" w:hAnsi="宋体" w:eastAsia="宋体" w:cs="宋体"/>
      <w:color w:val="000000"/>
      <w:sz w:val="20"/>
      <w:szCs w:val="20"/>
      <w:u w:val="none"/>
    </w:rPr>
  </w:style>
  <w:style w:type="character" w:customStyle="1" w:styleId="174">
    <w:name w:val="font81"/>
    <w:basedOn w:val="52"/>
    <w:qFormat/>
    <w:uiPriority w:val="0"/>
    <w:rPr>
      <w:rFonts w:hint="eastAsia" w:ascii="仿宋" w:hAnsi="仿宋" w:eastAsia="仿宋" w:cs="仿宋"/>
      <w:color w:val="000000"/>
      <w:sz w:val="21"/>
      <w:szCs w:val="21"/>
      <w:u w:val="none"/>
    </w:rPr>
  </w:style>
  <w:style w:type="character" w:customStyle="1" w:styleId="175">
    <w:name w:val="font111"/>
    <w:basedOn w:val="52"/>
    <w:qFormat/>
    <w:uiPriority w:val="0"/>
    <w:rPr>
      <w:rFonts w:hint="eastAsia" w:ascii="仿宋_GB2312" w:eastAsia="仿宋_GB2312" w:cs="仿宋_GB2312"/>
      <w:color w:val="000000"/>
      <w:sz w:val="21"/>
      <w:szCs w:val="21"/>
      <w:u w:val="none"/>
    </w:rPr>
  </w:style>
  <w:style w:type="character" w:customStyle="1" w:styleId="176">
    <w:name w:val="font121"/>
    <w:basedOn w:val="52"/>
    <w:qFormat/>
    <w:uiPriority w:val="0"/>
    <w:rPr>
      <w:rFonts w:ascii="Arial" w:hAnsi="Arial" w:cs="Arial"/>
      <w:color w:val="000000"/>
      <w:sz w:val="20"/>
      <w:szCs w:val="20"/>
      <w:u w:val="none"/>
    </w:rPr>
  </w:style>
  <w:style w:type="character" w:customStyle="1" w:styleId="177">
    <w:name w:val="font112"/>
    <w:basedOn w:val="52"/>
    <w:qFormat/>
    <w:uiPriority w:val="0"/>
    <w:rPr>
      <w:rFonts w:hint="eastAsia" w:ascii="仿宋_GB2312" w:eastAsia="仿宋_GB2312" w:cs="仿宋_GB2312"/>
      <w:color w:val="000000"/>
      <w:sz w:val="21"/>
      <w:szCs w:val="21"/>
      <w:u w:val="none"/>
    </w:rPr>
  </w:style>
  <w:style w:type="paragraph" w:customStyle="1" w:styleId="178">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qFormat/>
    <w:uiPriority w:val="0"/>
    <w:pPr>
      <w:spacing w:beforeLines="50"/>
      <w:ind w:firstLine="200" w:firstLineChars="200"/>
    </w:pPr>
    <w:rPr>
      <w:rFonts w:ascii="Calibri" w:hAnsi="Calibri" w:eastAsia="华文仿宋"/>
      <w:szCs w:val="22"/>
    </w:rPr>
  </w:style>
  <w:style w:type="paragraph" w:customStyle="1" w:styleId="256">
    <w:name w:val="正文A缩进"/>
    <w:basedOn w:val="1"/>
    <w:qFormat/>
    <w:uiPriority w:val="0"/>
    <w:pPr>
      <w:spacing w:line="360" w:lineRule="auto"/>
      <w:ind w:firstLine="200" w:firstLineChars="200"/>
    </w:pPr>
    <w:rPr>
      <w:kern w:val="0"/>
      <w:sz w:val="28"/>
      <w:szCs w:val="20"/>
    </w:rPr>
  </w:style>
  <w:style w:type="paragraph" w:customStyle="1" w:styleId="257">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8">
    <w:name w:val="标题 5 Char"/>
    <w:basedOn w:val="52"/>
    <w:qFormat/>
    <w:uiPriority w:val="0"/>
    <w:rPr>
      <w:b/>
      <w:bCs/>
      <w:kern w:val="2"/>
      <w:sz w:val="28"/>
      <w:szCs w:val="28"/>
    </w:rPr>
  </w:style>
  <w:style w:type="character" w:customStyle="1" w:styleId="259">
    <w:name w:val="标题 6 Char"/>
    <w:basedOn w:val="52"/>
    <w:qFormat/>
    <w:uiPriority w:val="9"/>
    <w:rPr>
      <w:rFonts w:asciiTheme="majorHAnsi" w:hAnsiTheme="majorHAnsi" w:eastAsiaTheme="majorEastAsia" w:cstheme="majorBidi"/>
      <w:b/>
      <w:bCs/>
      <w:kern w:val="2"/>
      <w:sz w:val="24"/>
      <w:szCs w:val="24"/>
    </w:rPr>
  </w:style>
  <w:style w:type="character" w:customStyle="1" w:styleId="260">
    <w:name w:val="标题 7 Char"/>
    <w:basedOn w:val="52"/>
    <w:qFormat/>
    <w:uiPriority w:val="9"/>
    <w:rPr>
      <w:b/>
      <w:bCs/>
      <w:kern w:val="2"/>
      <w:sz w:val="24"/>
      <w:szCs w:val="24"/>
    </w:rPr>
  </w:style>
  <w:style w:type="character" w:customStyle="1" w:styleId="261">
    <w:name w:val="标题 8 Char"/>
    <w:basedOn w:val="52"/>
    <w:qFormat/>
    <w:uiPriority w:val="9"/>
    <w:rPr>
      <w:rFonts w:asciiTheme="majorHAnsi" w:hAnsiTheme="majorHAnsi" w:eastAsiaTheme="majorEastAsia" w:cstheme="majorBidi"/>
      <w:kern w:val="2"/>
      <w:sz w:val="24"/>
      <w:szCs w:val="24"/>
    </w:rPr>
  </w:style>
  <w:style w:type="character" w:customStyle="1" w:styleId="262">
    <w:name w:val="标题 9 Char"/>
    <w:basedOn w:val="52"/>
    <w:qFormat/>
    <w:uiPriority w:val="0"/>
    <w:rPr>
      <w:rFonts w:asciiTheme="majorHAnsi" w:hAnsiTheme="majorHAnsi" w:eastAsiaTheme="majorEastAsia" w:cstheme="majorBidi"/>
      <w:kern w:val="2"/>
      <w:sz w:val="21"/>
      <w:szCs w:val="21"/>
    </w:rPr>
  </w:style>
  <w:style w:type="paragraph" w:customStyle="1" w:styleId="263">
    <w:name w:val="！表格内容"/>
    <w:basedOn w:val="1"/>
    <w:qFormat/>
    <w:uiPriority w:val="0"/>
    <w:pPr>
      <w:spacing w:line="320" w:lineRule="atLeast"/>
    </w:pPr>
  </w:style>
  <w:style w:type="character" w:customStyle="1" w:styleId="264">
    <w:name w:val="页眉 Char2"/>
    <w:basedOn w:val="52"/>
    <w:qFormat/>
    <w:uiPriority w:val="99"/>
    <w:rPr>
      <w:rFonts w:ascii="Times New Roman" w:hAnsi="Times New Roman" w:eastAsia="宋体" w:cs="Times New Roman"/>
      <w:sz w:val="18"/>
      <w:szCs w:val="18"/>
    </w:rPr>
  </w:style>
  <w:style w:type="character" w:customStyle="1" w:styleId="265">
    <w:name w:val="页脚 Char1"/>
    <w:basedOn w:val="52"/>
    <w:qFormat/>
    <w:uiPriority w:val="99"/>
    <w:rPr>
      <w:rFonts w:ascii="Times New Roman" w:hAnsi="Times New Roman" w:eastAsia="宋体" w:cs="Times New Roman"/>
      <w:sz w:val="18"/>
      <w:szCs w:val="18"/>
    </w:rPr>
  </w:style>
  <w:style w:type="paragraph" w:customStyle="1" w:styleId="266">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qFormat/>
    <w:uiPriority w:val="99"/>
    <w:rPr>
      <w:rFonts w:ascii="Times New Roman" w:hAnsi="Times New Roman" w:eastAsia="宋体" w:cs="Times New Roman"/>
      <w:szCs w:val="24"/>
    </w:rPr>
  </w:style>
  <w:style w:type="character" w:customStyle="1" w:styleId="268">
    <w:name w:val="文档结构图 Char1"/>
    <w:basedOn w:val="52"/>
    <w:qFormat/>
    <w:uiPriority w:val="0"/>
    <w:rPr>
      <w:rFonts w:ascii="宋体" w:hAnsi="Times New Roman" w:eastAsia="宋体" w:cs="Times New Roman"/>
      <w:sz w:val="18"/>
      <w:szCs w:val="18"/>
    </w:rPr>
  </w:style>
  <w:style w:type="character" w:customStyle="1" w:styleId="269">
    <w:name w:val="批注主题 Char1"/>
    <w:basedOn w:val="107"/>
    <w:qFormat/>
    <w:uiPriority w:val="0"/>
    <w:rPr>
      <w:rFonts w:ascii="Times New Roman" w:hAnsi="Times New Roman" w:eastAsia="宋体" w:cs="Times New Roman"/>
      <w:b/>
      <w:bCs/>
      <w:szCs w:val="24"/>
    </w:rPr>
  </w:style>
  <w:style w:type="character" w:customStyle="1" w:styleId="270">
    <w:name w:val="批注框文本 Char1"/>
    <w:basedOn w:val="52"/>
    <w:qFormat/>
    <w:uiPriority w:val="0"/>
    <w:rPr>
      <w:rFonts w:ascii="Times New Roman" w:hAnsi="Times New Roman" w:eastAsia="宋体" w:cs="Times New Roman"/>
      <w:sz w:val="18"/>
      <w:szCs w:val="18"/>
    </w:rPr>
  </w:style>
  <w:style w:type="character" w:customStyle="1" w:styleId="271">
    <w:name w:val="标题 1 Char1"/>
    <w:basedOn w:val="52"/>
    <w:qFormat/>
    <w:uiPriority w:val="0"/>
    <w:rPr>
      <w:b/>
      <w:bCs/>
      <w:kern w:val="44"/>
      <w:sz w:val="44"/>
      <w:szCs w:val="44"/>
    </w:rPr>
  </w:style>
  <w:style w:type="character" w:customStyle="1" w:styleId="272">
    <w:name w:val="标题 2 Char1"/>
    <w:basedOn w:val="52"/>
    <w:qFormat/>
    <w:uiPriority w:val="0"/>
    <w:rPr>
      <w:rFonts w:asciiTheme="majorHAnsi" w:hAnsiTheme="majorHAnsi" w:eastAsiaTheme="majorEastAsia" w:cstheme="majorBidi"/>
      <w:b/>
      <w:bCs/>
      <w:kern w:val="2"/>
      <w:sz w:val="32"/>
      <w:szCs w:val="32"/>
    </w:rPr>
  </w:style>
  <w:style w:type="character" w:customStyle="1" w:styleId="273">
    <w:name w:val="标题 3 Char1"/>
    <w:basedOn w:val="52"/>
    <w:qFormat/>
    <w:uiPriority w:val="99"/>
    <w:rPr>
      <w:rFonts w:ascii="宋体" w:hAnsi="Arial"/>
      <w:b/>
      <w:kern w:val="2"/>
      <w:sz w:val="28"/>
    </w:rPr>
  </w:style>
  <w:style w:type="character" w:customStyle="1" w:styleId="274">
    <w:name w:val="Char Char3"/>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qFormat/>
    <w:uiPriority w:val="0"/>
    <w:rPr>
      <w:rFonts w:eastAsia="Times New Roman"/>
      <w:sz w:val="24"/>
      <w:szCs w:val="24"/>
    </w:rPr>
  </w:style>
  <w:style w:type="paragraph" w:customStyle="1" w:styleId="276">
    <w:name w:val="正文－段落"/>
    <w:link w:val="275"/>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qFormat/>
    <w:uiPriority w:val="0"/>
    <w:rPr>
      <w:rFonts w:ascii="宋体" w:hAnsi="Courier New"/>
      <w:spacing w:val="-8"/>
      <w:kern w:val="2"/>
      <w:sz w:val="24"/>
    </w:rPr>
  </w:style>
  <w:style w:type="character" w:customStyle="1" w:styleId="278">
    <w:name w:val="日期 Char"/>
    <w:qFormat/>
    <w:uiPriority w:val="0"/>
    <w:rPr>
      <w:rFonts w:ascii="宋体" w:hAnsi="宋体"/>
      <w:sz w:val="24"/>
    </w:rPr>
  </w:style>
  <w:style w:type="character" w:customStyle="1" w:styleId="279">
    <w:name w:val="Char Char9"/>
    <w:qFormat/>
    <w:uiPriority w:val="0"/>
    <w:rPr>
      <w:rFonts w:hint="default" w:ascii="Calibri" w:hAnsi="Calibri" w:eastAsia="宋体"/>
      <w:sz w:val="18"/>
      <w:szCs w:val="18"/>
      <w:lang w:bidi="ar-SA"/>
    </w:rPr>
  </w:style>
  <w:style w:type="character" w:customStyle="1" w:styleId="280">
    <w:name w:val="Char Char17"/>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qFormat/>
    <w:uiPriority w:val="0"/>
    <w:rPr>
      <w:rFonts w:ascii="黑体" w:hAnsi="Courier New" w:eastAsia="黑体" w:cs="Courier New"/>
    </w:rPr>
  </w:style>
  <w:style w:type="character" w:customStyle="1" w:styleId="282">
    <w:name w:val="1.5倍行距 Char Char"/>
    <w:link w:val="283"/>
    <w:qFormat/>
    <w:uiPriority w:val="0"/>
    <w:rPr>
      <w:kern w:val="2"/>
      <w:sz w:val="21"/>
      <w:szCs w:val="24"/>
    </w:rPr>
  </w:style>
  <w:style w:type="paragraph" w:customStyle="1" w:styleId="283">
    <w:name w:val="1.5倍行距"/>
    <w:basedOn w:val="1"/>
    <w:link w:val="282"/>
    <w:qFormat/>
    <w:uiPriority w:val="0"/>
    <w:pPr>
      <w:spacing w:line="360" w:lineRule="auto"/>
      <w:ind w:firstLine="420"/>
    </w:pPr>
  </w:style>
  <w:style w:type="character" w:customStyle="1" w:styleId="284">
    <w:name w:val="H2 Char1"/>
    <w:qFormat/>
    <w:uiPriority w:val="0"/>
    <w:rPr>
      <w:rFonts w:ascii="Cambria" w:hAnsi="Cambria"/>
      <w:b/>
      <w:bCs/>
      <w:sz w:val="32"/>
      <w:szCs w:val="32"/>
    </w:rPr>
  </w:style>
  <w:style w:type="character" w:customStyle="1" w:styleId="285">
    <w:name w:val="Char Char4"/>
    <w:qFormat/>
    <w:uiPriority w:val="0"/>
    <w:rPr>
      <w:rFonts w:hint="default" w:ascii="Calibri" w:hAnsi="Calibri" w:eastAsia="宋体"/>
      <w:kern w:val="2"/>
      <w:sz w:val="21"/>
      <w:szCs w:val="22"/>
      <w:lang w:val="en-US" w:eastAsia="zh-CN" w:bidi="ar-SA"/>
    </w:rPr>
  </w:style>
  <w:style w:type="character" w:customStyle="1" w:styleId="286">
    <w:name w:val="正文文本缩进 2 Char"/>
    <w:qFormat/>
    <w:uiPriority w:val="0"/>
    <w:rPr>
      <w:kern w:val="2"/>
      <w:sz w:val="21"/>
    </w:rPr>
  </w:style>
  <w:style w:type="character" w:customStyle="1" w:styleId="287">
    <w:name w:val="签名 Char1"/>
    <w:link w:val="33"/>
    <w:qFormat/>
    <w:uiPriority w:val="0"/>
    <w:rPr>
      <w:rFonts w:eastAsia="楷体_GB2312"/>
      <w:kern w:val="2"/>
      <w:sz w:val="21"/>
    </w:rPr>
  </w:style>
  <w:style w:type="character" w:customStyle="1" w:styleId="288">
    <w:name w:val="标题2 Char"/>
    <w:link w:val="289"/>
    <w:qFormat/>
    <w:uiPriority w:val="0"/>
    <w:rPr>
      <w:rFonts w:ascii="仿宋" w:hAnsi="仿宋" w:eastAsia="仿宋"/>
      <w:b/>
      <w:bCs/>
      <w:color w:val="000000"/>
      <w:kern w:val="2"/>
      <w:sz w:val="24"/>
      <w:szCs w:val="24"/>
    </w:rPr>
  </w:style>
  <w:style w:type="paragraph" w:customStyle="1" w:styleId="289">
    <w:name w:val="标题2"/>
    <w:basedOn w:val="290"/>
    <w:link w:val="288"/>
    <w:qFormat/>
    <w:uiPriority w:val="0"/>
    <w:pPr>
      <w:tabs>
        <w:tab w:val="left" w:pos="425"/>
        <w:tab w:val="left" w:pos="709"/>
        <w:tab w:val="left" w:pos="851"/>
        <w:tab w:val="left" w:pos="1419"/>
      </w:tabs>
    </w:pPr>
    <w:rPr>
      <w:szCs w:val="24"/>
    </w:rPr>
  </w:style>
  <w:style w:type="paragraph" w:customStyle="1" w:styleId="290">
    <w:name w:val="三级"/>
    <w:basedOn w:val="3"/>
    <w:link w:val="291"/>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qFormat/>
    <w:uiPriority w:val="0"/>
    <w:rPr>
      <w:rFonts w:ascii="仿宋" w:hAnsi="仿宋" w:eastAsia="仿宋"/>
      <w:b/>
      <w:bCs/>
      <w:color w:val="000000"/>
      <w:kern w:val="2"/>
      <w:sz w:val="32"/>
      <w:szCs w:val="32"/>
    </w:rPr>
  </w:style>
  <w:style w:type="character" w:customStyle="1" w:styleId="292">
    <w:name w:val="正文首行缩进 2 Char"/>
    <w:link w:val="49"/>
    <w:qFormat/>
    <w:uiPriority w:val="0"/>
    <w:rPr>
      <w:sz w:val="24"/>
      <w:szCs w:val="24"/>
    </w:rPr>
  </w:style>
  <w:style w:type="character" w:customStyle="1" w:styleId="293">
    <w:name w:val="正文首行缩进 Char Char Char1"/>
    <w:qFormat/>
    <w:uiPriority w:val="0"/>
    <w:rPr>
      <w:rFonts w:ascii="Times New Roman" w:hAnsi="Times New Roman"/>
      <w:kern w:val="2"/>
      <w:sz w:val="24"/>
      <w:szCs w:val="24"/>
    </w:rPr>
  </w:style>
  <w:style w:type="character" w:customStyle="1" w:styleId="294">
    <w:name w:val="标题 Char1"/>
    <w:qFormat/>
    <w:uiPriority w:val="0"/>
    <w:rPr>
      <w:rFonts w:ascii="Arial" w:hAnsi="Arial"/>
      <w:b/>
      <w:kern w:val="2"/>
      <w:sz w:val="36"/>
      <w:szCs w:val="24"/>
    </w:rPr>
  </w:style>
  <w:style w:type="character" w:customStyle="1" w:styleId="295">
    <w:name w:val="正文文本 字符"/>
    <w:qFormat/>
    <w:uiPriority w:val="0"/>
    <w:rPr>
      <w:rFonts w:eastAsia="宋体"/>
      <w:kern w:val="2"/>
      <w:sz w:val="21"/>
      <w:szCs w:val="24"/>
      <w:lang w:bidi="ar-SA"/>
    </w:rPr>
  </w:style>
  <w:style w:type="character" w:customStyle="1" w:styleId="296">
    <w:name w:val="正文文本缩进 Char"/>
    <w:qFormat/>
    <w:uiPriority w:val="0"/>
    <w:rPr>
      <w:kern w:val="2"/>
      <w:sz w:val="24"/>
    </w:rPr>
  </w:style>
  <w:style w:type="character" w:customStyle="1" w:styleId="297">
    <w:name w:val="题注 Char1"/>
    <w:link w:val="15"/>
    <w:qFormat/>
    <w:uiPriority w:val="0"/>
    <w:rPr>
      <w:rFonts w:ascii="Cambria" w:hAnsi="Cambria" w:eastAsia="黑体"/>
      <w:kern w:val="2"/>
      <w:sz w:val="21"/>
      <w:szCs w:val="24"/>
    </w:rPr>
  </w:style>
  <w:style w:type="character" w:customStyle="1" w:styleId="298">
    <w:name w:val="bt Char1"/>
    <w:qFormat/>
    <w:uiPriority w:val="0"/>
    <w:rPr>
      <w:rFonts w:ascii="Times New Roman" w:hAnsi="Times New Roman"/>
      <w:kern w:val="2"/>
      <w:sz w:val="24"/>
      <w:szCs w:val="24"/>
    </w:rPr>
  </w:style>
  <w:style w:type="character" w:customStyle="1" w:styleId="299">
    <w:name w:val="Char Char18"/>
    <w:qFormat/>
    <w:uiPriority w:val="0"/>
    <w:rPr>
      <w:rFonts w:hint="default" w:ascii="Cambria" w:hAnsi="Cambria" w:eastAsia="宋体"/>
      <w:b/>
      <w:bCs/>
      <w:sz w:val="32"/>
      <w:szCs w:val="32"/>
      <w:lang w:bidi="ar-SA"/>
    </w:rPr>
  </w:style>
  <w:style w:type="character" w:customStyle="1" w:styleId="300">
    <w:name w:val="四级 Char"/>
    <w:link w:val="301"/>
    <w:qFormat/>
    <w:uiPriority w:val="0"/>
    <w:rPr>
      <w:rFonts w:ascii="仿宋" w:hAnsi="仿宋" w:eastAsia="仿宋"/>
      <w:bCs/>
      <w:kern w:val="2"/>
      <w:sz w:val="32"/>
      <w:szCs w:val="32"/>
    </w:rPr>
  </w:style>
  <w:style w:type="paragraph" w:customStyle="1" w:styleId="301">
    <w:name w:val="四级"/>
    <w:basedOn w:val="5"/>
    <w:link w:val="300"/>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qFormat/>
    <w:uiPriority w:val="0"/>
  </w:style>
  <w:style w:type="character" w:customStyle="1" w:styleId="303">
    <w:name w:val="p141"/>
    <w:qFormat/>
    <w:uiPriority w:val="0"/>
    <w:rPr>
      <w:sz w:val="21"/>
      <w:szCs w:val="21"/>
    </w:rPr>
  </w:style>
  <w:style w:type="character" w:customStyle="1" w:styleId="304">
    <w:name w:val="正文文本缩进 3 Char"/>
    <w:qFormat/>
    <w:uiPriority w:val="0"/>
    <w:rPr>
      <w:kern w:val="2"/>
      <w:sz w:val="21"/>
    </w:rPr>
  </w:style>
  <w:style w:type="character" w:customStyle="1" w:styleId="305">
    <w:name w:val="Char Char13"/>
    <w:qFormat/>
    <w:uiPriority w:val="0"/>
    <w:rPr>
      <w:rFonts w:ascii="Cambria" w:hAnsi="Cambria" w:eastAsia="宋体"/>
      <w:sz w:val="24"/>
      <w:szCs w:val="24"/>
      <w:lang w:bidi="ar-SA"/>
    </w:rPr>
  </w:style>
  <w:style w:type="character" w:customStyle="1" w:styleId="306">
    <w:name w:val="正文文本 2 Char1"/>
    <w:link w:val="43"/>
    <w:qFormat/>
    <w:uiPriority w:val="0"/>
    <w:rPr>
      <w:kern w:val="2"/>
      <w:sz w:val="28"/>
    </w:rPr>
  </w:style>
  <w:style w:type="character" w:customStyle="1" w:styleId="307">
    <w:name w:val="Char Char5"/>
    <w:qFormat/>
    <w:uiPriority w:val="0"/>
    <w:rPr>
      <w:rFonts w:ascii="宋体" w:hAnsi="宋体" w:eastAsia="宋体"/>
      <w:b/>
      <w:bCs/>
      <w:szCs w:val="24"/>
      <w:lang w:bidi="ar-SA"/>
    </w:rPr>
  </w:style>
  <w:style w:type="character" w:customStyle="1" w:styleId="308">
    <w:name w:val="正文文本 2 Char"/>
    <w:qFormat/>
    <w:uiPriority w:val="0"/>
    <w:rPr>
      <w:kern w:val="2"/>
      <w:sz w:val="28"/>
    </w:rPr>
  </w:style>
  <w:style w:type="character" w:customStyle="1" w:styleId="309">
    <w:name w:val="Char Char6"/>
    <w:qFormat/>
    <w:uiPriority w:val="0"/>
    <w:rPr>
      <w:rFonts w:ascii="宋体" w:hAnsi="宋体" w:eastAsia="宋体"/>
      <w:szCs w:val="24"/>
      <w:lang w:bidi="ar-SA"/>
    </w:rPr>
  </w:style>
  <w:style w:type="character" w:customStyle="1" w:styleId="310">
    <w:name w:val="Char Char15"/>
    <w:qFormat/>
    <w:uiPriority w:val="0"/>
    <w:rPr>
      <w:rFonts w:hint="default" w:ascii="Cambria" w:hAnsi="Cambria" w:eastAsia="宋体"/>
      <w:b/>
      <w:bCs/>
      <w:sz w:val="24"/>
      <w:szCs w:val="24"/>
      <w:lang w:bidi="ar-SA"/>
    </w:rPr>
  </w:style>
  <w:style w:type="character" w:customStyle="1" w:styleId="311">
    <w:name w:val="H4 Char"/>
    <w:qFormat/>
    <w:uiPriority w:val="0"/>
    <w:rPr>
      <w:rFonts w:ascii="Cambria" w:hAnsi="Cambria" w:eastAsia="仿宋_GB2312"/>
      <w:b/>
      <w:bCs/>
      <w:sz w:val="32"/>
      <w:szCs w:val="28"/>
    </w:rPr>
  </w:style>
  <w:style w:type="character" w:customStyle="1" w:styleId="312">
    <w:name w:val="Char Char20"/>
    <w:qFormat/>
    <w:uiPriority w:val="0"/>
    <w:rPr>
      <w:rFonts w:eastAsia="宋体"/>
      <w:b/>
      <w:kern w:val="2"/>
      <w:sz w:val="28"/>
      <w:lang w:bidi="ar-SA"/>
    </w:rPr>
  </w:style>
  <w:style w:type="character" w:customStyle="1" w:styleId="313">
    <w:name w:val="正文文本缩进 3 Char1"/>
    <w:link w:val="40"/>
    <w:qFormat/>
    <w:uiPriority w:val="0"/>
    <w:rPr>
      <w:kern w:val="2"/>
      <w:sz w:val="21"/>
    </w:rPr>
  </w:style>
  <w:style w:type="character" w:customStyle="1" w:styleId="314">
    <w:name w:val="Char Char16"/>
    <w:qFormat/>
    <w:uiPriority w:val="0"/>
    <w:rPr>
      <w:rFonts w:hint="eastAsia" w:ascii="仿宋_GB2313" w:hAnsi="仿宋_GB2313" w:eastAsia="仿宋_GB2312"/>
      <w:b/>
      <w:bCs/>
      <w:sz w:val="32"/>
      <w:szCs w:val="28"/>
      <w:lang w:bidi="ar-SA"/>
    </w:rPr>
  </w:style>
  <w:style w:type="character" w:customStyle="1" w:styleId="315">
    <w:name w:val="Char Char7"/>
    <w:qFormat/>
    <w:uiPriority w:val="0"/>
    <w:rPr>
      <w:rFonts w:ascii="宋体" w:hAnsi="宋体" w:eastAsia="宋体"/>
      <w:sz w:val="24"/>
      <w:szCs w:val="24"/>
      <w:lang w:bidi="ar-SA"/>
    </w:rPr>
  </w:style>
  <w:style w:type="character" w:customStyle="1" w:styleId="316">
    <w:name w:val="日期 Char1"/>
    <w:link w:val="28"/>
    <w:qFormat/>
    <w:uiPriority w:val="0"/>
    <w:rPr>
      <w:rFonts w:ascii="宋体" w:hAnsi="宋体"/>
      <w:kern w:val="2"/>
      <w:sz w:val="24"/>
      <w:szCs w:val="24"/>
    </w:rPr>
  </w:style>
  <w:style w:type="character" w:customStyle="1" w:styleId="317">
    <w:name w:val="Char Char12"/>
    <w:qFormat/>
    <w:uiPriority w:val="0"/>
    <w:rPr>
      <w:rFonts w:hint="default" w:ascii="Cambria" w:hAnsi="Cambria" w:eastAsia="宋体"/>
      <w:szCs w:val="21"/>
      <w:lang w:bidi="ar-SA"/>
    </w:rPr>
  </w:style>
  <w:style w:type="character" w:customStyle="1" w:styleId="318">
    <w:name w:val="标题 4 Char"/>
    <w:qFormat/>
    <w:uiPriority w:val="0"/>
    <w:rPr>
      <w:rFonts w:ascii="Arial" w:hAnsi="Arial" w:eastAsia="黑体"/>
      <w:b/>
      <w:kern w:val="2"/>
      <w:sz w:val="24"/>
    </w:rPr>
  </w:style>
  <w:style w:type="character" w:customStyle="1" w:styleId="319">
    <w:name w:val="Char Char2"/>
    <w:qFormat/>
    <w:uiPriority w:val="0"/>
    <w:rPr>
      <w:rFonts w:ascii="宋体" w:hAnsi="宋体" w:eastAsia="宋体"/>
      <w:kern w:val="2"/>
      <w:sz w:val="24"/>
      <w:szCs w:val="24"/>
      <w:lang w:val="en-US" w:eastAsia="zh-CN" w:bidi="ar-SA"/>
    </w:rPr>
  </w:style>
  <w:style w:type="character" w:customStyle="1" w:styleId="320">
    <w:name w:val="*正文 Char"/>
    <w:link w:val="321"/>
    <w:qFormat/>
    <w:uiPriority w:val="0"/>
    <w:rPr>
      <w:rFonts w:ascii="宋体" w:hAnsi="宋体"/>
      <w:sz w:val="24"/>
      <w:szCs w:val="24"/>
    </w:rPr>
  </w:style>
  <w:style w:type="paragraph" w:customStyle="1" w:styleId="321">
    <w:name w:val="*正文"/>
    <w:basedOn w:val="1"/>
    <w:link w:val="320"/>
    <w:qFormat/>
    <w:uiPriority w:val="0"/>
    <w:pPr>
      <w:spacing w:line="360" w:lineRule="auto"/>
      <w:ind w:firstLine="200" w:firstLineChars="200"/>
    </w:pPr>
    <w:rPr>
      <w:rFonts w:ascii="宋体" w:hAnsi="宋体"/>
      <w:kern w:val="0"/>
      <w:sz w:val="24"/>
    </w:rPr>
  </w:style>
  <w:style w:type="character" w:customStyle="1" w:styleId="322">
    <w:name w:val="页脚 字符1"/>
    <w:qFormat/>
    <w:uiPriority w:val="0"/>
    <w:rPr>
      <w:rFonts w:eastAsia="宋体"/>
      <w:kern w:val="2"/>
      <w:sz w:val="18"/>
      <w:lang w:bidi="ar-SA"/>
    </w:rPr>
  </w:style>
  <w:style w:type="character" w:customStyle="1" w:styleId="323">
    <w:name w:val="GP正文[858D7CFB-ED40-4347-BF05-701D383B685F]"/>
    <w:link w:val="324"/>
    <w:qFormat/>
    <w:uiPriority w:val="0"/>
    <w:rPr>
      <w:rFonts w:ascii="宋体" w:hAnsi="宋体"/>
      <w:kern w:val="2"/>
      <w:sz w:val="24"/>
      <w:szCs w:val="24"/>
    </w:rPr>
  </w:style>
  <w:style w:type="paragraph" w:customStyle="1" w:styleId="324">
    <w:name w:val="GP正文"/>
    <w:basedOn w:val="1"/>
    <w:link w:val="323"/>
    <w:qFormat/>
    <w:uiPriority w:val="0"/>
    <w:pPr>
      <w:spacing w:line="360" w:lineRule="auto"/>
      <w:ind w:firstLine="200" w:firstLineChars="200"/>
      <w:jc w:val="left"/>
    </w:pPr>
    <w:rPr>
      <w:rFonts w:ascii="宋体" w:hAnsi="宋体"/>
      <w:sz w:val="24"/>
    </w:rPr>
  </w:style>
  <w:style w:type="character" w:customStyle="1" w:styleId="325">
    <w:name w:val="Char Char14"/>
    <w:qFormat/>
    <w:uiPriority w:val="0"/>
    <w:rPr>
      <w:rFonts w:ascii="Calibri" w:hAnsi="Calibri" w:eastAsia="宋体"/>
      <w:b/>
      <w:bCs/>
      <w:sz w:val="24"/>
      <w:szCs w:val="24"/>
      <w:lang w:bidi="ar-SA"/>
    </w:rPr>
  </w:style>
  <w:style w:type="character" w:customStyle="1" w:styleId="326">
    <w:name w:val="Char Char19"/>
    <w:qFormat/>
    <w:uiPriority w:val="0"/>
    <w:rPr>
      <w:rFonts w:ascii="Arial" w:hAnsi="Arial" w:eastAsia="黑体"/>
      <w:b/>
      <w:kern w:val="2"/>
      <w:sz w:val="24"/>
      <w:lang w:bidi="ar-SA"/>
    </w:rPr>
  </w:style>
  <w:style w:type="character" w:customStyle="1" w:styleId="327">
    <w:name w:val="正文文本 Char1"/>
    <w:qFormat/>
    <w:uiPriority w:val="0"/>
    <w:rPr>
      <w:kern w:val="2"/>
      <w:sz w:val="21"/>
      <w:szCs w:val="24"/>
    </w:rPr>
  </w:style>
  <w:style w:type="character" w:customStyle="1" w:styleId="328">
    <w:name w:val="二级 Char"/>
    <w:link w:val="329"/>
    <w:qFormat/>
    <w:uiPriority w:val="0"/>
    <w:rPr>
      <w:rFonts w:ascii="仿宋" w:hAnsi="仿宋" w:eastAsia="仿宋"/>
      <w:b/>
      <w:bCs/>
      <w:spacing w:val="24"/>
      <w:kern w:val="2"/>
      <w:sz w:val="32"/>
      <w:szCs w:val="32"/>
    </w:rPr>
  </w:style>
  <w:style w:type="paragraph" w:customStyle="1" w:styleId="329">
    <w:name w:val="二级"/>
    <w:basedOn w:val="4"/>
    <w:link w:val="328"/>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qFormat/>
    <w:uiPriority w:val="0"/>
    <w:rPr>
      <w:rFonts w:eastAsia="楷体_GB2312"/>
      <w:kern w:val="2"/>
      <w:sz w:val="21"/>
    </w:rPr>
  </w:style>
  <w:style w:type="character" w:customStyle="1" w:styleId="331">
    <w:name w:val="Char Char"/>
    <w:qFormat/>
    <w:uiPriority w:val="0"/>
    <w:rPr>
      <w:rFonts w:hint="eastAsia" w:ascii="宋体" w:hAnsi="Courier New" w:eastAsia="宋体"/>
      <w:spacing w:val="-8"/>
      <w:kern w:val="2"/>
      <w:sz w:val="24"/>
      <w:lang w:val="en-US" w:eastAsia="zh-CN" w:bidi="ar-SA"/>
    </w:rPr>
  </w:style>
  <w:style w:type="character" w:customStyle="1" w:styleId="332">
    <w:name w:val="Char Char11"/>
    <w:qFormat/>
    <w:uiPriority w:val="0"/>
    <w:rPr>
      <w:rFonts w:hint="default" w:ascii="Calibri" w:hAnsi="Calibri" w:eastAsia="宋体"/>
      <w:sz w:val="18"/>
      <w:szCs w:val="18"/>
      <w:lang w:bidi="ar-SA"/>
    </w:rPr>
  </w:style>
  <w:style w:type="character" w:customStyle="1" w:styleId="333">
    <w:name w:val="页眉 字符1"/>
    <w:qFormat/>
    <w:uiPriority w:val="0"/>
    <w:rPr>
      <w:rFonts w:eastAsia="宋体"/>
      <w:kern w:val="2"/>
      <w:sz w:val="18"/>
      <w:szCs w:val="18"/>
      <w:lang w:bidi="ar-SA"/>
    </w:rPr>
  </w:style>
  <w:style w:type="character" w:customStyle="1" w:styleId="334">
    <w:name w:val="正文首行缩进 Char1"/>
    <w:qFormat/>
    <w:uiPriority w:val="0"/>
    <w:rPr>
      <w:kern w:val="2"/>
      <w:sz w:val="21"/>
    </w:rPr>
  </w:style>
  <w:style w:type="character" w:customStyle="1" w:styleId="335">
    <w:name w:val="页眉 Char1"/>
    <w:qFormat/>
    <w:uiPriority w:val="0"/>
    <w:rPr>
      <w:rFonts w:eastAsia="宋体"/>
      <w:kern w:val="2"/>
      <w:sz w:val="18"/>
      <w:szCs w:val="18"/>
      <w:lang w:val="en-US" w:eastAsia="zh-CN" w:bidi="ar-SA"/>
    </w:rPr>
  </w:style>
  <w:style w:type="character" w:customStyle="1" w:styleId="336">
    <w:name w:val="题注 Char"/>
    <w:qFormat/>
    <w:uiPriority w:val="0"/>
    <w:rPr>
      <w:rFonts w:ascii="Cambria" w:hAnsi="Cambria" w:eastAsia="黑体"/>
      <w:kern w:val="2"/>
      <w:lang w:bidi="ar-SA"/>
    </w:rPr>
  </w:style>
  <w:style w:type="character" w:customStyle="1" w:styleId="337">
    <w:name w:val="样式 标题 3 + 小四 Char"/>
    <w:qFormat/>
    <w:uiPriority w:val="0"/>
    <w:rPr>
      <w:rFonts w:ascii="宋体" w:hAnsi="宋体" w:cs="Arial"/>
      <w:b/>
      <w:bCs/>
      <w:smallCaps/>
      <w:sz w:val="24"/>
      <w:lang w:val="en-US" w:eastAsia="zh-CN"/>
    </w:rPr>
  </w:style>
  <w:style w:type="character" w:customStyle="1" w:styleId="338">
    <w:name w:val="unnamed21"/>
    <w:qFormat/>
    <w:uiPriority w:val="0"/>
    <w:rPr>
      <w:color w:val="CC6633"/>
      <w:u w:val="none"/>
    </w:rPr>
  </w:style>
  <w:style w:type="character" w:customStyle="1" w:styleId="339">
    <w:name w:val="16"/>
    <w:qFormat/>
    <w:uiPriority w:val="0"/>
    <w:rPr>
      <w:rFonts w:hint="eastAsia" w:ascii="宋体" w:hAnsi="宋体" w:eastAsia="宋体" w:cs="Arial"/>
      <w:b/>
      <w:bCs/>
      <w:smallCaps/>
      <w:kern w:val="2"/>
      <w:sz w:val="24"/>
      <w:szCs w:val="24"/>
    </w:rPr>
  </w:style>
  <w:style w:type="character" w:customStyle="1" w:styleId="340">
    <w:name w:val="正文文本缩进 字符"/>
    <w:qFormat/>
    <w:uiPriority w:val="0"/>
    <w:rPr>
      <w:rFonts w:eastAsia="宋体"/>
      <w:kern w:val="2"/>
      <w:sz w:val="24"/>
      <w:lang w:bidi="ar-SA"/>
    </w:rPr>
  </w:style>
  <w:style w:type="character" w:customStyle="1" w:styleId="341">
    <w:name w:val="Char Char8"/>
    <w:qFormat/>
    <w:uiPriority w:val="0"/>
    <w:rPr>
      <w:rFonts w:hint="default" w:ascii="Calibri" w:hAnsi="Calibri" w:eastAsia="宋体"/>
      <w:kern w:val="2"/>
      <w:sz w:val="21"/>
      <w:szCs w:val="22"/>
      <w:lang w:val="en-US" w:eastAsia="zh-CN" w:bidi="ar-SA"/>
    </w:rPr>
  </w:style>
  <w:style w:type="character" w:customStyle="1" w:styleId="342">
    <w:name w:val="H3 Char1"/>
    <w:qFormat/>
    <w:uiPriority w:val="0"/>
    <w:rPr>
      <w:rFonts w:ascii="仿宋_GB2312" w:eastAsia="仿宋_GB2312"/>
      <w:b/>
      <w:bCs/>
      <w:color w:val="000000"/>
      <w:kern w:val="2"/>
      <w:sz w:val="32"/>
      <w:szCs w:val="32"/>
    </w:rPr>
  </w:style>
  <w:style w:type="character" w:customStyle="1" w:styleId="343">
    <w:name w:val="Char Char1"/>
    <w:qFormat/>
    <w:uiPriority w:val="0"/>
    <w:rPr>
      <w:rFonts w:hint="eastAsia" w:ascii="宋体" w:hAnsi="宋体" w:eastAsia="宋体"/>
      <w:kern w:val="2"/>
      <w:sz w:val="21"/>
      <w:szCs w:val="24"/>
      <w:lang w:val="en-US" w:eastAsia="zh-CN" w:bidi="ar-SA"/>
    </w:rPr>
  </w:style>
  <w:style w:type="character" w:customStyle="1" w:styleId="344">
    <w:name w:val="Char Char10"/>
    <w:qFormat/>
    <w:uiPriority w:val="0"/>
    <w:rPr>
      <w:rFonts w:eastAsia="宋体"/>
      <w:kern w:val="2"/>
      <w:sz w:val="18"/>
      <w:szCs w:val="18"/>
      <w:lang w:val="en-US" w:eastAsia="zh-CN" w:bidi="ar-SA"/>
    </w:rPr>
  </w:style>
  <w:style w:type="character" w:customStyle="1" w:styleId="345">
    <w:name w:val="文档正文 Char"/>
    <w:link w:val="346"/>
    <w:qFormat/>
    <w:uiPriority w:val="0"/>
    <w:rPr>
      <w:rFonts w:ascii="Arial" w:hAnsi="Arial" w:cs="Arial"/>
      <w:bCs/>
      <w:kern w:val="2"/>
      <w:sz w:val="24"/>
      <w:szCs w:val="24"/>
    </w:rPr>
  </w:style>
  <w:style w:type="paragraph" w:customStyle="1" w:styleId="346">
    <w:name w:val="文档正文"/>
    <w:basedOn w:val="1"/>
    <w:link w:val="345"/>
    <w:qFormat/>
    <w:uiPriority w:val="0"/>
    <w:rPr>
      <w:rFonts w:ascii="Arial" w:hAnsi="Arial" w:cs="Arial"/>
      <w:bCs/>
      <w:sz w:val="24"/>
    </w:rPr>
  </w:style>
  <w:style w:type="character" w:customStyle="1" w:styleId="347">
    <w:name w:val="正文文本 2 Char2"/>
    <w:basedOn w:val="52"/>
    <w:semiHidden/>
    <w:qFormat/>
    <w:uiPriority w:val="0"/>
    <w:rPr>
      <w:kern w:val="2"/>
      <w:sz w:val="21"/>
      <w:szCs w:val="24"/>
    </w:rPr>
  </w:style>
  <w:style w:type="character" w:customStyle="1" w:styleId="348">
    <w:name w:val="标题 字符1"/>
    <w:basedOn w:val="52"/>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qFormat/>
    <w:uiPriority w:val="0"/>
    <w:rPr>
      <w:kern w:val="2"/>
      <w:sz w:val="21"/>
      <w:szCs w:val="24"/>
    </w:rPr>
  </w:style>
  <w:style w:type="character" w:customStyle="1" w:styleId="350">
    <w:name w:val="签名 Char2"/>
    <w:basedOn w:val="52"/>
    <w:semiHidden/>
    <w:qFormat/>
    <w:uiPriority w:val="0"/>
    <w:rPr>
      <w:kern w:val="2"/>
      <w:sz w:val="21"/>
      <w:szCs w:val="24"/>
    </w:rPr>
  </w:style>
  <w:style w:type="character" w:customStyle="1" w:styleId="351">
    <w:name w:val="正文文本缩进 3 Char2"/>
    <w:basedOn w:val="52"/>
    <w:semiHidden/>
    <w:qFormat/>
    <w:uiPriority w:val="0"/>
    <w:rPr>
      <w:kern w:val="2"/>
      <w:sz w:val="16"/>
      <w:szCs w:val="16"/>
    </w:rPr>
  </w:style>
  <w:style w:type="character" w:customStyle="1" w:styleId="352">
    <w:name w:val="日期 Char2"/>
    <w:basedOn w:val="52"/>
    <w:semiHidden/>
    <w:qFormat/>
    <w:uiPriority w:val="0"/>
    <w:rPr>
      <w:kern w:val="2"/>
      <w:sz w:val="21"/>
      <w:szCs w:val="24"/>
    </w:rPr>
  </w:style>
  <w:style w:type="paragraph" w:customStyle="1" w:styleId="353">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qFormat/>
    <w:uiPriority w:val="0"/>
    <w:pPr>
      <w:widowControl/>
      <w:jc w:val="center"/>
    </w:pPr>
    <w:rPr>
      <w:rFonts w:ascii="Arial" w:hAnsi="Arial"/>
      <w:b/>
      <w:kern w:val="0"/>
      <w:sz w:val="18"/>
      <w:szCs w:val="20"/>
    </w:rPr>
  </w:style>
  <w:style w:type="paragraph" w:customStyle="1" w:styleId="359">
    <w:name w:val="4"/>
    <w:basedOn w:val="1"/>
    <w:next w:val="1"/>
    <w:qFormat/>
    <w:uiPriority w:val="0"/>
  </w:style>
  <w:style w:type="paragraph" w:customStyle="1" w:styleId="36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qFormat/>
    <w:uiPriority w:val="0"/>
    <w:pPr>
      <w:spacing w:line="360" w:lineRule="auto"/>
      <w:ind w:firstLine="200" w:firstLineChars="200"/>
    </w:pPr>
    <w:rPr>
      <w:szCs w:val="20"/>
    </w:rPr>
  </w:style>
  <w:style w:type="paragraph" w:customStyle="1" w:styleId="362">
    <w:name w:val="样式 标题 5H5dashdsddh5PIM 5口一heading 5Titre5Table label...3"/>
    <w:basedOn w:val="6"/>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5"/>
    <w:qFormat/>
    <w:uiPriority w:val="0"/>
    <w:pPr>
      <w:tabs>
        <w:tab w:val="right" w:leader="dot" w:pos="9458"/>
      </w:tabs>
    </w:pPr>
    <w:rPr>
      <w:rFonts w:ascii="Arial" w:cs="Arial"/>
      <w:i/>
    </w:rPr>
  </w:style>
  <w:style w:type="paragraph" w:customStyle="1" w:styleId="36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qFormat/>
    <w:uiPriority w:val="0"/>
    <w:pPr>
      <w:keepLines/>
      <w:widowControl/>
      <w:spacing w:beforeLines="50" w:afterLines="50" w:line="300" w:lineRule="auto"/>
    </w:pPr>
    <w:rPr>
      <w:rFonts w:ascii="Arial" w:hAnsi="Arial"/>
      <w:bCs/>
    </w:rPr>
  </w:style>
  <w:style w:type="paragraph" w:customStyle="1" w:styleId="367">
    <w:name w:val="样式5"/>
    <w:basedOn w:val="368"/>
    <w:next w:val="368"/>
    <w:qFormat/>
    <w:uiPriority w:val="0"/>
    <w:pPr>
      <w:tabs>
        <w:tab w:val="right" w:leader="dot" w:pos="9458"/>
      </w:tabs>
    </w:pPr>
  </w:style>
  <w:style w:type="paragraph" w:customStyle="1" w:styleId="368">
    <w:name w:val="样式4"/>
    <w:basedOn w:val="34"/>
    <w:qFormat/>
    <w:uiPriority w:val="0"/>
    <w:pPr>
      <w:tabs>
        <w:tab w:val="right" w:leader="dot" w:pos="9458"/>
      </w:tabs>
    </w:pPr>
    <w:rPr>
      <w:b w:val="0"/>
    </w:rPr>
  </w:style>
  <w:style w:type="paragraph" w:customStyle="1" w:styleId="369">
    <w:name w:val="TOC 标题1"/>
    <w:basedOn w:val="2"/>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qFormat/>
    <w:uiPriority w:val="0"/>
    <w:pPr>
      <w:widowControl/>
      <w:jc w:val="center"/>
    </w:pPr>
    <w:rPr>
      <w:rFonts w:ascii="Arial" w:hAnsi="Arial"/>
      <w:snapToGrid w:val="0"/>
      <w:kern w:val="0"/>
      <w:sz w:val="18"/>
      <w:szCs w:val="20"/>
    </w:rPr>
  </w:style>
  <w:style w:type="paragraph" w:customStyle="1" w:styleId="374">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3"/>
    <w:next w:val="378"/>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qFormat/>
    <w:uiPriority w:val="0"/>
    <w:pPr>
      <w:ind w:firstLine="567"/>
    </w:pPr>
    <w:rPr>
      <w:spacing w:val="20"/>
      <w:sz w:val="24"/>
      <w:szCs w:val="20"/>
    </w:rPr>
  </w:style>
  <w:style w:type="paragraph" w:customStyle="1" w:styleId="385">
    <w:name w:val="_正文"/>
    <w:basedOn w:val="1"/>
    <w:qFormat/>
    <w:uiPriority w:val="99"/>
    <w:pPr>
      <w:spacing w:line="360" w:lineRule="auto"/>
      <w:ind w:firstLine="200" w:firstLineChars="200"/>
    </w:pPr>
    <w:rPr>
      <w:rFonts w:ascii="宋体" w:hAnsi="宋体"/>
      <w:sz w:val="24"/>
    </w:rPr>
  </w:style>
  <w:style w:type="paragraph" w:customStyle="1" w:styleId="386">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qFormat/>
    <w:uiPriority w:val="0"/>
    <w:pPr>
      <w:ind w:firstLine="420" w:firstLineChars="200"/>
    </w:pPr>
    <w:rPr>
      <w:rFonts w:ascii="仿宋_GB2312" w:eastAsia="仿宋_GB2312" w:cs="宋体"/>
      <w:spacing w:val="6"/>
      <w:sz w:val="30"/>
      <w:szCs w:val="30"/>
    </w:rPr>
  </w:style>
  <w:style w:type="paragraph" w:customStyle="1" w:styleId="388">
    <w:name w:val="_Style 15"/>
    <w:basedOn w:val="1"/>
    <w:qFormat/>
    <w:uiPriority w:val="0"/>
  </w:style>
  <w:style w:type="paragraph" w:customStyle="1" w:styleId="38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5"/>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2"/>
    <w:qFormat/>
    <w:uiPriority w:val="0"/>
    <w:pPr>
      <w:ind w:left="572" w:right="32" w:firstLine="478"/>
    </w:pPr>
    <w:rPr>
      <w:szCs w:val="21"/>
    </w:rPr>
  </w:style>
  <w:style w:type="paragraph" w:customStyle="1" w:styleId="397">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8">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qFormat/>
    <w:uiPriority w:val="0"/>
    <w:pPr>
      <w:spacing w:line="360" w:lineRule="auto"/>
      <w:ind w:hanging="420"/>
      <w:jc w:val="center"/>
    </w:pPr>
    <w:rPr>
      <w:sz w:val="24"/>
      <w:szCs w:val="20"/>
    </w:rPr>
  </w:style>
  <w:style w:type="paragraph" w:customStyle="1" w:styleId="400">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qFormat/>
    <w:uiPriority w:val="0"/>
  </w:style>
  <w:style w:type="paragraph" w:customStyle="1" w:styleId="402">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qFormat/>
    <w:uiPriority w:val="0"/>
  </w:style>
  <w:style w:type="paragraph" w:customStyle="1" w:styleId="40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5"/>
    <w:qFormat/>
    <w:uiPriority w:val="0"/>
    <w:pPr>
      <w:tabs>
        <w:tab w:val="right" w:leader="dot" w:pos="9458"/>
      </w:tabs>
    </w:pPr>
    <w:rPr>
      <w:i/>
    </w:rPr>
  </w:style>
  <w:style w:type="paragraph" w:customStyle="1" w:styleId="407">
    <w:name w:val="msolistparagraph"/>
    <w:basedOn w:val="1"/>
    <w:qFormat/>
    <w:uiPriority w:val="0"/>
    <w:pPr>
      <w:ind w:firstLine="420" w:firstLineChars="200"/>
    </w:pPr>
    <w:rPr>
      <w:rFonts w:ascii="Calibri" w:hAnsi="Calibri"/>
      <w:szCs w:val="22"/>
    </w:rPr>
  </w:style>
  <w:style w:type="paragraph" w:customStyle="1" w:styleId="408">
    <w:name w:val="Char Char16 Char Char"/>
    <w:basedOn w:val="1"/>
    <w:qFormat/>
    <w:uiPriority w:val="0"/>
    <w:rPr>
      <w:rFonts w:ascii="Tahoma" w:hAnsi="Tahoma"/>
      <w:sz w:val="24"/>
      <w:szCs w:val="20"/>
    </w:rPr>
  </w:style>
  <w:style w:type="paragraph" w:customStyle="1" w:styleId="409">
    <w:name w:val="正文内容"/>
    <w:basedOn w:val="1"/>
    <w:qFormat/>
    <w:uiPriority w:val="0"/>
    <w:rPr>
      <w:rFonts w:ascii="Arial" w:hAnsi="Arial"/>
      <w:spacing w:val="-12"/>
      <w:szCs w:val="20"/>
    </w:rPr>
  </w:style>
  <w:style w:type="paragraph" w:customStyle="1" w:styleId="4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qFormat/>
    <w:uiPriority w:val="0"/>
    <w:rPr>
      <w:rFonts w:ascii="Times New Roman" w:hAnsi="Times New Roman" w:eastAsia="宋体" w:cs="Times New Roman"/>
      <w:lang w:val="en-US" w:eastAsia="zh-CN" w:bidi="ar-SA"/>
    </w:rPr>
  </w:style>
  <w:style w:type="paragraph" w:customStyle="1" w:styleId="41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qFormat/>
    <w:uiPriority w:val="0"/>
  </w:style>
  <w:style w:type="paragraph" w:customStyle="1" w:styleId="419">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qFormat/>
    <w:uiPriority w:val="0"/>
    <w:pPr>
      <w:spacing w:before="120" w:after="120"/>
    </w:pPr>
    <w:rPr>
      <w:rFonts w:ascii="宋体"/>
      <w:b/>
      <w:sz w:val="28"/>
    </w:rPr>
  </w:style>
  <w:style w:type="paragraph" w:customStyle="1" w:styleId="422">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qFormat/>
    <w:uiPriority w:val="0"/>
    <w:pPr>
      <w:ind w:left="980" w:hanging="420"/>
    </w:pPr>
    <w:rPr>
      <w:sz w:val="24"/>
    </w:rPr>
  </w:style>
  <w:style w:type="paragraph" w:customStyle="1" w:styleId="426">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qFormat/>
    <w:uiPriority w:val="0"/>
    <w:pPr>
      <w:ind w:firstLine="480" w:firstLineChars="200"/>
    </w:pPr>
    <w:rPr>
      <w:rFonts w:cs="宋体"/>
      <w:szCs w:val="20"/>
    </w:rPr>
  </w:style>
  <w:style w:type="paragraph" w:customStyle="1" w:styleId="429">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出段落 Char"/>
    <w:link w:val="455"/>
    <w:qFormat/>
    <w:uiPriority w:val="34"/>
    <w:rPr>
      <w:kern w:val="2"/>
      <w:sz w:val="21"/>
      <w:szCs w:val="24"/>
    </w:rPr>
  </w:style>
  <w:style w:type="paragraph" w:styleId="455">
    <w:name w:val="List Paragraph"/>
    <w:basedOn w:val="1"/>
    <w:link w:val="454"/>
    <w:qFormat/>
    <w:uiPriority w:val="34"/>
    <w:pPr>
      <w:ind w:firstLine="420" w:firstLineChars="200"/>
    </w:pPr>
  </w:style>
  <w:style w:type="paragraph" w:customStyle="1" w:styleId="456">
    <w:name w:val="yiv1649619028msonormal"/>
    <w:basedOn w:val="1"/>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qFormat/>
    <w:uiPriority w:val="0"/>
    <w:pPr>
      <w:spacing w:afterLines="20"/>
      <w:ind w:firstLine="1446" w:firstLineChars="200"/>
    </w:pPr>
    <w:rPr>
      <w:rFonts w:ascii="Calibri" w:hAnsi="Calibri"/>
      <w:sz w:val="24"/>
    </w:rPr>
  </w:style>
  <w:style w:type="character" w:customStyle="1" w:styleId="458">
    <w:name w:val="正文文本 3 Char"/>
    <w:basedOn w:val="52"/>
    <w:link w:val="19"/>
    <w:uiPriority w:val="0"/>
    <w:rPr>
      <w:kern w:val="2"/>
      <w:sz w:val="16"/>
      <w:szCs w:val="16"/>
    </w:rPr>
  </w:style>
  <w:style w:type="character" w:customStyle="1" w:styleId="459">
    <w:name w:val="content"/>
    <w:basedOn w:val="52"/>
    <w:uiPriority w:val="0"/>
  </w:style>
  <w:style w:type="character" w:customStyle="1" w:styleId="460">
    <w:name w:val="ca-3"/>
    <w:basedOn w:val="52"/>
    <w:uiPriority w:val="0"/>
  </w:style>
  <w:style w:type="character" w:customStyle="1" w:styleId="461">
    <w:name w:val="textcontents1"/>
    <w:uiPriority w:val="0"/>
    <w:rPr>
      <w:rFonts w:hint="default" w:ascii="ˎ̥" w:hAnsi="ˎ̥"/>
      <w:sz w:val="21"/>
      <w:szCs w:val="21"/>
    </w:rPr>
  </w:style>
  <w:style w:type="character" w:customStyle="1" w:styleId="462">
    <w:name w:val="脚注文本 Char1"/>
    <w:uiPriority w:val="0"/>
    <w:rPr>
      <w:kern w:val="2"/>
      <w:sz w:val="18"/>
      <w:szCs w:val="18"/>
    </w:rPr>
  </w:style>
  <w:style w:type="character" w:customStyle="1" w:styleId="463">
    <w:name w:val="脚注文本 Char"/>
    <w:link w:val="38"/>
    <w:uiPriority w:val="0"/>
    <w:rPr>
      <w:kern w:val="2"/>
      <w:sz w:val="18"/>
      <w:szCs w:val="18"/>
    </w:rPr>
  </w:style>
  <w:style w:type="character" w:customStyle="1" w:styleId="464">
    <w:name w:val="正文首行缩进（绿盟科技） Char"/>
    <w:link w:val="465"/>
    <w:uiPriority w:val="0"/>
    <w:rPr>
      <w:rFonts w:ascii="Arial" w:hAnsi="Arial"/>
      <w:szCs w:val="21"/>
    </w:rPr>
  </w:style>
  <w:style w:type="paragraph" w:customStyle="1" w:styleId="465">
    <w:name w:val="正文首行缩进（绿盟科技）"/>
    <w:basedOn w:val="1"/>
    <w:link w:val="464"/>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uiPriority w:val="0"/>
  </w:style>
  <w:style w:type="character" w:customStyle="1" w:styleId="467">
    <w:name w:val="Char Char21"/>
    <w:uiPriority w:val="0"/>
    <w:rPr>
      <w:b/>
      <w:bCs/>
      <w:kern w:val="2"/>
      <w:sz w:val="32"/>
      <w:szCs w:val="32"/>
    </w:rPr>
  </w:style>
  <w:style w:type="character" w:customStyle="1" w:styleId="468">
    <w:name w:val="content1"/>
    <w:qFormat/>
    <w:uiPriority w:val="0"/>
    <w:rPr>
      <w:rFonts w:hint="default" w:ascii="??" w:hAnsi="??"/>
      <w:sz w:val="16"/>
      <w:szCs w:val="16"/>
      <w:u w:val="none"/>
    </w:rPr>
  </w:style>
  <w:style w:type="character" w:customStyle="1" w:styleId="469">
    <w:name w:val="text21"/>
    <w:basedOn w:val="52"/>
    <w:uiPriority w:val="0"/>
  </w:style>
  <w:style w:type="character" w:customStyle="1" w:styleId="470">
    <w:name w:val="apple-style-span"/>
    <w:basedOn w:val="52"/>
    <w:uiPriority w:val="0"/>
  </w:style>
  <w:style w:type="paragraph" w:customStyle="1" w:styleId="471">
    <w:name w:val="缺省文本"/>
    <w:basedOn w:val="1"/>
    <w:uiPriority w:val="0"/>
    <w:pPr>
      <w:autoSpaceDE w:val="0"/>
      <w:autoSpaceDN w:val="0"/>
      <w:adjustRightInd w:val="0"/>
      <w:jc w:val="left"/>
    </w:pPr>
    <w:rPr>
      <w:kern w:val="0"/>
      <w:sz w:val="24"/>
    </w:rPr>
  </w:style>
  <w:style w:type="paragraph" w:customStyle="1" w:styleId="472">
    <w:name w:val="xl62"/>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6"/>
    <w:uiPriority w:val="0"/>
    <w:rPr>
      <w:rFonts w:ascii="宋体" w:hAnsi="Courier New"/>
      <w:szCs w:val="20"/>
    </w:rPr>
  </w:style>
  <w:style w:type="paragraph" w:customStyle="1" w:styleId="474">
    <w:name w:val="xl57"/>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uiPriority w:val="0"/>
    <w:pPr>
      <w:widowControl/>
      <w:spacing w:after="160" w:line="240" w:lineRule="exact"/>
      <w:jc w:val="left"/>
    </w:pPr>
  </w:style>
  <w:style w:type="paragraph" w:customStyle="1" w:styleId="476">
    <w:name w:val="USE 1"/>
    <w:basedOn w:val="1"/>
    <w:uiPriority w:val="0"/>
    <w:pPr>
      <w:spacing w:line="200" w:lineRule="atLeast"/>
      <w:jc w:val="left"/>
    </w:pPr>
    <w:rPr>
      <w:rFonts w:ascii="宋体" w:hAnsi="宋体"/>
      <w:b/>
      <w:sz w:val="24"/>
      <w:szCs w:val="28"/>
    </w:rPr>
  </w:style>
  <w:style w:type="paragraph" w:customStyle="1" w:styleId="477">
    <w:name w:val="xl6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6"/>
    <w:uiPriority w:val="0"/>
    <w:rPr>
      <w:rFonts w:ascii="宋体" w:hAnsi="Courier New"/>
      <w:szCs w:val="20"/>
    </w:rPr>
  </w:style>
  <w:style w:type="character" w:customStyle="1" w:styleId="481">
    <w:name w:val="脚注文本 Char2"/>
    <w:basedOn w:val="52"/>
    <w:semiHidden/>
    <w:uiPriority w:val="0"/>
    <w:rPr>
      <w:kern w:val="2"/>
      <w:sz w:val="18"/>
      <w:szCs w:val="18"/>
    </w:rPr>
  </w:style>
  <w:style w:type="paragraph" w:customStyle="1" w:styleId="482">
    <w:name w:val="_Style 56"/>
    <w:basedOn w:val="1"/>
    <w:next w:val="26"/>
    <w:uiPriority w:val="0"/>
    <w:rPr>
      <w:rFonts w:ascii="宋体" w:hAnsi="Courier New"/>
      <w:szCs w:val="20"/>
    </w:rPr>
  </w:style>
  <w:style w:type="paragraph" w:customStyle="1" w:styleId="483">
    <w:name w:val="Char Char Char Char2"/>
    <w:basedOn w:val="1"/>
    <w:uiPriority w:val="0"/>
    <w:pPr>
      <w:widowControl/>
      <w:spacing w:after="160" w:line="240" w:lineRule="exact"/>
      <w:jc w:val="center"/>
    </w:pPr>
  </w:style>
  <w:style w:type="paragraph" w:customStyle="1" w:styleId="484">
    <w:name w:val="font10"/>
    <w:basedOn w:val="1"/>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uiPriority w:val="0"/>
    <w:pPr>
      <w:widowControl/>
      <w:spacing w:after="160" w:line="240" w:lineRule="exact"/>
      <w:jc w:val="left"/>
    </w:pPr>
  </w:style>
  <w:style w:type="paragraph" w:customStyle="1" w:styleId="490">
    <w:name w:val="_Style 50"/>
    <w:basedOn w:val="1"/>
    <w:next w:val="29"/>
    <w:uiPriority w:val="0"/>
    <w:pPr>
      <w:adjustRightInd w:val="0"/>
      <w:snapToGrid w:val="0"/>
      <w:spacing w:line="300" w:lineRule="auto"/>
      <w:ind w:firstLine="630" w:firstLineChars="300"/>
    </w:pPr>
    <w:rPr>
      <w:snapToGrid w:val="0"/>
      <w:kern w:val="0"/>
    </w:rPr>
  </w:style>
  <w:style w:type="paragraph" w:customStyle="1" w:styleId="491">
    <w:name w:val="修订2"/>
    <w:semiHidden/>
    <w:uiPriority w:val="99"/>
    <w:rPr>
      <w:rFonts w:ascii="Times New Roman" w:hAnsi="Times New Roman" w:eastAsia="宋体" w:cs="Times New Roman"/>
      <w:kern w:val="2"/>
      <w:sz w:val="21"/>
      <w:szCs w:val="24"/>
      <w:lang w:val="en-US" w:eastAsia="zh-CN" w:bidi="ar-SA"/>
    </w:rPr>
  </w:style>
  <w:style w:type="paragraph" w:customStyle="1" w:styleId="492">
    <w:name w:val="xl50"/>
    <w:basedOn w:val="1"/>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6"/>
    <w:uiPriority w:val="0"/>
    <w:rPr>
      <w:rFonts w:ascii="宋体" w:hAnsi="Courier New"/>
      <w:szCs w:val="20"/>
    </w:rPr>
  </w:style>
  <w:style w:type="paragraph" w:customStyle="1" w:styleId="495">
    <w:name w:val="Char Char Char"/>
    <w:basedOn w:val="1"/>
    <w:uiPriority w:val="0"/>
    <w:rPr>
      <w:szCs w:val="20"/>
    </w:rPr>
  </w:style>
  <w:style w:type="paragraph" w:customStyle="1" w:styleId="496">
    <w:name w:val="Char2"/>
    <w:basedOn w:val="1"/>
    <w:uiPriority w:val="0"/>
    <w:rPr>
      <w:rFonts w:ascii="Tahoma" w:hAnsi="Tahoma"/>
      <w:sz w:val="24"/>
      <w:szCs w:val="20"/>
    </w:rPr>
  </w:style>
  <w:style w:type="paragraph" w:customStyle="1" w:styleId="497">
    <w:name w:val="xl5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6"/>
    <w:uiPriority w:val="0"/>
    <w:rPr>
      <w:rFonts w:ascii="宋体" w:hAnsi="Courier New"/>
      <w:szCs w:val="20"/>
    </w:rPr>
  </w:style>
  <w:style w:type="paragraph" w:customStyle="1" w:styleId="501">
    <w:name w:val="2"/>
    <w:basedOn w:val="1"/>
    <w:next w:val="45"/>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29"/>
    <w:uiPriority w:val="0"/>
    <w:pPr>
      <w:adjustRightInd w:val="0"/>
      <w:snapToGrid w:val="0"/>
      <w:spacing w:line="300" w:lineRule="auto"/>
      <w:ind w:firstLine="630" w:firstLineChars="300"/>
    </w:pPr>
    <w:rPr>
      <w:snapToGrid w:val="0"/>
      <w:kern w:val="0"/>
    </w:rPr>
  </w:style>
  <w:style w:type="paragraph" w:customStyle="1" w:styleId="503">
    <w:name w:val="xl52"/>
    <w:basedOn w:val="1"/>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66091" w:themeColor="accent1" w:themeShade="BF"/>
      <w:kern w:val="0"/>
    </w:rPr>
  </w:style>
  <w:style w:type="character" w:customStyle="1" w:styleId="505">
    <w:name w:val="纯文本 Char2"/>
    <w:uiPriority w:val="99"/>
    <w:rPr>
      <w:rFonts w:ascii="宋体" w:hAnsi="Courier New"/>
      <w:kern w:val="2"/>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Info spid="_x0000_s3091"/>
    <customShpInfo spid="_x0000_s3090"/>
    <customShpInfo spid="_x0000_s3089"/>
    <customShpInfo spid="_x0000_s3088"/>
    <customShpInfo spid="_x0000_s3087"/>
    <customShpInfo spid="_x0000_s3086"/>
    <customShpInfo spid="_x0000_s3085"/>
    <customShpInfo spid="_x0000_s3084"/>
    <customShpInfo spid="_x0000_s3083"/>
    <customShpInfo spid="_x0000_s3082"/>
    <customShpInfo spid="_x0000_s3081"/>
    <customShpInfo spid="_x0000_s3080"/>
    <customShpInfo spid="_x0000_s3079"/>
    <customShpInfo spid="_x0000_s3078"/>
    <customShpInfo spid="_x0000_s3077"/>
    <customShpInfo spid="_x0000_s3096"/>
    <customShpInfo spid="_x0000_s3095"/>
    <customShpInfo spid="_x0000_s3093"/>
    <customShpInfo spid="_x0000_s309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9A7ADA-D8AE-408F-BCD5-D9C7F62AD041}">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72</Pages>
  <Words>44220</Words>
  <Characters>46984</Characters>
  <Lines>372</Lines>
  <Paragraphs>104</Paragraphs>
  <TotalTime>14</TotalTime>
  <ScaleCrop>false</ScaleCrop>
  <LinksUpToDate>false</LinksUpToDate>
  <CharactersWithSpaces>48179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2019-11-08T01:16:00Z</dcterms:created>
  <dc:creator>微软用户</dc:creator>
  <cp:lastModifiedBy>罗敏仪</cp:lastModifiedBy>
  <cp:lastPrinted>2020-05-26T01:03:00Z</cp:lastPrinted>
  <dcterms:modified xsi:type="dcterms:W3CDTF">2022-07-27T09:44:17Z</dcterms:modified>
  <dc:title>招标编号：UHO2010-G0029</dc:title>
  <cp:revision>516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9C2AAC17AFD4427490E34B2D9965CA7C</vt:lpwstr>
  </property>
</Properties>
</file>