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1027" o:spt="202" type="#_x0000_t202" style="position:absolute;left:0pt;margin-left:45.7pt;margin-top:-3.3pt;height:46.8pt;width:294.8pt;z-index:251659264;mso-width-relative:margin;mso-height-relative:margin;" stroked="t" coordsize="21600,21600">
            <v:path/>
            <v:fill focussize="0,0"/>
            <v:stroke color="#FFFFFF" joinstyle="miter"/>
            <v:imagedata o:title=""/>
            <o:lock v:ext="edit"/>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Theme="minorEastAsia" w:hAnsiTheme="minorEastAsia" w:eastAsiaTheme="minorEastAsia"/>
          <w:b/>
          <w:snapToGrid w:val="0"/>
          <w:kern w:val="0"/>
          <w:sz w:val="70"/>
          <w:szCs w:val="70"/>
        </w:rPr>
      </w:pPr>
      <w:r>
        <w:rPr>
          <w:rFonts w:hint="eastAsia" w:ascii="宋体" w:hAnsi="宋体"/>
          <w:b/>
          <w:bCs/>
          <w:snapToGrid w:val="0"/>
          <w:kern w:val="0"/>
          <w:sz w:val="70"/>
          <w:szCs w:val="70"/>
        </w:rPr>
        <w:t>双通道纯音听力计</w:t>
      </w:r>
      <w:r>
        <w:rPr>
          <w:rFonts w:hint="eastAsia" w:asciiTheme="minorEastAsia" w:hAnsiTheme="minorEastAsia" w:eastAsiaTheme="minorEastAsia"/>
          <w:b/>
          <w:bCs/>
          <w:snapToGrid w:val="0"/>
          <w:kern w:val="0"/>
          <w:sz w:val="70"/>
          <w:szCs w:val="70"/>
        </w:rPr>
        <w:t>采购项目</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货物类招标文件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项目编号：SZZZ2022-QA0134</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pPr>
        <w:pStyle w:val="28"/>
        <w:adjustRightInd w:val="0"/>
        <w:snapToGrid w:val="0"/>
        <w:spacing w:line="300" w:lineRule="auto"/>
        <w:jc w:val="center"/>
        <w:rPr>
          <w:rFonts w:ascii="Times New Roman" w:hAnsi="Times New Roman" w:eastAsia="经典等线简"/>
          <w:b/>
          <w:snapToGrid w:val="0"/>
          <w:sz w:val="30"/>
        </w:rPr>
      </w:pPr>
    </w:p>
    <w:p/>
    <w:p/>
    <w:p>
      <w:pPr>
        <w:pStyle w:val="28"/>
        <w:adjustRightInd w:val="0"/>
        <w:snapToGrid w:val="0"/>
        <w:spacing w:line="300" w:lineRule="auto"/>
        <w:ind w:hanging="835"/>
        <w:jc w:val="center"/>
        <w:rPr>
          <w:b/>
          <w:kern w:val="0"/>
          <w:sz w:val="28"/>
          <w:szCs w:val="28"/>
        </w:rPr>
      </w:pPr>
      <w:r>
        <w:rPr>
          <w:rFonts w:hint="eastAsia"/>
          <w:b/>
          <w:snapToGrid w:val="0"/>
          <w:sz w:val="30"/>
        </w:rPr>
        <w:t>二〇二二年六月</w:t>
      </w:r>
      <w:r>
        <w:rPr>
          <w:b/>
          <w:kern w:val="0"/>
          <w:sz w:val="28"/>
          <w:szCs w:val="28"/>
        </w:rPr>
        <w:br w:type="page"/>
      </w:r>
    </w:p>
    <w:p>
      <w:pPr>
        <w:adjustRightInd w:val="0"/>
        <w:snapToGrid w:val="0"/>
        <w:spacing w:line="300" w:lineRule="auto"/>
        <w:jc w:val="left"/>
        <w:rPr>
          <w:b/>
          <w:kern w:val="0"/>
          <w:sz w:val="28"/>
          <w:szCs w:val="28"/>
        </w:rPr>
      </w:pPr>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440" w:lineRule="exact"/>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440" w:lineRule="exact"/>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440" w:lineRule="exact"/>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440" w:lineRule="exact"/>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360" w:lineRule="auto"/>
        <w:ind w:firstLine="482" w:firstLineChars="200"/>
      </w:pPr>
      <w:r>
        <w:rPr>
          <w:rFonts w:hint="eastAsia" w:ascii="仿宋_GB2312" w:eastAsia="仿宋_GB2312" w:hAnsiTheme="minorEastAsia"/>
          <w:b/>
          <w:color w:val="FF0000"/>
          <w:sz w:val="24"/>
        </w:rPr>
        <w:t>投标供应商涉嫌存在串通投标等违法行为的，将书面报告财政主管部门依法处理。</w:t>
      </w:r>
      <w:r>
        <w:rPr>
          <w:rFonts w:hint="eastAsia" w:ascii="仿宋" w:hAnsi="仿宋" w:eastAsia="仿宋"/>
          <w:sz w:val="24"/>
        </w:rPr>
        <w:cr/>
      </w:r>
    </w:p>
    <w:sdt>
      <w:sdtPr>
        <w:rPr>
          <w:rFonts w:ascii="Times New Roman" w:hAnsi="Times New Roman" w:eastAsia="宋体" w:cs="Times New Roman"/>
          <w:b w:val="0"/>
          <w:bCs w:val="0"/>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pStyle w:val="504"/>
            <w:jc w:val="center"/>
            <w:rPr>
              <w:color w:val="auto"/>
              <w:lang w:val="zh-CN"/>
            </w:rPr>
          </w:pPr>
          <w:r>
            <w:rPr>
              <w:color w:val="auto"/>
              <w:lang w:val="zh-CN"/>
            </w:rPr>
            <w:t>目</w:t>
          </w:r>
          <w:r>
            <w:rPr>
              <w:rFonts w:hint="eastAsia"/>
              <w:color w:val="auto"/>
              <w:lang w:val="zh-CN"/>
            </w:rPr>
            <w:t xml:space="preserve">  </w:t>
          </w:r>
          <w:r>
            <w:rPr>
              <w:color w:val="auto"/>
              <w:lang w:val="zh-CN"/>
            </w:rPr>
            <w:t>录</w:t>
          </w:r>
        </w:p>
        <w:p>
          <w:pPr>
            <w:rPr>
              <w:lang w:val="zh-CN"/>
            </w:rPr>
          </w:pP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TOC \o "1-3" \h \z \u </w:instrText>
          </w:r>
          <w:r>
            <w:fldChar w:fldCharType="separate"/>
          </w:r>
          <w:r>
            <w:fldChar w:fldCharType="begin"/>
          </w:r>
          <w:r>
            <w:instrText xml:space="preserve"> HYPERLINK \l "_Toc73610135"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_Toc73610135 \h </w:instrText>
          </w:r>
          <w:r>
            <w:rPr>
              <w:rFonts w:hint="eastAsia" w:ascii="仿宋_GB2312" w:eastAsia="仿宋_GB2312"/>
              <w:sz w:val="24"/>
            </w:rPr>
            <w:fldChar w:fldCharType="separate"/>
          </w:r>
          <w:r>
            <w:rPr>
              <w:rFonts w:hint="eastAsia"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"_Toc73610136"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_Toc73610136 \h </w:instrText>
          </w:r>
          <w:r>
            <w:rPr>
              <w:rFonts w:hint="eastAsia" w:ascii="仿宋_GB2312" w:eastAsia="仿宋_GB2312"/>
              <w:sz w:val="24"/>
            </w:rPr>
            <w:fldChar w:fldCharType="separate"/>
          </w:r>
          <w:r>
            <w:rPr>
              <w:rFonts w:hint="eastAsia" w:ascii="仿宋_GB2312" w:eastAsia="仿宋_GB2312"/>
              <w:sz w:val="24"/>
            </w:rPr>
            <w:t>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"_Toc73610140"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_Toc73610140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"_Toc73610141"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_Toc73610141 \h </w:instrText>
          </w:r>
          <w:r>
            <w:rPr>
              <w:rFonts w:hint="eastAsia" w:ascii="仿宋_GB2312" w:eastAsia="仿宋_GB2312"/>
              <w:sz w:val="24"/>
            </w:rPr>
            <w:fldChar w:fldCharType="separate"/>
          </w:r>
          <w:r>
            <w:rPr>
              <w:rFonts w:hint="eastAsia"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"_Toc73610142"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_Toc73610142 \h </w:instrText>
          </w:r>
          <w:r>
            <w:rPr>
              <w:rFonts w:hint="eastAsia" w:ascii="仿宋_GB2312" w:eastAsia="仿宋_GB2312"/>
              <w:sz w:val="24"/>
            </w:rPr>
            <w:fldChar w:fldCharType="separate"/>
          </w:r>
          <w:r>
            <w:rPr>
              <w:rFonts w:hint="eastAsia"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"_Toc73610143"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_Toc73610143 \h </w:instrText>
          </w:r>
          <w:r>
            <w:rPr>
              <w:rFonts w:hint="eastAsia" w:ascii="仿宋_GB2312" w:eastAsia="仿宋_GB2312"/>
              <w:sz w:val="24"/>
            </w:rPr>
            <w:fldChar w:fldCharType="separate"/>
          </w:r>
          <w:r>
            <w:rPr>
              <w:rFonts w:hint="eastAsia"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"_Toc73610144"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_Toc73610144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80" w:lineRule="exact"/>
            <w:rPr>
              <w:rFonts w:ascii="仿宋_GB2312" w:eastAsia="仿宋_GB2312" w:hAnsiTheme="minorHAnsi" w:cstheme="minorBidi"/>
              <w:iCs w:val="0"/>
              <w:sz w:val="24"/>
            </w:rPr>
          </w:pPr>
          <w:r>
            <w:fldChar w:fldCharType="begin"/>
          </w:r>
          <w:r>
            <w:instrText xml:space="preserve"> HYPERLINK \l "_Toc73610145"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_Toc73610145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80" w:lineRule="exact"/>
            <w:rPr>
              <w:rFonts w:ascii="仿宋_GB2312" w:eastAsia="仿宋_GB2312" w:hAnsiTheme="minorHAnsi" w:cstheme="minorBidi"/>
              <w:iCs w:val="0"/>
              <w:sz w:val="24"/>
            </w:rPr>
          </w:pPr>
          <w:r>
            <w:fldChar w:fldCharType="begin"/>
          </w:r>
          <w:r>
            <w:instrText xml:space="preserve"> HYPERLINK \l "_Toc73610146" </w:instrText>
          </w:r>
          <w:r>
            <w:fldChar w:fldCharType="separate"/>
          </w:r>
          <w:r>
            <w:rPr>
              <w:rStyle w:val="57"/>
              <w:rFonts w:hint="eastAsia" w:ascii="仿宋_GB2312" w:eastAsia="仿宋_GB2312" w:hAnsiTheme="minorEastAsia"/>
              <w:sz w:val="24"/>
            </w:rPr>
            <w:t>2、政府采购优惠政策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_Toc73610146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"_Toc73610147"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_Toc73610147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"_Toc73610148"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_Toc73610148 \h </w:instrText>
          </w:r>
          <w:r>
            <w:rPr>
              <w:rFonts w:hint="eastAsia" w:ascii="仿宋_GB2312" w:eastAsia="仿宋_GB2312"/>
              <w:sz w:val="24"/>
            </w:rPr>
            <w:fldChar w:fldCharType="separate"/>
          </w:r>
          <w:r>
            <w:rPr>
              <w:rFonts w:hint="eastAsia" w:ascii="仿宋_GB2312" w:eastAsia="仿宋_GB2312"/>
              <w:sz w:val="24"/>
            </w:rPr>
            <w:t>23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"_Toc73610149"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_Toc73610149 \h </w:instrText>
          </w:r>
          <w:r>
            <w:rPr>
              <w:rFonts w:hint="eastAsia" w:ascii="仿宋_GB2312" w:eastAsia="仿宋_GB2312"/>
              <w:sz w:val="24"/>
            </w:rPr>
            <w:fldChar w:fldCharType="separate"/>
          </w:r>
          <w:r>
            <w:rPr>
              <w:rFonts w:hint="eastAsia" w:ascii="仿宋_GB2312" w:eastAsia="仿宋_GB2312"/>
              <w:sz w:val="24"/>
            </w:rPr>
            <w:t>23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"_Toc73610150"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_Toc73610150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"_Toc73610151"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_Toc73610151 \h </w:instrText>
          </w:r>
          <w:r>
            <w:rPr>
              <w:rFonts w:hint="eastAsia" w:ascii="仿宋_GB2312" w:eastAsia="仿宋_GB2312"/>
              <w:sz w:val="24"/>
            </w:rPr>
            <w:fldChar w:fldCharType="separate"/>
          </w:r>
          <w:r>
            <w:rPr>
              <w:rFonts w:hint="eastAsia" w:ascii="仿宋_GB2312" w:eastAsia="仿宋_GB2312"/>
              <w:sz w:val="24"/>
            </w:rPr>
            <w:t>26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"_Toc73610152"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_Toc73610152 \h </w:instrText>
          </w:r>
          <w:r>
            <w:rPr>
              <w:rFonts w:hint="eastAsia" w:ascii="仿宋_GB2312" w:eastAsia="仿宋_GB2312"/>
              <w:sz w:val="24"/>
            </w:rPr>
            <w:fldChar w:fldCharType="separate"/>
          </w:r>
          <w:r>
            <w:rPr>
              <w:rFonts w:hint="eastAsia" w:ascii="仿宋_GB2312" w:eastAsia="仿宋_GB2312"/>
              <w:sz w:val="24"/>
            </w:rPr>
            <w:t>28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"_Toc73610153"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_Toc73610153 \h </w:instrText>
          </w:r>
          <w:r>
            <w:rPr>
              <w:rFonts w:hint="eastAsia" w:ascii="仿宋_GB2312" w:eastAsia="仿宋_GB2312"/>
              <w:sz w:val="24"/>
            </w:rPr>
            <w:fldChar w:fldCharType="separate"/>
          </w:r>
          <w:r>
            <w:rPr>
              <w:rFonts w:hint="eastAsia" w:ascii="仿宋_GB2312" w:eastAsia="仿宋_GB2312"/>
              <w:sz w:val="24"/>
            </w:rPr>
            <w:t>30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"_Toc73610154"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_Toc73610154 \h </w:instrText>
          </w:r>
          <w:r>
            <w:rPr>
              <w:rFonts w:hint="eastAsia" w:ascii="仿宋_GB2312" w:eastAsia="仿宋_GB2312"/>
              <w:sz w:val="24"/>
            </w:rPr>
            <w:fldChar w:fldCharType="separate"/>
          </w:r>
          <w:r>
            <w:rPr>
              <w:rFonts w:hint="eastAsia" w:ascii="仿宋_GB2312" w:eastAsia="仿宋_GB2312"/>
              <w:sz w:val="24"/>
            </w:rPr>
            <w:t>32</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"_Toc73610155"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_Toc73610155 \h </w:instrText>
          </w:r>
          <w:r>
            <w:rPr>
              <w:rFonts w:hint="eastAsia" w:ascii="仿宋_GB2312" w:eastAsia="仿宋_GB2312"/>
              <w:sz w:val="24"/>
            </w:rPr>
            <w:fldChar w:fldCharType="separate"/>
          </w:r>
          <w:r>
            <w:rPr>
              <w:rFonts w:hint="eastAsia" w:ascii="仿宋_GB2312" w:eastAsia="仿宋_GB2312"/>
              <w:sz w:val="24"/>
            </w:rPr>
            <w:t>36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"_Toc73610156"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_Toc73610156 \h </w:instrText>
          </w:r>
          <w:r>
            <w:rPr>
              <w:rFonts w:hint="eastAsia" w:ascii="仿宋_GB2312" w:eastAsia="仿宋_GB2312"/>
              <w:sz w:val="24"/>
            </w:rPr>
            <w:fldChar w:fldCharType="separate"/>
          </w:r>
          <w:r>
            <w:rPr>
              <w:rFonts w:hint="eastAsia" w:ascii="仿宋_GB2312" w:eastAsia="仿宋_GB2312"/>
              <w:sz w:val="24"/>
            </w:rPr>
            <w:t>36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"_Toc73610157"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_Toc73610157 \h </w:instrText>
          </w:r>
          <w:r>
            <w:rPr>
              <w:rFonts w:hint="eastAsia" w:ascii="仿宋_GB2312" w:eastAsia="仿宋_GB2312"/>
              <w:sz w:val="24"/>
            </w:rPr>
            <w:fldChar w:fldCharType="separate"/>
          </w:r>
          <w:r>
            <w:rPr>
              <w:rFonts w:hint="eastAsia" w:ascii="仿宋_GB2312" w:eastAsia="仿宋_GB2312"/>
              <w:sz w:val="24"/>
            </w:rPr>
            <w:t>38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"_Toc73610160"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_Toc73610160 \h </w:instrText>
          </w:r>
          <w:r>
            <w:rPr>
              <w:rFonts w:hint="eastAsia" w:ascii="仿宋_GB2312" w:eastAsia="仿宋_GB2312"/>
              <w:sz w:val="24"/>
            </w:rPr>
            <w:fldChar w:fldCharType="separate"/>
          </w:r>
          <w:r>
            <w:rPr>
              <w:rFonts w:hint="eastAsia" w:ascii="仿宋_GB2312" w:eastAsia="仿宋_GB2312"/>
              <w:sz w:val="24"/>
            </w:rPr>
            <w:t>61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"_Toc73610161"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_Toc73610161 \h </w:instrText>
          </w:r>
          <w:r>
            <w:rPr>
              <w:rFonts w:hint="eastAsia" w:ascii="仿宋_GB2312" w:eastAsia="仿宋_GB2312"/>
              <w:sz w:val="24"/>
            </w:rPr>
            <w:fldChar w:fldCharType="separate"/>
          </w:r>
          <w:r>
            <w:rPr>
              <w:rFonts w:hint="eastAsia" w:ascii="仿宋_GB2312" w:eastAsia="仿宋_GB2312"/>
              <w:sz w:val="24"/>
            </w:rPr>
            <w:t>65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"_Toc73610162"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_Toc73610162 \h </w:instrText>
          </w:r>
          <w:r>
            <w:rPr>
              <w:rFonts w:hint="eastAsia" w:ascii="仿宋_GB2312" w:eastAsia="仿宋_GB2312"/>
              <w:sz w:val="24"/>
            </w:rPr>
            <w:fldChar w:fldCharType="separate"/>
          </w:r>
          <w:r>
            <w:rPr>
              <w:rFonts w:hint="eastAsia" w:ascii="仿宋_GB2312" w:eastAsia="仿宋_GB2312"/>
              <w:sz w:val="24"/>
            </w:rPr>
            <w:t>65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"_Toc73610163"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_Toc73610163 \h </w:instrText>
          </w:r>
          <w:r>
            <w:rPr>
              <w:rFonts w:hint="eastAsia" w:ascii="仿宋_GB2312" w:eastAsia="仿宋_GB2312"/>
              <w:sz w:val="24"/>
            </w:rPr>
            <w:fldChar w:fldCharType="separate"/>
          </w:r>
          <w:r>
            <w:rPr>
              <w:rFonts w:hint="eastAsia" w:ascii="仿宋_GB2312" w:eastAsia="仿宋_GB2312"/>
              <w:sz w:val="24"/>
            </w:rPr>
            <w:t>69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"_Toc73610164" </w:instrText>
          </w:r>
          <w:r>
            <w:fldChar w:fldCharType="separate"/>
          </w:r>
          <w:r>
            <w:rPr>
              <w:rStyle w:val="57"/>
              <w:rFonts w:hint="eastAsia" w:ascii="仿宋_GB2312" w:eastAsia="仿宋_GB2312" w:hAnsiTheme="minorEastAsia"/>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_Toc73610164 \h </w:instrText>
          </w:r>
          <w:r>
            <w:rPr>
              <w:rFonts w:hint="eastAsia" w:ascii="仿宋_GB2312" w:eastAsia="仿宋_GB2312"/>
              <w:sz w:val="24"/>
            </w:rPr>
            <w:fldChar w:fldCharType="separate"/>
          </w:r>
          <w:r>
            <w:rPr>
              <w:rFonts w:hint="eastAsia" w:ascii="仿宋_GB2312" w:eastAsia="仿宋_GB2312"/>
              <w:sz w:val="24"/>
            </w:rPr>
            <w:t>72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Theme="minorHAnsi" w:hAnsiTheme="minorHAnsi" w:eastAsiaTheme="minorEastAsia" w:cstheme="minorBidi"/>
              <w:iCs/>
              <w:szCs w:val="22"/>
            </w:rPr>
          </w:pPr>
          <w:r>
            <w:fldChar w:fldCharType="begin"/>
          </w:r>
          <w:r>
            <w:instrText xml:space="preserve"> HYPERLINK \l "_Toc73610165"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_Toc73610165 \h </w:instrText>
          </w:r>
          <w:r>
            <w:rPr>
              <w:rFonts w:hint="eastAsia" w:ascii="仿宋_GB2312" w:eastAsia="仿宋_GB2312"/>
              <w:sz w:val="24"/>
            </w:rPr>
            <w:fldChar w:fldCharType="separate"/>
          </w:r>
          <w:r>
            <w:rPr>
              <w:rFonts w:hint="eastAsia" w:ascii="仿宋_GB2312" w:eastAsia="仿宋_GB2312"/>
              <w:sz w:val="24"/>
            </w:rPr>
            <w:t>75</w:t>
          </w:r>
          <w:r>
            <w:rPr>
              <w:rFonts w:hint="eastAsia" w:ascii="仿宋_GB2312" w:eastAsia="仿宋_GB2312"/>
              <w:sz w:val="24"/>
            </w:rPr>
            <w:fldChar w:fldCharType="end"/>
          </w:r>
          <w:r>
            <w:rPr>
              <w:rFonts w:hint="eastAsia" w:ascii="仿宋_GB2312" w:eastAsia="仿宋_GB2312"/>
              <w:sz w:val="24"/>
            </w:rPr>
            <w:fldChar w:fldCharType="end"/>
          </w:r>
        </w:p>
        <w:p>
          <w:r>
            <w:fldChar w:fldCharType="end"/>
          </w:r>
        </w:p>
      </w:sdtContent>
    </w:sdt>
    <w:p>
      <w:pPr>
        <w:widowControl/>
        <w:jc w:val="left"/>
        <w:rPr>
          <w:rFonts w:hint="eastAsia"/>
        </w:rPr>
      </w:pPr>
      <w:r>
        <w:br w:type="page"/>
      </w:r>
      <w:bookmarkStart w:id="0" w:name="_Toc73610135"/>
    </w:p>
    <w:p>
      <w:pPr>
        <w:pStyle w:val="2"/>
        <w:rPr>
          <w:rFonts w:hint="eastAsia"/>
        </w:rPr>
      </w:pPr>
    </w:p>
    <w:p>
      <w:pPr>
        <w:pStyle w:val="3"/>
      </w:pPr>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双通道纯音听力计采购项目</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highlight w:val="none"/>
          <w:u w:val="single"/>
        </w:rPr>
        <w:t>2022年</w:t>
      </w:r>
      <w:r>
        <w:rPr>
          <w:rFonts w:hint="eastAsia" w:ascii="宋体" w:hAnsi="宋体" w:cs="Arial Unicode MS"/>
          <w:snapToGrid w:val="0"/>
          <w:kern w:val="0"/>
          <w:szCs w:val="21"/>
          <w:highlight w:val="none"/>
          <w:u w:val="single"/>
          <w:lang w:val="en-US" w:eastAsia="zh-CN"/>
        </w:rPr>
        <w:t>7</w:t>
      </w:r>
      <w:r>
        <w:rPr>
          <w:rFonts w:hint="eastAsia" w:ascii="宋体" w:hAnsi="宋体" w:cs="Arial Unicode MS"/>
          <w:snapToGrid w:val="0"/>
          <w:kern w:val="0"/>
          <w:szCs w:val="21"/>
          <w:highlight w:val="none"/>
          <w:u w:val="single"/>
        </w:rPr>
        <w:t>月</w:t>
      </w:r>
      <w:r>
        <w:rPr>
          <w:rFonts w:hint="eastAsia" w:ascii="宋体" w:hAnsi="宋体" w:cs="Arial Unicode MS"/>
          <w:snapToGrid w:val="0"/>
          <w:kern w:val="0"/>
          <w:szCs w:val="21"/>
          <w:highlight w:val="none"/>
          <w:u w:val="single"/>
          <w:lang w:val="en-US" w:eastAsia="zh-CN"/>
        </w:rPr>
        <w:t>4</w:t>
      </w:r>
      <w:r>
        <w:rPr>
          <w:rFonts w:hint="eastAsia" w:ascii="宋体" w:hAnsi="宋体" w:cs="Arial Unicode MS"/>
          <w:snapToGrid w:val="0"/>
          <w:kern w:val="0"/>
          <w:szCs w:val="21"/>
          <w:highlight w:val="none"/>
          <w:u w:val="single"/>
        </w:rPr>
        <w:t>日</w:t>
      </w:r>
      <w:r>
        <w:rPr>
          <w:rFonts w:hint="eastAsia" w:ascii="宋体" w:hAnsi="宋体" w:cs="Arial Unicode MS"/>
          <w:snapToGrid w:val="0"/>
          <w:kern w:val="0"/>
          <w:szCs w:val="21"/>
          <w:highlight w:val="none"/>
          <w:u w:val="single"/>
          <w:lang w:val="en-US" w:eastAsia="zh-CN"/>
        </w:rPr>
        <w:t>15</w:t>
      </w:r>
      <w:r>
        <w:rPr>
          <w:rFonts w:hint="eastAsia" w:ascii="宋体" w:hAnsi="宋体" w:cs="Arial Unicode MS"/>
          <w:snapToGrid w:val="0"/>
          <w:kern w:val="0"/>
          <w:szCs w:val="21"/>
          <w:highlight w:val="none"/>
          <w:u w:val="single"/>
        </w:rPr>
        <w:t>点</w:t>
      </w:r>
      <w:r>
        <w:rPr>
          <w:rFonts w:hint="eastAsia" w:ascii="宋体" w:hAnsi="宋体" w:cs="Arial Unicode MS"/>
          <w:snapToGrid w:val="0"/>
          <w:kern w:val="0"/>
          <w:szCs w:val="21"/>
          <w:highlight w:val="none"/>
          <w:u w:val="single"/>
          <w:lang w:val="en-US" w:eastAsia="zh-CN"/>
        </w:rPr>
        <w:t>0</w:t>
      </w:r>
      <w:r>
        <w:rPr>
          <w:rFonts w:hint="eastAsia" w:ascii="宋体" w:hAnsi="宋体" w:cs="Arial Unicode MS"/>
          <w:snapToGrid w:val="0"/>
          <w:kern w:val="0"/>
          <w:szCs w:val="21"/>
          <w:highlight w:val="none"/>
          <w:u w:val="single"/>
        </w:rPr>
        <w:t>0分</w:t>
      </w:r>
      <w:r>
        <w:rPr>
          <w:rFonts w:hint="eastAsia" w:ascii="宋体" w:hAnsi="宋体" w:cs="Arial Unicode MS"/>
          <w:snapToGrid w:val="0"/>
          <w:kern w:val="0"/>
          <w:szCs w:val="21"/>
        </w:rPr>
        <w:t>（北京时间）前在</w:t>
      </w:r>
      <w:r>
        <w:rPr>
          <w:rFonts w:hint="eastAsia" w:ascii="宋体" w:hAnsi="宋体" w:cs="Arial Unicode MS"/>
          <w:snapToGrid w:val="0"/>
          <w:kern w:val="0"/>
          <w:szCs w:val="21"/>
          <w:u w:val="single"/>
        </w:rPr>
        <w:t>深圳市龙岗区龙西社区添利鑫创业园添利鑫大厦801</w:t>
      </w:r>
      <w:r>
        <w:rPr>
          <w:rFonts w:hint="eastAsia" w:ascii="宋体" w:hAnsi="宋体" w:cs="Arial Unicode MS"/>
          <w:snapToGrid w:val="0"/>
          <w:kern w:val="0"/>
          <w:szCs w:val="21"/>
        </w:rPr>
        <w:t>递交投标文件。</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Theme="minorEastAsia" w:hAnsiTheme="minorEastAsia" w:eastAsiaTheme="minorEastAsia"/>
          <w:sz w:val="21"/>
          <w:szCs w:val="21"/>
        </w:rPr>
        <w:t>SZZZ2022-QA0134</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2、项目名称：双通道纯音听力计采购项目</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44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44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708"/>
        <w:gridCol w:w="3120"/>
        <w:gridCol w:w="779"/>
        <w:gridCol w:w="779"/>
        <w:gridCol w:w="340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120" w:type="dxa"/>
            <w:shd w:val="clear" w:color="auto" w:fill="ABCDEF"/>
            <w:vAlign w:val="center"/>
          </w:tcPr>
          <w:p>
            <w:pPr>
              <w:pStyle w:val="45"/>
              <w:spacing w:line="360" w:lineRule="auto"/>
              <w:jc w:val="center"/>
              <w:rPr>
                <w:sz w:val="21"/>
              </w:rPr>
            </w:pPr>
            <w:r>
              <w:rPr>
                <w:sz w:val="21"/>
              </w:rPr>
              <w:t>标的名称</w:t>
            </w:r>
          </w:p>
        </w:tc>
        <w:tc>
          <w:tcPr>
            <w:tcW w:w="779"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779"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3403"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992"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3120" w:type="dxa"/>
            <w:shd w:val="clear" w:color="auto" w:fill="auto"/>
            <w:vAlign w:val="center"/>
          </w:tcPr>
          <w:p>
            <w:pPr>
              <w:pStyle w:val="45"/>
              <w:spacing w:line="360" w:lineRule="auto"/>
              <w:jc w:val="center"/>
              <w:rPr>
                <w:rFonts w:asciiTheme="minorEastAsia" w:hAnsiTheme="minorEastAsia" w:eastAsiaTheme="minorEastAsia"/>
                <w:sz w:val="21"/>
                <w:szCs w:val="21"/>
              </w:rPr>
            </w:pPr>
            <w:r>
              <w:rPr>
                <w:rFonts w:hint="eastAsia" w:ascii="宋体" w:hAnsi="宋体" w:eastAsiaTheme="minorEastAsia"/>
                <w:snapToGrid w:val="0"/>
                <w:sz w:val="21"/>
                <w:szCs w:val="21"/>
              </w:rPr>
              <w:t>双通道纯音听力计</w:t>
            </w:r>
          </w:p>
        </w:tc>
        <w:tc>
          <w:tcPr>
            <w:tcW w:w="779" w:type="dxa"/>
            <w:shd w:val="clear" w:color="auto" w:fill="auto"/>
            <w:vAlign w:val="center"/>
          </w:tcPr>
          <w:p>
            <w:pPr>
              <w:pStyle w:val="45"/>
              <w:spacing w:before="0" w:beforeAutospacing="0" w:after="0" w:afterAutospacing="0" w:line="360" w:lineRule="auto"/>
              <w:jc w:val="center"/>
              <w:rPr>
                <w:rFonts w:hint="eastAsia" w:eastAsia="宋体" w:asciiTheme="minorEastAsia" w:hAnsiTheme="minorEastAsia"/>
                <w:sz w:val="21"/>
                <w:szCs w:val="21"/>
                <w:lang w:eastAsia="zh-CN"/>
              </w:rPr>
            </w:pPr>
            <w:r>
              <w:rPr>
                <w:rFonts w:hint="eastAsia" w:ascii="宋体" w:hAnsi="宋体" w:cs="宋体"/>
                <w:sz w:val="21"/>
                <w:szCs w:val="21"/>
                <w:lang w:val="en-US" w:eastAsia="zh-CN"/>
              </w:rPr>
              <w:t>2</w:t>
            </w:r>
          </w:p>
        </w:tc>
        <w:tc>
          <w:tcPr>
            <w:tcW w:w="779"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套</w:t>
            </w:r>
          </w:p>
        </w:tc>
        <w:tc>
          <w:tcPr>
            <w:tcW w:w="3403"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宋体" w:hAnsi="宋体"/>
                <w:sz w:val="21"/>
              </w:rPr>
              <w:t>详见招标文件项目需求</w:t>
            </w:r>
          </w:p>
        </w:tc>
        <w:tc>
          <w:tcPr>
            <w:tcW w:w="992" w:type="dxa"/>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签订合同后60（天）日历日内。（日历日为自然天，包括双休日及法定节假日，不等同于工作日；投标文件中的交货期条款为不可负偏离条款，若投标文件中响应的交货期超过招标文件规定期限时，其投标文件按投标无效处理。）</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（6）本项目不接受联合体投标，不允许分包或转包；</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（7）本项目接受进口产品投标，但不排斥国产产品参与竞争（进口产品是指通过中国海关报关验放进入中国境内且产自关境外的产品，相关内容以“财库【</w:t>
      </w:r>
      <w:r>
        <w:rPr>
          <w:rFonts w:asciiTheme="minorEastAsia" w:hAnsiTheme="minorEastAsia" w:eastAsiaTheme="minorEastAsia"/>
          <w:snapToGrid w:val="0"/>
          <w:color w:val="auto"/>
          <w:sz w:val="21"/>
        </w:rPr>
        <w:t>2007</w:t>
      </w:r>
      <w:r>
        <w:rPr>
          <w:rFonts w:hint="eastAsia" w:asciiTheme="minorEastAsia" w:hAnsiTheme="minorEastAsia" w:eastAsiaTheme="minorEastAsia"/>
          <w:snapToGrid w:val="0"/>
          <w:color w:val="auto"/>
          <w:sz w:val="21"/>
        </w:rPr>
        <w:t>】</w:t>
      </w:r>
      <w:r>
        <w:rPr>
          <w:rFonts w:asciiTheme="minorEastAsia" w:hAnsiTheme="minorEastAsia" w:eastAsiaTheme="minorEastAsia"/>
          <w:snapToGrid w:val="0"/>
          <w:color w:val="auto"/>
          <w:sz w:val="21"/>
        </w:rPr>
        <w:t>119</w:t>
      </w:r>
      <w:r>
        <w:rPr>
          <w:rFonts w:hint="eastAsia" w:asciiTheme="minorEastAsia" w:hAnsiTheme="minorEastAsia" w:eastAsiaTheme="minorEastAsia"/>
          <w:snapToGrid w:val="0"/>
          <w:color w:val="auto"/>
          <w:sz w:val="21"/>
        </w:rPr>
        <w:t>号文”和“财办库【</w:t>
      </w:r>
      <w:r>
        <w:rPr>
          <w:rFonts w:asciiTheme="minorEastAsia" w:hAnsiTheme="minorEastAsia" w:eastAsiaTheme="minorEastAsia"/>
          <w:snapToGrid w:val="0"/>
          <w:color w:val="auto"/>
          <w:sz w:val="21"/>
        </w:rPr>
        <w:t>2008</w:t>
      </w:r>
      <w:r>
        <w:rPr>
          <w:rFonts w:hint="eastAsia" w:asciiTheme="minorEastAsia" w:hAnsiTheme="minorEastAsia" w:eastAsiaTheme="minorEastAsia"/>
          <w:snapToGrid w:val="0"/>
          <w:color w:val="auto"/>
          <w:sz w:val="21"/>
        </w:rPr>
        <w:t>】</w:t>
      </w:r>
      <w:r>
        <w:rPr>
          <w:rFonts w:asciiTheme="minorEastAsia" w:hAnsiTheme="minorEastAsia" w:eastAsiaTheme="minorEastAsia"/>
          <w:snapToGrid w:val="0"/>
          <w:color w:val="auto"/>
          <w:sz w:val="21"/>
        </w:rPr>
        <w:t>248</w:t>
      </w:r>
      <w:r>
        <w:rPr>
          <w:rFonts w:hint="eastAsia" w:asciiTheme="minorEastAsia" w:hAnsiTheme="minorEastAsia" w:eastAsiaTheme="minorEastAsia"/>
          <w:snapToGrid w:val="0"/>
          <w:color w:val="auto"/>
          <w:sz w:val="21"/>
        </w:rPr>
        <w:t>号文”的相关规定为准）。</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highlight w:val="none"/>
          <w:u w:val="single"/>
        </w:rPr>
        <w:t>2022年0</w:t>
      </w:r>
      <w:r>
        <w:rPr>
          <w:rFonts w:hint="eastAsia" w:ascii="宋体" w:hAnsi="宋体" w:eastAsia="宋体"/>
          <w:snapToGrid w:val="0"/>
          <w:color w:val="auto"/>
          <w:sz w:val="21"/>
          <w:szCs w:val="21"/>
          <w:highlight w:val="none"/>
          <w:u w:val="single"/>
          <w:lang w:val="en-US" w:eastAsia="zh-CN"/>
        </w:rPr>
        <w:t>6</w:t>
      </w:r>
      <w:r>
        <w:rPr>
          <w:rFonts w:hint="eastAsia" w:ascii="宋体" w:hAnsi="宋体" w:eastAsia="宋体"/>
          <w:snapToGrid w:val="0"/>
          <w:color w:val="auto"/>
          <w:sz w:val="21"/>
          <w:szCs w:val="21"/>
          <w:highlight w:val="none"/>
          <w:u w:val="single"/>
        </w:rPr>
        <w:t>月2</w:t>
      </w:r>
      <w:r>
        <w:rPr>
          <w:rFonts w:hint="eastAsia" w:ascii="宋体" w:hAnsi="宋体" w:eastAsia="宋体"/>
          <w:snapToGrid w:val="0"/>
          <w:color w:val="auto"/>
          <w:sz w:val="21"/>
          <w:szCs w:val="21"/>
          <w:highlight w:val="none"/>
          <w:u w:val="single"/>
          <w:lang w:val="en-US" w:eastAsia="zh-CN"/>
        </w:rPr>
        <w:t>1</w:t>
      </w:r>
      <w:r>
        <w:rPr>
          <w:rFonts w:hint="eastAsia" w:ascii="宋体" w:hAnsi="宋体" w:eastAsia="宋体"/>
          <w:snapToGrid w:val="0"/>
          <w:color w:val="auto"/>
          <w:sz w:val="21"/>
          <w:szCs w:val="21"/>
          <w:highlight w:val="none"/>
          <w:u w:val="single"/>
        </w:rPr>
        <w:t>日至2022年</w:t>
      </w:r>
      <w:r>
        <w:rPr>
          <w:rFonts w:hint="eastAsia" w:ascii="宋体" w:hAnsi="宋体" w:eastAsia="宋体"/>
          <w:snapToGrid w:val="0"/>
          <w:color w:val="auto"/>
          <w:sz w:val="21"/>
          <w:szCs w:val="21"/>
          <w:highlight w:val="none"/>
          <w:u w:val="single"/>
          <w:lang w:val="en-US" w:eastAsia="zh-CN"/>
        </w:rPr>
        <w:t>06</w:t>
      </w:r>
      <w:r>
        <w:rPr>
          <w:rFonts w:hint="eastAsia" w:ascii="宋体" w:hAnsi="宋体" w:eastAsia="宋体"/>
          <w:snapToGrid w:val="0"/>
          <w:color w:val="auto"/>
          <w:sz w:val="21"/>
          <w:szCs w:val="21"/>
          <w:highlight w:val="none"/>
          <w:u w:val="single"/>
        </w:rPr>
        <w:t>月</w:t>
      </w:r>
      <w:r>
        <w:rPr>
          <w:rFonts w:hint="eastAsia" w:ascii="宋体" w:hAnsi="宋体" w:eastAsia="宋体"/>
          <w:snapToGrid w:val="0"/>
          <w:color w:val="auto"/>
          <w:sz w:val="21"/>
          <w:szCs w:val="21"/>
          <w:highlight w:val="none"/>
          <w:u w:val="single"/>
          <w:lang w:val="en-US" w:eastAsia="zh-CN"/>
        </w:rPr>
        <w:t>28</w:t>
      </w:r>
      <w:r>
        <w:rPr>
          <w:rFonts w:hint="eastAsia" w:ascii="宋体" w:hAnsi="宋体" w:eastAsia="宋体"/>
          <w:snapToGrid w:val="0"/>
          <w:color w:val="auto"/>
          <w:sz w:val="21"/>
          <w:szCs w:val="21"/>
          <w:highlight w:val="none"/>
          <w:u w:val="single"/>
        </w:rPr>
        <w:t>日，每天上午9：00至</w:t>
      </w:r>
      <w:r>
        <w:rPr>
          <w:rFonts w:ascii="宋体" w:hAnsi="宋体" w:eastAsia="宋体"/>
          <w:snapToGrid w:val="0"/>
          <w:color w:val="auto"/>
          <w:sz w:val="21"/>
          <w:szCs w:val="21"/>
          <w:highlight w:val="none"/>
          <w:u w:val="single"/>
        </w:rPr>
        <w:t>11:30</w:t>
      </w:r>
      <w:r>
        <w:rPr>
          <w:rFonts w:hint="eastAsia" w:ascii="宋体" w:hAnsi="宋体" w:eastAsia="宋体"/>
          <w:snapToGrid w:val="0"/>
          <w:color w:val="auto"/>
          <w:sz w:val="21"/>
          <w:szCs w:val="21"/>
          <w:highlight w:val="none"/>
          <w:u w:val="single"/>
        </w:rPr>
        <w:t>，下午14：</w:t>
      </w:r>
      <w:r>
        <w:rPr>
          <w:rFonts w:ascii="宋体" w:hAnsi="宋体" w:eastAsia="宋体"/>
          <w:snapToGrid w:val="0"/>
          <w:color w:val="auto"/>
          <w:sz w:val="21"/>
          <w:szCs w:val="21"/>
          <w:highlight w:val="none"/>
          <w:u w:val="single"/>
        </w:rPr>
        <w:t>3</w:t>
      </w:r>
      <w:r>
        <w:rPr>
          <w:rFonts w:hint="eastAsia" w:ascii="宋体" w:hAnsi="宋体" w:eastAsia="宋体"/>
          <w:snapToGrid w:val="0"/>
          <w:color w:val="auto"/>
          <w:sz w:val="21"/>
          <w:szCs w:val="21"/>
          <w:highlight w:val="none"/>
          <w:u w:val="single"/>
        </w:rPr>
        <w:t>0至</w:t>
      </w:r>
      <w:r>
        <w:rPr>
          <w:rFonts w:ascii="宋体" w:hAnsi="宋体" w:eastAsia="宋体"/>
          <w:snapToGrid w:val="0"/>
          <w:color w:val="auto"/>
          <w:sz w:val="21"/>
          <w:szCs w:val="21"/>
          <w:highlight w:val="none"/>
          <w:u w:val="single"/>
        </w:rPr>
        <w:t>17:30</w:t>
      </w:r>
      <w:r>
        <w:rPr>
          <w:rFonts w:hint="eastAsia" w:ascii="宋体" w:hAnsi="宋体" w:eastAsia="宋体"/>
          <w:snapToGrid w:val="0"/>
          <w:color w:val="auto"/>
          <w:sz w:val="21"/>
          <w:szCs w:val="21"/>
          <w:highlight w:val="none"/>
          <w:u w:val="single"/>
        </w:rPr>
        <w:t>（北京时间，</w:t>
      </w:r>
      <w:r>
        <w:rPr>
          <w:rFonts w:ascii="宋体" w:hAnsi="宋体" w:eastAsia="宋体"/>
          <w:snapToGrid w:val="0"/>
          <w:color w:val="auto"/>
          <w:sz w:val="21"/>
          <w:szCs w:val="21"/>
          <w:highlight w:val="none"/>
          <w:u w:val="single"/>
        </w:rPr>
        <w:t>法定节假日</w:t>
      </w:r>
      <w:r>
        <w:rPr>
          <w:rFonts w:hint="eastAsia" w:ascii="宋体" w:hAnsi="宋体" w:eastAsia="宋体"/>
          <w:snapToGrid w:val="0"/>
          <w:color w:val="auto"/>
          <w:sz w:val="21"/>
          <w:szCs w:val="21"/>
          <w:highlight w:val="none"/>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开户银行：上海银行深圳分行天安支行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highlight w:val="none"/>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highlight w:val="none"/>
          <w:u w:val="single"/>
        </w:rPr>
        <w:t>202</w:t>
      </w:r>
      <w:r>
        <w:rPr>
          <w:rFonts w:hint="eastAsia" w:ascii="宋体" w:hAnsi="宋体" w:eastAsia="宋体"/>
          <w:snapToGrid w:val="0"/>
          <w:color w:val="auto"/>
          <w:sz w:val="21"/>
          <w:szCs w:val="21"/>
          <w:highlight w:val="none"/>
          <w:u w:val="single"/>
          <w:lang w:val="en-US" w:eastAsia="zh-CN"/>
        </w:rPr>
        <w:t>2</w:t>
      </w:r>
      <w:r>
        <w:rPr>
          <w:rFonts w:hint="eastAsia" w:ascii="宋体" w:hAnsi="宋体" w:eastAsia="宋体"/>
          <w:snapToGrid w:val="0"/>
          <w:color w:val="auto"/>
          <w:sz w:val="21"/>
          <w:szCs w:val="21"/>
          <w:highlight w:val="none"/>
          <w:u w:val="single"/>
        </w:rPr>
        <w:t>年</w:t>
      </w:r>
      <w:r>
        <w:rPr>
          <w:rFonts w:hint="eastAsia" w:ascii="宋体" w:hAnsi="宋体" w:eastAsia="宋体"/>
          <w:snapToGrid w:val="0"/>
          <w:color w:val="auto"/>
          <w:sz w:val="21"/>
          <w:szCs w:val="21"/>
          <w:highlight w:val="none"/>
          <w:u w:val="single"/>
          <w:lang w:val="en-US" w:eastAsia="zh-CN"/>
        </w:rPr>
        <w:t>7</w:t>
      </w:r>
      <w:r>
        <w:rPr>
          <w:rFonts w:hint="eastAsia" w:ascii="宋体" w:hAnsi="宋体" w:eastAsia="宋体"/>
          <w:snapToGrid w:val="0"/>
          <w:color w:val="auto"/>
          <w:sz w:val="21"/>
          <w:szCs w:val="21"/>
          <w:highlight w:val="none"/>
          <w:u w:val="single"/>
        </w:rPr>
        <w:t>月</w:t>
      </w:r>
      <w:r>
        <w:rPr>
          <w:rFonts w:hint="eastAsia" w:ascii="宋体" w:hAnsi="宋体" w:eastAsia="宋体"/>
          <w:snapToGrid w:val="0"/>
          <w:color w:val="auto"/>
          <w:sz w:val="21"/>
          <w:szCs w:val="21"/>
          <w:highlight w:val="none"/>
          <w:u w:val="single"/>
          <w:lang w:val="en-US" w:eastAsia="zh-CN"/>
        </w:rPr>
        <w:t>4</w:t>
      </w:r>
      <w:r>
        <w:rPr>
          <w:rFonts w:hint="eastAsia" w:ascii="宋体" w:hAnsi="宋体" w:eastAsia="宋体"/>
          <w:snapToGrid w:val="0"/>
          <w:color w:val="auto"/>
          <w:sz w:val="21"/>
          <w:szCs w:val="21"/>
          <w:highlight w:val="none"/>
          <w:u w:val="single"/>
        </w:rPr>
        <w:t>日1</w:t>
      </w:r>
      <w:r>
        <w:rPr>
          <w:rFonts w:hint="eastAsia" w:ascii="宋体" w:hAnsi="宋体" w:eastAsia="宋体"/>
          <w:snapToGrid w:val="0"/>
          <w:color w:val="auto"/>
          <w:sz w:val="21"/>
          <w:szCs w:val="21"/>
          <w:highlight w:val="none"/>
          <w:u w:val="single"/>
          <w:lang w:val="en-US" w:eastAsia="zh-CN"/>
        </w:rPr>
        <w:t>5</w:t>
      </w:r>
      <w:r>
        <w:rPr>
          <w:rFonts w:hint="eastAsia" w:ascii="宋体" w:hAnsi="宋体" w:eastAsia="宋体"/>
          <w:snapToGrid w:val="0"/>
          <w:color w:val="auto"/>
          <w:sz w:val="21"/>
          <w:szCs w:val="21"/>
          <w:highlight w:val="none"/>
          <w:u w:val="single"/>
        </w:rPr>
        <w:t>点</w:t>
      </w:r>
      <w:r>
        <w:rPr>
          <w:rFonts w:hint="eastAsia" w:ascii="宋体" w:hAnsi="宋体" w:eastAsia="宋体"/>
          <w:snapToGrid w:val="0"/>
          <w:color w:val="auto"/>
          <w:sz w:val="21"/>
          <w:szCs w:val="21"/>
          <w:highlight w:val="none"/>
          <w:u w:val="single"/>
          <w:lang w:val="en-US" w:eastAsia="zh-CN"/>
        </w:rPr>
        <w:t>0</w:t>
      </w:r>
      <w:r>
        <w:rPr>
          <w:rFonts w:hint="eastAsia" w:ascii="宋体" w:hAnsi="宋体" w:eastAsia="宋体"/>
          <w:snapToGrid w:val="0"/>
          <w:color w:val="auto"/>
          <w:sz w:val="21"/>
          <w:szCs w:val="21"/>
          <w:highlight w:val="none"/>
          <w:u w:val="single"/>
        </w:rPr>
        <w:t>0分（北京时间）</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2、地点：深圳市龙岗区龙西社区添利鑫创业园添利鑫大厦801</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1、凡参与深圳市政府采购活动的供应商，应自行在深圳公共资源交易中心网站上办理注册（注册网址：</w:t>
      </w:r>
      <w:r>
        <w:rPr>
          <w:rFonts w:asciiTheme="minorEastAsia" w:hAnsiTheme="minorEastAsia" w:eastAsiaTheme="minorEastAsia"/>
          <w:b/>
          <w:snapToGrid w:val="0"/>
          <w:color w:val="auto"/>
          <w:sz w:val="21"/>
        </w:rPr>
        <w:t>www.szzfcg.cn</w:t>
      </w:r>
      <w:r>
        <w:rPr>
          <w:rFonts w:hint="eastAsia" w:ascii="宋体" w:hAnsi="宋体" w:eastAsia="宋体"/>
          <w:b/>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2、本项目需要落实的政府采购政策：《财政部 工业和信息化部关于印发&lt;政府采购促进中小企业发展管理办法&gt;的通知》(财库〔2020〕46号)、《关于政府采购支持监狱企业发展有关问题的通知》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、《关于环境标志产品政府采购实施的意见》（财库〔</w:t>
      </w:r>
      <w:r>
        <w:rPr>
          <w:rFonts w:ascii="宋体" w:hAnsi="宋体" w:eastAsia="宋体"/>
          <w:snapToGrid w:val="0"/>
          <w:color w:val="auto"/>
          <w:sz w:val="21"/>
          <w:szCs w:val="21"/>
        </w:rPr>
        <w:t>2006</w:t>
      </w:r>
      <w:r>
        <w:rPr>
          <w:rFonts w:hint="eastAsia" w:ascii="宋体" w:hAnsi="宋体" w:eastAsia="宋体"/>
          <w:snapToGrid w:val="0"/>
          <w:color w:val="auto"/>
          <w:sz w:val="21"/>
          <w:szCs w:val="21"/>
        </w:rPr>
        <w:t>〕</w:t>
      </w:r>
      <w:r>
        <w:rPr>
          <w:rFonts w:ascii="宋体" w:hAnsi="宋体" w:eastAsia="宋体"/>
          <w:snapToGrid w:val="0"/>
          <w:color w:val="auto"/>
          <w:sz w:val="21"/>
          <w:szCs w:val="21"/>
        </w:rPr>
        <w:t>90</w:t>
      </w:r>
      <w:r>
        <w:rPr>
          <w:rFonts w:hint="eastAsia" w:ascii="宋体" w:hAnsi="宋体" w:eastAsia="宋体"/>
          <w:snapToGrid w:val="0"/>
          <w:color w:val="auto"/>
          <w:sz w:val="21"/>
          <w:szCs w:val="21"/>
        </w:rPr>
        <w:t>号）、《节能产品政府采购实施意见》的通知（财库〔</w:t>
      </w:r>
      <w:r>
        <w:rPr>
          <w:rFonts w:ascii="宋体" w:hAnsi="宋体" w:eastAsia="宋体"/>
          <w:snapToGrid w:val="0"/>
          <w:color w:val="auto"/>
          <w:sz w:val="21"/>
          <w:szCs w:val="21"/>
        </w:rPr>
        <w:t>2004</w:t>
      </w:r>
      <w:r>
        <w:rPr>
          <w:rFonts w:hint="eastAsia" w:ascii="宋体" w:hAnsi="宋体" w:eastAsia="宋体"/>
          <w:snapToGrid w:val="0"/>
          <w:color w:val="auto"/>
          <w:sz w:val="21"/>
          <w:szCs w:val="21"/>
        </w:rPr>
        <w:t>〕</w:t>
      </w:r>
      <w:r>
        <w:rPr>
          <w:rFonts w:ascii="宋体" w:hAnsi="宋体" w:eastAsia="宋体"/>
          <w:snapToGrid w:val="0"/>
          <w:color w:val="auto"/>
          <w:sz w:val="21"/>
          <w:szCs w:val="21"/>
        </w:rPr>
        <w:t>185</w:t>
      </w:r>
      <w:r>
        <w:rPr>
          <w:rFonts w:hint="eastAsia" w:ascii="宋体" w:hAnsi="宋体" w:eastAsia="宋体"/>
          <w:snapToGrid w:val="0"/>
          <w:color w:val="auto"/>
          <w:sz w:val="21"/>
          <w:szCs w:val="21"/>
        </w:rPr>
        <w:t>号）、《关于调整优化节能产品、环境标志产品政府采购执行机制的通知》（财库〔</w:t>
      </w:r>
      <w:r>
        <w:rPr>
          <w:rFonts w:ascii="宋体" w:hAnsi="宋体" w:eastAsia="宋体"/>
          <w:snapToGrid w:val="0"/>
          <w:color w:val="auto"/>
          <w:sz w:val="21"/>
          <w:szCs w:val="21"/>
        </w:rPr>
        <w:t>2019</w:t>
      </w:r>
      <w:r>
        <w:rPr>
          <w:rFonts w:hint="eastAsia" w:ascii="宋体" w:hAnsi="宋体" w:eastAsia="宋体"/>
          <w:snapToGrid w:val="0"/>
          <w:color w:val="auto"/>
          <w:sz w:val="21"/>
          <w:szCs w:val="21"/>
        </w:rPr>
        <w:t>〕</w:t>
      </w:r>
      <w:r>
        <w:rPr>
          <w:rFonts w:ascii="宋体" w:hAnsi="宋体" w:eastAsia="宋体"/>
          <w:snapToGrid w:val="0"/>
          <w:color w:val="auto"/>
          <w:sz w:val="21"/>
          <w:szCs w:val="21"/>
        </w:rPr>
        <w:t>9</w:t>
      </w:r>
      <w:r>
        <w:rPr>
          <w:rFonts w:hint="eastAsia" w:ascii="宋体" w:hAnsi="宋体" w:eastAsia="宋体"/>
          <w:snapToGrid w:val="0"/>
          <w:color w:val="auto"/>
          <w:sz w:val="21"/>
          <w:szCs w:val="21"/>
        </w:rPr>
        <w:t>号）。</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名称：深圳市龙岗区耳鼻咽喉医院</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地址：深圳市龙岗区龙岗大道龙岗段</w:t>
      </w:r>
      <w:r>
        <w:rPr>
          <w:rFonts w:ascii="宋体" w:hAnsi="宋体" w:eastAsia="宋体"/>
          <w:snapToGrid w:val="0"/>
          <w:color w:val="auto"/>
          <w:sz w:val="21"/>
          <w:szCs w:val="21"/>
        </w:rPr>
        <w:t>3004</w:t>
      </w:r>
      <w:r>
        <w:rPr>
          <w:rFonts w:hint="eastAsia" w:ascii="宋体" w:hAnsi="宋体" w:eastAsia="宋体"/>
          <w:snapToGrid w:val="0"/>
          <w:color w:val="auto"/>
          <w:sz w:val="21"/>
          <w:szCs w:val="21"/>
        </w:rPr>
        <w:t>号</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联系方式：黄工，0755-28989999-8852</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2、招标代理机构信息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联系方式：曾工，0755-83026699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项目联系人：曾工</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highlight w:val="yellow"/>
        </w:rPr>
      </w:pPr>
      <w:r>
        <w:rPr>
          <w:rFonts w:ascii="宋体" w:hAnsi="宋体"/>
          <w:snapToGrid w:val="0"/>
          <w:kern w:val="0"/>
          <w:sz w:val="24"/>
          <w:highlight w:val="none"/>
        </w:rPr>
        <w:t>202</w:t>
      </w:r>
      <w:r>
        <w:rPr>
          <w:rFonts w:hint="eastAsia" w:ascii="宋体" w:hAnsi="宋体"/>
          <w:snapToGrid w:val="0"/>
          <w:kern w:val="0"/>
          <w:sz w:val="24"/>
          <w:highlight w:val="none"/>
        </w:rPr>
        <w:t>2</w:t>
      </w:r>
      <w:r>
        <w:rPr>
          <w:rFonts w:ascii="宋体" w:hAnsi="宋体"/>
          <w:snapToGrid w:val="0"/>
          <w:kern w:val="0"/>
          <w:sz w:val="24"/>
          <w:highlight w:val="none"/>
        </w:rPr>
        <w:t>年</w:t>
      </w:r>
      <w:r>
        <w:rPr>
          <w:rFonts w:hint="eastAsia" w:ascii="宋体" w:hAnsi="宋体"/>
          <w:snapToGrid w:val="0"/>
          <w:kern w:val="0"/>
          <w:sz w:val="24"/>
          <w:highlight w:val="none"/>
        </w:rPr>
        <w:t>06</w:t>
      </w:r>
      <w:r>
        <w:rPr>
          <w:rFonts w:ascii="宋体" w:hAnsi="宋体"/>
          <w:snapToGrid w:val="0"/>
          <w:kern w:val="0"/>
          <w:sz w:val="24"/>
          <w:highlight w:val="none"/>
        </w:rPr>
        <w:t>月</w:t>
      </w:r>
      <w:r>
        <w:rPr>
          <w:rFonts w:hint="eastAsia" w:ascii="宋体" w:hAnsi="宋体"/>
          <w:snapToGrid w:val="0"/>
          <w:kern w:val="0"/>
          <w:sz w:val="24"/>
          <w:highlight w:val="none"/>
        </w:rPr>
        <w:t>21日</w:t>
      </w:r>
    </w:p>
    <w:p>
      <w:pPr>
        <w:widowControl/>
        <w:jc w:val="left"/>
        <w:rPr>
          <w:rFonts w:eastAsiaTheme="minorEastAsia"/>
          <w:b/>
          <w:kern w:val="44"/>
          <w:szCs w:val="21"/>
        </w:rPr>
      </w:pPr>
      <w:r>
        <w:rPr>
          <w:szCs w:val="21"/>
        </w:rPr>
        <w:br w:type="page"/>
      </w:r>
    </w:p>
    <w:p>
      <w:pPr>
        <w:pStyle w:val="3"/>
        <w:spacing w:line="240" w:lineRule="auto"/>
        <w:jc w:val="both"/>
        <w:rPr>
          <w:sz w:val="21"/>
          <w:szCs w:val="21"/>
        </w:rPr>
      </w:pPr>
    </w:p>
    <w:p>
      <w:pPr>
        <w:pStyle w:val="3"/>
      </w:pPr>
      <w:bookmarkStart w:id="1" w:name="_Toc73610136"/>
      <w:r>
        <w:rPr>
          <w:rFonts w:hint="eastAsia"/>
        </w:rPr>
        <w:t>第二章  项目需求</w:t>
      </w:r>
      <w:bookmarkEnd w:id="1"/>
    </w:p>
    <w:p>
      <w:pPr>
        <w:spacing w:afterLines="50" w:line="360" w:lineRule="auto"/>
        <w:ind w:left="2"/>
        <w:jc w:val="center"/>
        <w:rPr>
          <w:rFonts w:ascii="宋体" w:hAnsi="宋体"/>
          <w:b/>
          <w:sz w:val="28"/>
          <w:szCs w:val="28"/>
        </w:rPr>
      </w:pPr>
      <w:r>
        <w:rPr>
          <w:rFonts w:hint="eastAsia" w:ascii="宋体" w:hAnsi="宋体"/>
          <w:b/>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1、本章项目需求中所出现的工艺、材料、设备或参照的品牌仅为方便描述而没有限制性，投标人可以在其提供的文件资料中选用替代标准，但这些替代标准要优于或相当于技术规格中要求的标准。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3、技术参数设置为区间要求的（例如：潮气量：</w:t>
      </w:r>
      <w:r>
        <w:rPr>
          <w:rFonts w:ascii="仿宋_GB2312" w:eastAsia="仿宋_GB2312"/>
          <w:sz w:val="24"/>
        </w:rPr>
        <w:t>0-2000ML</w:t>
      </w:r>
      <w:r>
        <w:rPr>
          <w:rFonts w:hint="eastAsia" w:ascii="仿宋_GB2312" w:eastAsia="仿宋_GB2312"/>
          <w:sz w:val="24"/>
        </w:rPr>
        <w:t>），投标产品参数区间与招标要求不完全一致的均视为负偏离。</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4、对于定制类产品，投标人需在投标文件“分项价格表”中明确注明“定制”，否则该产品技术参数按负偏离处理。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5、加注▲的条款为重要条款要求，如不满足将按照第四章“评标标准”进行扣分。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highlight w:val="none"/>
        </w:rPr>
      </w:pPr>
      <w:r>
        <w:rPr>
          <w:rFonts w:hint="eastAsia" w:ascii="仿宋_GB2312" w:eastAsia="仿宋_GB2312"/>
          <w:b/>
          <w:sz w:val="24"/>
          <w:highlight w:val="none"/>
        </w:rPr>
        <w:t>6、加注★的条款为不可负偏离条款，任一项未响应或不满足要求的，将导致投标无效。</w:t>
      </w:r>
    </w:p>
    <w:p>
      <w:pPr>
        <w:spacing w:line="360" w:lineRule="auto"/>
        <w:ind w:left="510"/>
        <w:rPr>
          <w:rFonts w:eastAsia="黑体"/>
          <w:bCs/>
          <w:snapToGrid w:val="0"/>
          <w:kern w:val="0"/>
          <w:sz w:val="24"/>
        </w:rPr>
      </w:pPr>
    </w:p>
    <w:p>
      <w:pPr>
        <w:spacing w:line="360" w:lineRule="auto"/>
        <w:ind w:left="2"/>
        <w:rPr>
          <w:rFonts w:ascii="宋体" w:hAnsi="宋体"/>
          <w:b/>
          <w:sz w:val="24"/>
        </w:rPr>
      </w:pPr>
      <w:r>
        <w:rPr>
          <w:rFonts w:hint="eastAsia" w:ascii="宋体" w:hAnsi="宋体"/>
          <w:bCs/>
          <w:snapToGrid w:val="0"/>
          <w:kern w:val="0"/>
          <w:sz w:val="24"/>
        </w:rPr>
        <w:t>一、</w:t>
      </w:r>
      <w:r>
        <w:rPr>
          <w:rFonts w:hint="eastAsia" w:ascii="宋体" w:hAnsi="宋体"/>
          <w:b/>
          <w:sz w:val="24"/>
        </w:rPr>
        <w:t>采购范围</w:t>
      </w:r>
    </w:p>
    <w:p>
      <w:pPr>
        <w:rPr>
          <w:rFonts w:ascii="宋体" w:hAnsi="宋体"/>
          <w:b/>
          <w:szCs w:val="21"/>
        </w:rPr>
      </w:pPr>
      <w:r>
        <w:rPr>
          <w:rFonts w:hint="eastAsia" w:ascii="宋体" w:hAnsi="宋体"/>
          <w:b/>
          <w:szCs w:val="21"/>
        </w:rPr>
        <w:t>（一）货物总清单</w:t>
      </w:r>
    </w:p>
    <w:tbl>
      <w:tblPr>
        <w:tblStyle w:val="50"/>
        <w:tblW w:w="9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65"/>
        <w:gridCol w:w="2826"/>
        <w:gridCol w:w="779"/>
        <w:gridCol w:w="780"/>
        <w:gridCol w:w="1488"/>
        <w:gridCol w:w="1489"/>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865"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2826"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项目名称</w:t>
            </w:r>
          </w:p>
        </w:tc>
        <w:tc>
          <w:tcPr>
            <w:tcW w:w="779" w:type="dxa"/>
            <w:tcMar>
              <w:top w:w="0" w:type="dxa"/>
              <w:left w:w="108" w:type="dxa"/>
              <w:bottom w:w="0" w:type="dxa"/>
              <w:right w:w="108" w:type="dxa"/>
            </w:tcMar>
            <w:vAlign w:val="center"/>
          </w:tcPr>
          <w:p>
            <w:pPr>
              <w:widowControl/>
              <w:spacing w:line="240" w:lineRule="auto"/>
              <w:jc w:val="center"/>
              <w:rPr>
                <w:rFonts w:ascii="宋体" w:hAnsi="宋体" w:cs="宋体"/>
                <w:b/>
                <w:kern w:val="0"/>
                <w:szCs w:val="21"/>
              </w:rPr>
            </w:pPr>
            <w:r>
              <w:rPr>
                <w:rFonts w:hint="eastAsia" w:ascii="宋体" w:hAnsi="宋体" w:cs="宋体"/>
                <w:b/>
                <w:kern w:val="0"/>
                <w:sz w:val="20"/>
                <w:szCs w:val="20"/>
              </w:rPr>
              <w:t>数量</w:t>
            </w:r>
          </w:p>
        </w:tc>
        <w:tc>
          <w:tcPr>
            <w:tcW w:w="780"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488"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采购预算金额</w:t>
            </w:r>
          </w:p>
          <w:p>
            <w:pPr>
              <w:widowControl/>
              <w:spacing w:line="360" w:lineRule="auto"/>
              <w:jc w:val="center"/>
              <w:rPr>
                <w:rFonts w:ascii="宋体" w:hAnsi="宋体" w:cs="宋体"/>
                <w:bCs/>
                <w:kern w:val="0"/>
                <w:szCs w:val="21"/>
              </w:rPr>
            </w:pPr>
            <w:r>
              <w:rPr>
                <w:rFonts w:hint="eastAsia" w:ascii="宋体" w:hAnsi="宋体" w:cs="宋体"/>
                <w:b/>
                <w:szCs w:val="21"/>
              </w:rPr>
              <w:t>（人民币元）</w:t>
            </w:r>
          </w:p>
        </w:tc>
        <w:tc>
          <w:tcPr>
            <w:tcW w:w="1489" w:type="dxa"/>
          </w:tcPr>
          <w:p>
            <w:pPr>
              <w:widowControl/>
              <w:spacing w:line="360" w:lineRule="auto"/>
              <w:jc w:val="center"/>
              <w:rPr>
                <w:rFonts w:hint="eastAsia" w:ascii="宋体" w:hAnsi="宋体" w:cs="宋体"/>
                <w:b/>
                <w:kern w:val="0"/>
                <w:szCs w:val="21"/>
              </w:rPr>
            </w:pPr>
            <w:r>
              <w:rPr>
                <w:rFonts w:hint="eastAsia" w:ascii="宋体" w:hAnsi="宋体" w:cs="宋体"/>
                <w:b/>
                <w:kern w:val="0"/>
                <w:szCs w:val="21"/>
              </w:rPr>
              <w:t>最高限价</w:t>
            </w:r>
          </w:p>
          <w:p>
            <w:pPr>
              <w:widowControl/>
              <w:spacing w:line="360" w:lineRule="auto"/>
              <w:jc w:val="center"/>
              <w:rPr>
                <w:rFonts w:ascii="宋体" w:hAnsi="宋体" w:cs="宋体"/>
                <w:b/>
                <w:kern w:val="0"/>
                <w:szCs w:val="21"/>
              </w:rPr>
            </w:pPr>
            <w:r>
              <w:rPr>
                <w:rFonts w:hint="eastAsia" w:ascii="宋体" w:hAnsi="宋体" w:cs="宋体"/>
                <w:b/>
                <w:kern w:val="0"/>
                <w:szCs w:val="21"/>
              </w:rPr>
              <w:t>（人民币元）</w:t>
            </w:r>
          </w:p>
        </w:tc>
        <w:tc>
          <w:tcPr>
            <w:tcW w:w="113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865"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2826"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双通道纯音听力计采购项目</w:t>
            </w:r>
          </w:p>
        </w:tc>
        <w:tc>
          <w:tcPr>
            <w:tcW w:w="779" w:type="dxa"/>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2</w:t>
            </w:r>
          </w:p>
        </w:tc>
        <w:tc>
          <w:tcPr>
            <w:tcW w:w="780"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套</w:t>
            </w:r>
          </w:p>
        </w:tc>
        <w:tc>
          <w:tcPr>
            <w:tcW w:w="1488" w:type="dxa"/>
            <w:vAlign w:val="center"/>
          </w:tcPr>
          <w:p>
            <w:pPr>
              <w:jc w:val="center"/>
              <w:rPr>
                <w:rFonts w:ascii="宋体" w:hAnsi="宋体" w:cs="宋体"/>
                <w:bCs/>
                <w:kern w:val="0"/>
                <w:szCs w:val="21"/>
              </w:rPr>
            </w:pPr>
            <w:r>
              <w:rPr>
                <w:rFonts w:hint="eastAsia" w:ascii="宋体" w:hAnsi="宋体" w:cs="宋体"/>
                <w:bCs/>
                <w:kern w:val="0"/>
                <w:szCs w:val="21"/>
              </w:rPr>
              <w:t>440,000.00</w:t>
            </w:r>
          </w:p>
        </w:tc>
        <w:tc>
          <w:tcPr>
            <w:tcW w:w="148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440,000.00</w:t>
            </w:r>
          </w:p>
        </w:tc>
        <w:tc>
          <w:tcPr>
            <w:tcW w:w="113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接受进口</w:t>
            </w:r>
          </w:p>
        </w:tc>
      </w:tr>
    </w:tbl>
    <w:p>
      <w:pPr>
        <w:widowControl/>
        <w:snapToGrid w:val="0"/>
        <w:spacing w:line="360" w:lineRule="auto"/>
        <w:ind w:left="2"/>
        <w:jc w:val="left"/>
        <w:rPr>
          <w:rFonts w:ascii="宋体" w:hAnsi="宋体"/>
          <w:bCs/>
          <w:snapToGrid w:val="0"/>
          <w:kern w:val="0"/>
          <w:szCs w:val="21"/>
        </w:rPr>
      </w:pPr>
    </w:p>
    <w:p>
      <w:pPr>
        <w:rPr>
          <w:rFonts w:ascii="宋体" w:hAnsi="宋体"/>
          <w:b/>
          <w:szCs w:val="21"/>
        </w:rPr>
      </w:pPr>
      <w:r>
        <w:rPr>
          <w:rFonts w:hint="eastAsia" w:ascii="宋体" w:hAnsi="宋体"/>
          <w:b/>
          <w:szCs w:val="21"/>
        </w:rPr>
        <w:t>（二）货物清单明细</w:t>
      </w:r>
    </w:p>
    <w:tbl>
      <w:tblPr>
        <w:tblStyle w:val="50"/>
        <w:tblW w:w="478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58"/>
        <w:gridCol w:w="1096"/>
        <w:gridCol w:w="2622"/>
        <w:gridCol w:w="582"/>
        <w:gridCol w:w="627"/>
        <w:gridCol w:w="889"/>
        <w:gridCol w:w="948"/>
        <w:gridCol w:w="1329"/>
        <w:gridCol w:w="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302" w:type="pct"/>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593" w:type="pct"/>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货物名称</w:t>
            </w:r>
          </w:p>
        </w:tc>
        <w:tc>
          <w:tcPr>
            <w:tcW w:w="1418" w:type="pct"/>
            <w:tcMar>
              <w:top w:w="0" w:type="dxa"/>
              <w:left w:w="108" w:type="dxa"/>
              <w:bottom w:w="0" w:type="dxa"/>
              <w:right w:w="108" w:type="dxa"/>
            </w:tcMar>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用途</w:t>
            </w:r>
          </w:p>
        </w:tc>
        <w:tc>
          <w:tcPr>
            <w:tcW w:w="315" w:type="pct"/>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339" w:type="pct"/>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481" w:type="pct"/>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预算单价（万元）</w:t>
            </w:r>
          </w:p>
        </w:tc>
        <w:tc>
          <w:tcPr>
            <w:tcW w:w="513" w:type="pct"/>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预算总价（万元）</w:t>
            </w:r>
          </w:p>
        </w:tc>
        <w:tc>
          <w:tcPr>
            <w:tcW w:w="719" w:type="pct"/>
            <w:vAlign w:val="center"/>
          </w:tcPr>
          <w:p>
            <w:pPr>
              <w:widowControl/>
              <w:spacing w:line="360" w:lineRule="auto"/>
              <w:jc w:val="center"/>
              <w:rPr>
                <w:rFonts w:ascii="宋体" w:hAnsi="宋体" w:cs="宋体"/>
                <w:bCs/>
                <w:kern w:val="0"/>
                <w:szCs w:val="21"/>
              </w:rPr>
            </w:pPr>
            <w:r>
              <w:rPr>
                <w:rFonts w:hint="eastAsia" w:ascii="宋体" w:hAnsi="宋体" w:cs="宋体"/>
                <w:b/>
                <w:kern w:val="0"/>
                <w:szCs w:val="21"/>
              </w:rPr>
              <w:t>采购预算金额</w:t>
            </w:r>
            <w:r>
              <w:rPr>
                <w:rFonts w:hint="eastAsia" w:ascii="宋体" w:hAnsi="宋体" w:cs="宋体"/>
                <w:b/>
                <w:szCs w:val="21"/>
              </w:rPr>
              <w:t>（人民币元）</w:t>
            </w:r>
          </w:p>
        </w:tc>
        <w:tc>
          <w:tcPr>
            <w:tcW w:w="314" w:type="pct"/>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302"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593" w:type="pct"/>
            <w:vAlign w:val="center"/>
          </w:tcPr>
          <w:p>
            <w:pPr>
              <w:widowControl/>
              <w:spacing w:line="360" w:lineRule="auto"/>
              <w:jc w:val="center"/>
              <w:rPr>
                <w:rFonts w:ascii="宋体" w:hAnsi="宋体" w:cs="宋体"/>
                <w:kern w:val="0"/>
                <w:szCs w:val="21"/>
              </w:rPr>
            </w:pPr>
            <w:r>
              <w:rPr>
                <w:rFonts w:hint="eastAsia" w:ascii="宋体" w:hAnsi="宋体" w:cs="宋体"/>
                <w:color w:val="000000"/>
                <w:kern w:val="0"/>
                <w:sz w:val="20"/>
                <w:szCs w:val="20"/>
              </w:rPr>
              <w:t>双通道纯音听力计</w:t>
            </w:r>
          </w:p>
        </w:tc>
        <w:tc>
          <w:tcPr>
            <w:tcW w:w="1418" w:type="pct"/>
            <w:tcMar>
              <w:top w:w="0" w:type="dxa"/>
              <w:left w:w="108" w:type="dxa"/>
              <w:bottom w:w="0" w:type="dxa"/>
              <w:right w:w="108" w:type="dxa"/>
            </w:tcMar>
          </w:tcPr>
          <w:p>
            <w:pPr>
              <w:widowControl/>
              <w:spacing w:line="360" w:lineRule="auto"/>
              <w:rPr>
                <w:rFonts w:ascii="宋体" w:hAnsi="宋体" w:cs="宋体"/>
                <w:kern w:val="0"/>
                <w:szCs w:val="21"/>
              </w:rPr>
            </w:pPr>
            <w:r>
              <w:rPr>
                <w:rFonts w:hint="eastAsia" w:ascii="宋体" w:hAnsi="宋体"/>
                <w:szCs w:val="21"/>
              </w:rPr>
              <w:t>测定个体对各种频率感受性大小的仪器，通过与正常听觉相比，就可确定被试的听力损失情况。</w:t>
            </w:r>
          </w:p>
        </w:tc>
        <w:tc>
          <w:tcPr>
            <w:tcW w:w="315"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2</w:t>
            </w:r>
          </w:p>
        </w:tc>
        <w:tc>
          <w:tcPr>
            <w:tcW w:w="339"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套</w:t>
            </w:r>
          </w:p>
        </w:tc>
        <w:tc>
          <w:tcPr>
            <w:tcW w:w="481"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22</w:t>
            </w:r>
          </w:p>
        </w:tc>
        <w:tc>
          <w:tcPr>
            <w:tcW w:w="513"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44</w:t>
            </w:r>
          </w:p>
        </w:tc>
        <w:tc>
          <w:tcPr>
            <w:tcW w:w="719" w:type="pct"/>
            <w:vAlign w:val="center"/>
          </w:tcPr>
          <w:p>
            <w:pPr>
              <w:jc w:val="center"/>
              <w:rPr>
                <w:rFonts w:ascii="宋体" w:hAnsi="宋体" w:cs="宋体"/>
                <w:bCs/>
                <w:kern w:val="0"/>
                <w:szCs w:val="21"/>
              </w:rPr>
            </w:pPr>
            <w:r>
              <w:rPr>
                <w:rFonts w:hint="eastAsia" w:ascii="宋体" w:hAnsi="宋体" w:cs="宋体"/>
                <w:bCs/>
                <w:kern w:val="0"/>
                <w:szCs w:val="21"/>
              </w:rPr>
              <w:t>44</w:t>
            </w:r>
            <w:r>
              <w:rPr>
                <w:rFonts w:ascii="宋体" w:hAnsi="宋体" w:cs="宋体"/>
                <w:bCs/>
                <w:kern w:val="0"/>
                <w:szCs w:val="21"/>
              </w:rPr>
              <w:t>0</w:t>
            </w:r>
            <w:r>
              <w:rPr>
                <w:rFonts w:hint="eastAsia" w:ascii="宋体" w:hAnsi="宋体" w:cs="宋体"/>
                <w:bCs/>
                <w:kern w:val="0"/>
                <w:szCs w:val="21"/>
              </w:rPr>
              <w:t>,</w:t>
            </w:r>
            <w:r>
              <w:rPr>
                <w:rFonts w:ascii="宋体" w:hAnsi="宋体" w:cs="宋体"/>
                <w:bCs/>
                <w:kern w:val="0"/>
                <w:szCs w:val="21"/>
              </w:rPr>
              <w:t>000.00</w:t>
            </w:r>
          </w:p>
        </w:tc>
        <w:tc>
          <w:tcPr>
            <w:tcW w:w="314" w:type="pct"/>
            <w:vAlign w:val="center"/>
          </w:tcPr>
          <w:p>
            <w:pPr>
              <w:widowControl/>
              <w:spacing w:line="360" w:lineRule="auto"/>
              <w:jc w:val="center"/>
              <w:rPr>
                <w:rFonts w:ascii="宋体" w:hAnsi="宋体" w:cs="宋体"/>
                <w:kern w:val="0"/>
                <w:szCs w:val="21"/>
              </w:rPr>
            </w:pPr>
            <w:r>
              <w:rPr>
                <w:rFonts w:hint="eastAsia" w:ascii="宋体" w:hAnsi="宋体"/>
                <w:bCs/>
                <w:snapToGrid w:val="0"/>
                <w:kern w:val="0"/>
                <w:szCs w:val="21"/>
              </w:rPr>
              <w:t>接受进口</w:t>
            </w:r>
          </w:p>
        </w:tc>
      </w:tr>
    </w:tbl>
    <w:p>
      <w:pPr>
        <w:pStyle w:val="2"/>
      </w:pPr>
    </w:p>
    <w:p>
      <w:pPr>
        <w:pStyle w:val="453"/>
        <w:adjustRightInd w:val="0"/>
        <w:snapToGrid w:val="0"/>
        <w:spacing w:before="0" w:beforeAutospacing="0" w:after="0" w:afterAutospacing="0" w:line="360" w:lineRule="auto"/>
        <w:ind w:firstLine="424" w:firstLineChars="202"/>
        <w:rPr>
          <w:rFonts w:ascii="宋体" w:hAnsi="宋体" w:eastAsia="宋体"/>
          <w:b/>
          <w:snapToGrid w:val="0"/>
          <w:color w:val="auto"/>
          <w:sz w:val="21"/>
          <w:szCs w:val="21"/>
        </w:rPr>
      </w:pPr>
      <w:r>
        <w:rPr>
          <w:rFonts w:hint="eastAsia" w:ascii="宋体" w:hAnsi="宋体" w:eastAsia="宋体" w:cs="Times New Roman"/>
          <w:color w:val="auto"/>
          <w:kern w:val="2"/>
          <w:sz w:val="21"/>
          <w:szCs w:val="21"/>
        </w:rPr>
        <w:t>注：（1）</w:t>
      </w:r>
      <w:r>
        <w:rPr>
          <w:rFonts w:hint="eastAsia" w:ascii="宋体" w:hAnsi="宋体" w:eastAsia="宋体" w:cs="Times New Roman"/>
          <w:b/>
          <w:color w:val="auto"/>
          <w:kern w:val="2"/>
          <w:sz w:val="21"/>
          <w:szCs w:val="21"/>
        </w:rPr>
        <w:t>本项目所属行业为</w:t>
      </w:r>
      <w:r>
        <w:rPr>
          <w:rFonts w:hint="eastAsia" w:ascii="宋体" w:hAnsi="宋体" w:eastAsia="宋体" w:cs="Times New Roman"/>
          <w:b/>
          <w:color w:val="auto"/>
          <w:kern w:val="2"/>
          <w:sz w:val="21"/>
          <w:szCs w:val="21"/>
          <w:u w:val="single"/>
        </w:rPr>
        <w:t xml:space="preserve">  工业  </w:t>
      </w:r>
      <w:r>
        <w:rPr>
          <w:rFonts w:hint="eastAsia" w:ascii="宋体" w:hAnsi="宋体" w:eastAsia="宋体" w:cs="Times New Roman"/>
          <w:b/>
          <w:color w:val="auto"/>
          <w:kern w:val="2"/>
          <w:sz w:val="21"/>
          <w:szCs w:val="21"/>
        </w:rPr>
        <w:t>，</w:t>
      </w:r>
      <w:r>
        <w:rPr>
          <w:rFonts w:hint="eastAsia" w:ascii="宋体" w:hAnsi="宋体" w:eastAsia="宋体" w:cs="Times New Roman"/>
          <w:color w:val="auto"/>
          <w:kern w:val="2"/>
          <w:sz w:val="21"/>
          <w:szCs w:val="21"/>
        </w:rPr>
        <w:t>投标人应根据《工业和信息化部、国家统计局、国家发展和改革委员会、财政部关于印发中小企业划型标准规定的通知》(工信部联企业〔2011〕300号)规定的中小企业划型标准填写《中小企业声明函》。</w:t>
      </w:r>
    </w:p>
    <w:p>
      <w:pPr>
        <w:widowControl/>
        <w:snapToGrid w:val="0"/>
        <w:spacing w:line="360" w:lineRule="auto"/>
        <w:ind w:left="2" w:firstLine="422" w:firstLineChars="201"/>
        <w:jc w:val="left"/>
        <w:rPr>
          <w:rFonts w:ascii="宋体" w:hAnsi="宋体"/>
          <w:bCs/>
          <w:snapToGrid w:val="0"/>
          <w:kern w:val="0"/>
          <w:szCs w:val="21"/>
        </w:rPr>
      </w:pPr>
      <w:r>
        <w:rPr>
          <w:rFonts w:hint="eastAsia" w:ascii="宋体" w:hAnsi="宋体"/>
          <w:bCs/>
          <w:snapToGrid w:val="0"/>
          <w:kern w:val="0"/>
          <w:szCs w:val="21"/>
        </w:rPr>
        <w:t>（2）如同时有两家或两家以上（均为制造商的合法代理商）通过资格审查及符合性审查的合格投标人</w:t>
      </w:r>
      <w:r>
        <w:rPr>
          <w:rFonts w:hint="eastAsia" w:ascii="宋体" w:hAnsi="宋体"/>
          <w:b/>
          <w:bCs/>
          <w:snapToGrid w:val="0"/>
          <w:kern w:val="0"/>
          <w:szCs w:val="21"/>
        </w:rPr>
        <w:t>所投产品为相同品牌的，按一家投标人计算</w:t>
      </w:r>
      <w:r>
        <w:rPr>
          <w:rFonts w:hint="eastAsia" w:ascii="宋体" w:hAnsi="宋体"/>
          <w:bCs/>
          <w:snapToGrid w:val="0"/>
          <w:kern w:val="0"/>
          <w:szCs w:val="21"/>
        </w:rPr>
        <w:t>。在此种情况下，评审后得分最高的</w:t>
      </w:r>
      <w:r>
        <w:rPr>
          <w:rFonts w:hint="eastAsia" w:asciiTheme="minorEastAsia" w:hAnsiTheme="minorEastAsia" w:eastAsiaTheme="minorEastAsia"/>
          <w:color w:val="333333"/>
        </w:rPr>
        <w:t>同品牌</w:t>
      </w:r>
      <w:r>
        <w:rPr>
          <w:rFonts w:hint="eastAsia" w:ascii="宋体" w:hAnsi="宋体"/>
          <w:bCs/>
          <w:snapToGrid w:val="0"/>
          <w:kern w:val="0"/>
          <w:szCs w:val="21"/>
        </w:rPr>
        <w:t>投标人获得中标人推荐资格；评审得分相同的由报价相对最低的获得中标人推荐资格；评审得分及报价均相同的由技术部分评分相对最高的获得中标人推荐资格；</w:t>
      </w:r>
      <w:r>
        <w:rPr>
          <w:rFonts w:hint="eastAsia"/>
          <w:snapToGrid w:val="0"/>
          <w:kern w:val="0"/>
        </w:rPr>
        <w:t>以上均相同的由评标委员会采取随机抽取方式确定</w:t>
      </w:r>
      <w:r>
        <w:rPr>
          <w:rFonts w:hint="eastAsia" w:ascii="宋体" w:hAnsi="宋体"/>
          <w:bCs/>
          <w:snapToGrid w:val="0"/>
          <w:kern w:val="0"/>
          <w:szCs w:val="21"/>
        </w:rPr>
        <w:t>，其他同品牌投标人不作为中标候选人。</w:t>
      </w:r>
    </w:p>
    <w:p>
      <w:pPr>
        <w:adjustRightInd w:val="0"/>
        <w:snapToGrid w:val="0"/>
        <w:spacing w:line="360" w:lineRule="auto"/>
        <w:ind w:firstLine="422" w:firstLineChars="201"/>
        <w:rPr>
          <w:rFonts w:ascii="宋体" w:hAnsi="宋体"/>
          <w:b/>
          <w:bCs/>
          <w:snapToGrid w:val="0"/>
          <w:kern w:val="0"/>
          <w:szCs w:val="21"/>
        </w:rPr>
      </w:pPr>
      <w:r>
        <w:rPr>
          <w:rFonts w:hint="eastAsia" w:ascii="宋体" w:hAnsi="宋体"/>
          <w:bCs/>
          <w:snapToGrid w:val="0"/>
          <w:kern w:val="0"/>
          <w:szCs w:val="21"/>
        </w:rPr>
        <w:t>（3）</w:t>
      </w: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hint="eastAsia" w:ascii="宋体" w:hAnsi="宋体"/>
          <w:bCs/>
          <w:snapToGrid w:val="0"/>
          <w:kern w:val="0"/>
          <w:szCs w:val="21"/>
        </w:rPr>
        <w:t>致的，按照“少数服从多数”的原则确定评标委员会的意见。</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 xml:space="preserve">（4）备注栏注明“拒绝进口”的产品不接受投标人选用进口产品参与投标；注明“接受进口”的产品允许投标人选用进口产品参与投标，但不排斥国内产品。 </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5）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pPr>
        <w:adjustRightInd w:val="0"/>
        <w:snapToGrid w:val="0"/>
        <w:spacing w:line="360" w:lineRule="auto"/>
        <w:ind w:firstLine="422" w:firstLineChars="201"/>
        <w:rPr>
          <w:rFonts w:ascii="宋体" w:hAnsi="宋体"/>
          <w:bCs/>
          <w:snapToGrid w:val="0"/>
          <w:kern w:val="0"/>
          <w:szCs w:val="21"/>
          <w:highlight w:val="none"/>
        </w:rPr>
      </w:pPr>
      <w:r>
        <w:rPr>
          <w:rFonts w:hint="eastAsia" w:ascii="宋体" w:hAnsi="宋体"/>
          <w:bCs/>
          <w:snapToGrid w:val="0"/>
          <w:kern w:val="0"/>
          <w:szCs w:val="21"/>
          <w:highlight w:val="none"/>
        </w:rPr>
        <w:t>★（6）若投标人为所投产品的生产企业，须提供医疗器械生产许可证或备案凭证，并有相应生产范围；若投标人为所投产品的代理商或授权供应商，须提供医疗器械经营许可证或备案凭证，并有相应经营范围；当所投产品属于第一类医疗器械时无须提供医疗器械经营许可证或备案凭证，但投标人应在投标文件中对其所属类别进行书面说明。以上资料均提供复印件或扫描件加盖投标人公章。</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highlight w:val="none"/>
        </w:rPr>
        <w:t>★（7）投标人所投产品必须为其医疗器械产品注册证或备案证有效期内生产的（提供医疗器械产品注册证或备案凭证；若所投产品为进口设备，须提供进口医疗器械注册证；若所投产品的医疗器械产品注册证已过有效期，还须提供所投产品在医疗器械产品注册证有效期内生产的证明文件，均提供复印件或扫描件加盖投标人公章）</w:t>
      </w:r>
      <w:r>
        <w:rPr>
          <w:rFonts w:hint="eastAsia" w:ascii="宋体" w:hAnsi="宋体"/>
          <w:bCs/>
          <w:snapToGrid w:val="0"/>
          <w:kern w:val="0"/>
          <w:szCs w:val="21"/>
        </w:rPr>
        <w:t>。</w:t>
      </w:r>
    </w:p>
    <w:p>
      <w:pPr>
        <w:spacing w:line="360" w:lineRule="auto"/>
        <w:ind w:left="2" w:firstLine="484" w:firstLineChars="201"/>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二、技术要求</w:t>
      </w:r>
    </w:p>
    <w:p>
      <w:pPr>
        <w:pStyle w:val="2"/>
      </w:pPr>
      <w:r>
        <w:rPr>
          <w:rFonts w:hint="eastAsia" w:ascii="宋体" w:hAnsi="宋体"/>
          <w:b/>
          <w:bCs/>
          <w:snapToGrid w:val="0"/>
          <w:kern w:val="0"/>
          <w:sz w:val="24"/>
        </w:rPr>
        <w:t>（一）技术参数</w:t>
      </w:r>
    </w:p>
    <w:tbl>
      <w:tblPr>
        <w:tblStyle w:val="5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6"/>
        <w:gridCol w:w="1256"/>
        <w:gridCol w:w="875"/>
        <w:gridCol w:w="6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blHeader/>
          <w:jc w:val="center"/>
        </w:trPr>
        <w:tc>
          <w:tcPr>
            <w:tcW w:w="424" w:type="pct"/>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637" w:type="pct"/>
            <w:vAlign w:val="center"/>
          </w:tcPr>
          <w:p>
            <w:pPr>
              <w:widowControl/>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货物名称</w:t>
            </w:r>
          </w:p>
        </w:tc>
        <w:tc>
          <w:tcPr>
            <w:tcW w:w="3937" w:type="pct"/>
            <w:gridSpan w:val="2"/>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招标技术参数要求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8" w:hRule="atLeast"/>
          <w:jc w:val="center"/>
        </w:trPr>
        <w:tc>
          <w:tcPr>
            <w:tcW w:w="424" w:type="pct"/>
            <w:vMerge w:val="restart"/>
            <w:vAlign w:val="center"/>
          </w:tcPr>
          <w:p>
            <w:pPr>
              <w:pStyle w:val="2"/>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637" w:type="pct"/>
            <w:vMerge w:val="restart"/>
            <w:vAlign w:val="center"/>
          </w:tcPr>
          <w:p>
            <w:pPr>
              <w:spacing w:after="60" w:line="360" w:lineRule="auto"/>
              <w:jc w:val="center"/>
              <w:rPr>
                <w:rFonts w:asciiTheme="minorEastAsia" w:hAnsiTheme="minorEastAsia" w:eastAsiaTheme="minorEastAsia"/>
                <w:b/>
                <w:szCs w:val="21"/>
              </w:rPr>
            </w:pPr>
            <w:r>
              <w:rPr>
                <w:rFonts w:hint="eastAsia" w:cs="宋体" w:asciiTheme="minorEastAsia" w:hAnsiTheme="minorEastAsia" w:eastAsiaTheme="minorEastAsia"/>
                <w:kern w:val="0"/>
                <w:szCs w:val="21"/>
              </w:rPr>
              <w:t>双通道纯音听力计</w:t>
            </w:r>
          </w:p>
        </w:tc>
        <w:tc>
          <w:tcPr>
            <w:tcW w:w="444" w:type="pct"/>
            <w:vAlign w:val="center"/>
          </w:tcPr>
          <w:p>
            <w:pPr>
              <w:spacing w:after="60" w:line="360" w:lineRule="auto"/>
              <w:jc w:val="center"/>
              <w:rPr>
                <w:rFonts w:asciiTheme="minorEastAsia" w:hAnsiTheme="minorEastAsia" w:eastAsiaTheme="minorEastAsia"/>
                <w:b/>
                <w:szCs w:val="21"/>
              </w:rPr>
            </w:pPr>
            <w:r>
              <w:rPr>
                <w:rFonts w:hint="eastAsia" w:asciiTheme="minorEastAsia" w:hAnsiTheme="minorEastAsia" w:eastAsiaTheme="minorEastAsia"/>
                <w:bCs/>
                <w:szCs w:val="21"/>
              </w:rPr>
              <w:t>功能参数</w:t>
            </w:r>
          </w:p>
        </w:tc>
        <w:tc>
          <w:tcPr>
            <w:tcW w:w="3492" w:type="pct"/>
          </w:tcPr>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1、配备中文版测听软件及中文测听控制面板（ACP），声强步进：全范围内1</w:t>
            </w:r>
            <w:r>
              <w:rPr>
                <w:rFonts w:hint="eastAsia" w:asciiTheme="minorEastAsia" w:hAnsiTheme="minorEastAsia" w:eastAsiaTheme="minorEastAsia"/>
                <w:szCs w:val="21"/>
                <w:lang w:val="en-US" w:eastAsia="zh-CN"/>
              </w:rPr>
              <w:t>或</w:t>
            </w:r>
            <w:r>
              <w:rPr>
                <w:rFonts w:hint="eastAsia" w:asciiTheme="minorEastAsia" w:hAnsiTheme="minorEastAsia" w:eastAsiaTheme="minorEastAsia"/>
                <w:szCs w:val="21"/>
              </w:rPr>
              <w:t>2或5dB步进，支持多达38中文报告模板，高频测听可达20000HZ。</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2、内置中文言语测试资料，自动提示言语识别率，自动掩蔽助理，与助理对讲功能，音素记分功能，不需外接播放器。</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▲3、具有FRESH频率特异性噪声评估的儿童测听模块功能。</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4、具备自动计算气骨导平均阈值功能(AC 范围：125HZ-1600HZ,BC范围： 250HZ-8000HZ)。</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5、支持多扬声器声场配置，内置功放在2×2米声场内可达102dB SPL。</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6、具备撤销/重复功能，一键资料录入功能，电脑键盘中大量的快捷键。</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7、具备特殊测试，包含但不限于(掩蔽级差 (MLD)；双耳交替响度平衡试验 (ABLB)；短增量敏感指数试验 (SISI)； (Weber test)骨导偏向试验(Weber test)；林纳音叉测试（Rinne）；伪聋测试（Stenger）；可接受噪音声级测试 (ANL) ；音衰退阈试验(Tone decay test );耳鸣测试（Tinnitus tests ）。</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8、具备显示听力图比较、高分辨率听力图显示，通道特定阈值存储功能。</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▲9、主机、面板独立设计，两种操作模式可选，传统的面板操作和电脑键盘、鼠标操作，包括整合的听力计声阻抗二合一的报告单。</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▲10、具备耳鸣评估模块功能，内置中文耳鸣残疾评估量表，包括音高和响度匹配,最小掩蔽级(MML)和残余抑制(RI)。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8" w:hRule="atLeast"/>
          <w:jc w:val="center"/>
        </w:trPr>
        <w:tc>
          <w:tcPr>
            <w:tcW w:w="424" w:type="pct"/>
            <w:vMerge w:val="continue"/>
            <w:vAlign w:val="center"/>
          </w:tcPr>
          <w:p>
            <w:pPr>
              <w:pStyle w:val="2"/>
              <w:spacing w:line="360" w:lineRule="auto"/>
              <w:jc w:val="center"/>
              <w:rPr>
                <w:rFonts w:asciiTheme="minorEastAsia" w:hAnsiTheme="minorEastAsia" w:eastAsiaTheme="minorEastAsia"/>
                <w:szCs w:val="21"/>
              </w:rPr>
            </w:pPr>
          </w:p>
        </w:tc>
        <w:tc>
          <w:tcPr>
            <w:tcW w:w="637" w:type="pct"/>
            <w:vMerge w:val="continue"/>
          </w:tcPr>
          <w:p>
            <w:pPr>
              <w:spacing w:after="60" w:line="360" w:lineRule="auto"/>
              <w:rPr>
                <w:rFonts w:cs="宋体" w:asciiTheme="minorEastAsia" w:hAnsiTheme="minorEastAsia" w:eastAsiaTheme="minorEastAsia"/>
                <w:kern w:val="0"/>
                <w:szCs w:val="21"/>
              </w:rPr>
            </w:pPr>
          </w:p>
        </w:tc>
        <w:tc>
          <w:tcPr>
            <w:tcW w:w="444" w:type="pct"/>
            <w:vAlign w:val="center"/>
          </w:tcPr>
          <w:p>
            <w:pPr>
              <w:spacing w:after="60" w:line="360" w:lineRule="auto"/>
              <w:jc w:val="center"/>
              <w:rPr>
                <w:rFonts w:asciiTheme="minorEastAsia" w:hAnsiTheme="minorEastAsia" w:eastAsiaTheme="minorEastAsia"/>
                <w:b/>
                <w:szCs w:val="21"/>
              </w:rPr>
            </w:pPr>
            <w:r>
              <w:rPr>
                <w:rFonts w:hint="eastAsia" w:asciiTheme="minorEastAsia" w:hAnsiTheme="minorEastAsia" w:eastAsiaTheme="minorEastAsia"/>
                <w:szCs w:val="21"/>
              </w:rPr>
              <w:t>技术参数</w:t>
            </w:r>
          </w:p>
        </w:tc>
        <w:tc>
          <w:tcPr>
            <w:tcW w:w="3492" w:type="pct"/>
          </w:tcPr>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1、通道： 至少具备两路分开的完全独立通道</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2、频率范围</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FRESH噪声刺激标准频率：125-12500HZ</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插入式耳机标准频率：125-8000HZ</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TDH39气导耳机标准频率：125-12500HZ</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HDA200高频耳标准频率：125-20000HZ</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骨导耳机标准频率：250-8000HZ</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特殊输出标准频率:125-20000HZ</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高频范围8个频点频率：9000-20000HZ</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窄带噪声掩蔽：使用任何刺激频率</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最大声输出范围受传感器输出限制</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▲3、刺激声类型包含但不限于纯音、啭音、脉冲音、脉冲啭音、FRESH噪声、脉冲FRESH噪声</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 xml:space="preserve">4、掩蔽类型包含但不限于窄带噪声、 言语噪声 、白噪声（窄带噪声）   </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5、刺激调制</w:t>
            </w:r>
          </w:p>
          <w:p>
            <w:pPr>
              <w:pStyle w:val="455"/>
              <w:spacing w:line="360" w:lineRule="auto"/>
              <w:rPr>
                <w:rFonts w:asciiTheme="minorEastAsia" w:hAnsiTheme="minorEastAsia" w:eastAsiaTheme="minorEastAsia"/>
                <w:szCs w:val="21"/>
              </w:rPr>
            </w:pPr>
            <w:r>
              <w:rPr>
                <w:rFonts w:hint="eastAsia" w:asciiTheme="minorEastAsia" w:hAnsiTheme="minorEastAsia" w:eastAsiaTheme="minorEastAsia"/>
                <w:szCs w:val="21"/>
              </w:rPr>
              <w:t>FM（啭音）：可调频率及带宽</w:t>
            </w:r>
          </w:p>
          <w:p>
            <w:pPr>
              <w:pStyle w:val="455"/>
              <w:spacing w:line="360" w:lineRule="auto"/>
              <w:rPr>
                <w:rFonts w:asciiTheme="minorEastAsia" w:hAnsiTheme="minorEastAsia" w:eastAsiaTheme="minorEastAsia"/>
                <w:szCs w:val="21"/>
              </w:rPr>
            </w:pPr>
            <w:r>
              <w:rPr>
                <w:rFonts w:hint="eastAsia" w:asciiTheme="minorEastAsia" w:hAnsiTheme="minorEastAsia" w:eastAsiaTheme="minorEastAsia"/>
                <w:szCs w:val="21"/>
              </w:rPr>
              <w:t>调制率：1-20HZ（默认：5HZ）</w:t>
            </w:r>
          </w:p>
          <w:p>
            <w:pPr>
              <w:pStyle w:val="455"/>
              <w:spacing w:line="360" w:lineRule="auto"/>
              <w:rPr>
                <w:rFonts w:asciiTheme="minorEastAsia" w:hAnsiTheme="minorEastAsia" w:eastAsiaTheme="minorEastAsia"/>
                <w:szCs w:val="21"/>
              </w:rPr>
            </w:pPr>
            <w:r>
              <w:rPr>
                <w:rFonts w:hint="eastAsia" w:asciiTheme="minorEastAsia" w:hAnsiTheme="minorEastAsia" w:eastAsiaTheme="minorEastAsia"/>
                <w:szCs w:val="21"/>
              </w:rPr>
              <w:t>调制带宽：1-25%围绕中心频率（默认5%）</w:t>
            </w:r>
          </w:p>
          <w:p>
            <w:pPr>
              <w:pStyle w:val="455"/>
              <w:spacing w:line="360" w:lineRule="auto"/>
              <w:rPr>
                <w:rFonts w:asciiTheme="minorEastAsia" w:hAnsiTheme="minorEastAsia" w:eastAsiaTheme="minorEastAsia"/>
                <w:szCs w:val="21"/>
              </w:rPr>
            </w:pPr>
            <w:r>
              <w:rPr>
                <w:rFonts w:hint="eastAsia" w:asciiTheme="minorEastAsia" w:hAnsiTheme="minorEastAsia" w:eastAsiaTheme="minorEastAsia"/>
                <w:szCs w:val="21"/>
              </w:rPr>
              <w:t>SISI： 5，2.，1dB声强步进</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6、声强精度</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全范围（气导）：①125至5000HZ：±3dB；②5000至20000HZ：±5dB</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全范围（骨导）：①250至5000HZ：±4dB；②5000至8000HZ：±5dB</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7、衰减器：全范围内1，2或5dB步进</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8、声强最大范围</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最大声输出受输出传感器限制</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气导                  -10-120dB HL</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 xml:space="preserve">                      (500至4000HZ；压耳式耳机)</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骨导                  -10-80 dB HL</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 xml:space="preserve">                      (1500至3000HZ；置于乳突位置)</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9、最大谐波失真：气导&lt;2.5%；骨导&lt;5%</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10、输出</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气导：3×2单声道插孔，1/4</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骨导：2×单声道插孔，1/4</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内置功放的声场输出：4声道音箱 ，4×40W峰值，8欧负载</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外接功放的声场输出：4声道莲花接口，4×1.6Vrms</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11、外部输出</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CD/磁带：0.2至2.0 Vrms，10K欧2 Vrms莲花接口</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会话麦克风：驻极体麦克风</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输出电压：0.002至0.02 Vrms</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输出阻抗：2.21K欧，3.5mm插孔</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12、给声形式</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正常：给声键按下是给声刺激</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持续给声：当给声键按下时信号中断</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脉冲：脉冲信号</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脉冲宽度：200ms开启200ms关闭</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13、测听控制面板</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USB端口连接器</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类型：USB设备端口</w:t>
            </w:r>
          </w:p>
          <w:p>
            <w:pPr>
              <w:pStyle w:val="455"/>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接口：USB2.0</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速度：全速（12Mb/s）</w:t>
            </w:r>
          </w:p>
        </w:tc>
      </w:tr>
    </w:tbl>
    <w:p>
      <w:pPr>
        <w:spacing w:line="360" w:lineRule="auto"/>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（二）配置清单</w:t>
      </w:r>
      <w:r>
        <w:rPr>
          <w:rFonts w:hint="eastAsia"/>
          <w:b/>
          <w:bCs/>
          <w:szCs w:val="21"/>
        </w:rPr>
        <w:t>（以下配置为2套的总配置）</w:t>
      </w:r>
    </w:p>
    <w:tbl>
      <w:tblPr>
        <w:tblStyle w:val="5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
        <w:gridCol w:w="2148"/>
        <w:gridCol w:w="3630"/>
        <w:gridCol w:w="1726"/>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blHeader/>
          <w:jc w:val="center"/>
        </w:trPr>
        <w:tc>
          <w:tcPr>
            <w:tcW w:w="465" w:type="pct"/>
            <w:vAlign w:val="center"/>
          </w:tcPr>
          <w:p>
            <w:pPr>
              <w:widowControl/>
              <w:spacing w:line="360" w:lineRule="auto"/>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序号</w:t>
            </w:r>
          </w:p>
        </w:tc>
        <w:tc>
          <w:tcPr>
            <w:tcW w:w="1089" w:type="pct"/>
            <w:vAlign w:val="center"/>
          </w:tcPr>
          <w:p>
            <w:pPr>
              <w:widowControl/>
              <w:spacing w:line="360" w:lineRule="auto"/>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货物名称</w:t>
            </w:r>
          </w:p>
        </w:tc>
        <w:tc>
          <w:tcPr>
            <w:tcW w:w="1841" w:type="pct"/>
            <w:vAlign w:val="center"/>
          </w:tcPr>
          <w:p>
            <w:pPr>
              <w:widowControl/>
              <w:spacing w:line="360" w:lineRule="auto"/>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配置清单</w:t>
            </w:r>
          </w:p>
        </w:tc>
        <w:tc>
          <w:tcPr>
            <w:tcW w:w="875" w:type="pct"/>
            <w:vAlign w:val="center"/>
          </w:tcPr>
          <w:p>
            <w:pPr>
              <w:widowControl/>
              <w:spacing w:line="360" w:lineRule="auto"/>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数量</w:t>
            </w:r>
          </w:p>
        </w:tc>
        <w:tc>
          <w:tcPr>
            <w:tcW w:w="727" w:type="pct"/>
            <w:vAlign w:val="center"/>
          </w:tcPr>
          <w:p>
            <w:pPr>
              <w:widowControl/>
              <w:spacing w:line="360" w:lineRule="auto"/>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65" w:type="pct"/>
            <w:vMerge w:val="restart"/>
            <w:vAlign w:val="center"/>
          </w:tcPr>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089" w:type="pct"/>
            <w:vMerge w:val="restart"/>
            <w:vAlign w:val="center"/>
          </w:tcPr>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双通道纯音听力计</w:t>
            </w:r>
          </w:p>
        </w:tc>
        <w:tc>
          <w:tcPr>
            <w:tcW w:w="1841" w:type="pct"/>
            <w:vAlign w:val="center"/>
          </w:tcPr>
          <w:p>
            <w:pPr>
              <w:widowControl/>
              <w:spacing w:line="360" w:lineRule="auto"/>
              <w:jc w:val="center"/>
              <w:rPr>
                <w:rFonts w:cs="宋体" w:asciiTheme="minorEastAsia" w:hAnsiTheme="minorEastAsia" w:eastAsiaTheme="minorEastAsia"/>
                <w:kern w:val="0"/>
                <w:szCs w:val="21"/>
              </w:rPr>
            </w:pPr>
            <w:r>
              <w:rPr>
                <w:rFonts w:hint="eastAsia" w:asciiTheme="minorEastAsia" w:hAnsiTheme="minorEastAsia" w:eastAsiaTheme="minorEastAsia"/>
                <w:szCs w:val="21"/>
              </w:rPr>
              <w:t>主机1套</w:t>
            </w:r>
          </w:p>
        </w:tc>
        <w:tc>
          <w:tcPr>
            <w:tcW w:w="875" w:type="pct"/>
            <w:vAlign w:val="center"/>
          </w:tcPr>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bCs/>
                <w:color w:val="000000"/>
                <w:szCs w:val="21"/>
              </w:rPr>
              <w:t>2</w:t>
            </w:r>
          </w:p>
        </w:tc>
        <w:tc>
          <w:tcPr>
            <w:tcW w:w="727" w:type="pct"/>
            <w:vMerge w:val="restart"/>
            <w:vAlign w:val="center"/>
          </w:tcPr>
          <w:p>
            <w:pPr>
              <w:widowControl/>
              <w:spacing w:line="360" w:lineRule="auto"/>
              <w:jc w:val="center"/>
              <w:rPr>
                <w:rFonts w:asciiTheme="minorEastAsia" w:hAnsiTheme="minorEastAsia" w:eastAsiaTheme="minorEastAsia"/>
                <w:bCs/>
                <w:snapToGrid w:val="0"/>
                <w:kern w:val="0"/>
                <w:szCs w:val="21"/>
              </w:rPr>
            </w:pPr>
          </w:p>
          <w:p>
            <w:pPr>
              <w:widowControl/>
              <w:spacing w:line="360" w:lineRule="auto"/>
              <w:jc w:val="center"/>
              <w:rPr>
                <w:rFonts w:asciiTheme="minorEastAsia" w:hAnsiTheme="minorEastAsia" w:eastAsiaTheme="minorEastAsia"/>
                <w:bCs/>
                <w:snapToGrid w:val="0"/>
                <w:kern w:val="0"/>
                <w:szCs w:val="21"/>
              </w:rPr>
            </w:pPr>
          </w:p>
          <w:p>
            <w:pPr>
              <w:widowControl/>
              <w:spacing w:line="360" w:lineRule="auto"/>
              <w:jc w:val="center"/>
              <w:rPr>
                <w:rFonts w:asciiTheme="minorEastAsia" w:hAnsiTheme="minorEastAsia" w:eastAsiaTheme="minorEastAsia"/>
                <w:bCs/>
                <w:snapToGrid w:val="0"/>
                <w:kern w:val="0"/>
                <w:szCs w:val="21"/>
              </w:rPr>
            </w:pPr>
          </w:p>
          <w:p>
            <w:pPr>
              <w:widowControl/>
              <w:spacing w:line="360" w:lineRule="auto"/>
              <w:jc w:val="center"/>
              <w:rPr>
                <w:rFonts w:asciiTheme="minorEastAsia" w:hAnsiTheme="minorEastAsia" w:eastAsiaTheme="minorEastAsia"/>
                <w:bCs/>
                <w:snapToGrid w:val="0"/>
                <w:kern w:val="0"/>
                <w:szCs w:val="21"/>
              </w:rPr>
            </w:pPr>
          </w:p>
          <w:p>
            <w:pPr>
              <w:widowControl/>
              <w:spacing w:line="360" w:lineRule="auto"/>
              <w:jc w:val="center"/>
              <w:rPr>
                <w:rFonts w:asciiTheme="minorEastAsia" w:hAnsiTheme="minorEastAsia" w:eastAsiaTheme="minorEastAsia"/>
                <w:bCs/>
                <w:snapToGrid w:val="0"/>
                <w:kern w:val="0"/>
                <w:szCs w:val="21"/>
              </w:rPr>
            </w:pPr>
          </w:p>
          <w:p>
            <w:pPr>
              <w:widowControl/>
              <w:spacing w:line="360" w:lineRule="auto"/>
              <w:jc w:val="center"/>
              <w:rPr>
                <w:rFonts w:asciiTheme="minorEastAsia" w:hAnsiTheme="minorEastAsia" w:eastAsiaTheme="minorEastAsia"/>
                <w:bCs/>
                <w:snapToGrid w:val="0"/>
                <w:kern w:val="0"/>
                <w:szCs w:val="21"/>
              </w:rPr>
            </w:pPr>
          </w:p>
          <w:p>
            <w:pPr>
              <w:widowControl/>
              <w:spacing w:line="360" w:lineRule="auto"/>
              <w:jc w:val="center"/>
              <w:rPr>
                <w:rFonts w:asciiTheme="minorEastAsia" w:hAnsiTheme="minorEastAsia" w:eastAsiaTheme="minorEastAsia"/>
                <w:bCs/>
                <w:snapToGrid w:val="0"/>
                <w:kern w:val="0"/>
                <w:szCs w:val="21"/>
              </w:rPr>
            </w:pPr>
          </w:p>
          <w:p>
            <w:pPr>
              <w:widowControl/>
              <w:spacing w:line="360" w:lineRule="auto"/>
              <w:jc w:val="center"/>
              <w:rPr>
                <w:rFonts w:asciiTheme="minorEastAsia" w:hAnsiTheme="minorEastAsia" w:eastAsiaTheme="minorEastAsia"/>
                <w:bCs/>
                <w:snapToGrid w:val="0"/>
                <w:kern w:val="0"/>
                <w:szCs w:val="21"/>
              </w:rPr>
            </w:pPr>
          </w:p>
          <w:p>
            <w:pPr>
              <w:widowControl/>
              <w:spacing w:line="360" w:lineRule="auto"/>
              <w:jc w:val="center"/>
              <w:rPr>
                <w:rFonts w:asciiTheme="minorEastAsia" w:hAnsiTheme="minorEastAsia" w:eastAsiaTheme="minorEastAsia"/>
                <w:bCs/>
                <w:snapToGrid w:val="0"/>
                <w:kern w:val="0"/>
                <w:szCs w:val="21"/>
              </w:rPr>
            </w:pPr>
          </w:p>
          <w:p>
            <w:pPr>
              <w:widowControl/>
              <w:spacing w:line="360" w:lineRule="auto"/>
              <w:jc w:val="center"/>
              <w:rPr>
                <w:rFonts w:asciiTheme="minorEastAsia" w:hAnsiTheme="minorEastAsia" w:eastAsiaTheme="minorEastAsia"/>
                <w:bCs/>
                <w:snapToGrid w:val="0"/>
                <w:kern w:val="0"/>
                <w:szCs w:val="21"/>
              </w:rPr>
            </w:pPr>
          </w:p>
          <w:p>
            <w:pPr>
              <w:widowControl/>
              <w:spacing w:line="360" w:lineRule="auto"/>
              <w:jc w:val="center"/>
              <w:rPr>
                <w:rFonts w:asciiTheme="minorEastAsia" w:hAnsiTheme="minorEastAsia" w:eastAsiaTheme="minorEastAsia"/>
                <w:bCs/>
                <w:snapToGrid w:val="0"/>
                <w:kern w:val="0"/>
                <w:szCs w:val="21"/>
              </w:rPr>
            </w:pPr>
          </w:p>
          <w:p>
            <w:pPr>
              <w:widowControl/>
              <w:spacing w:line="360" w:lineRule="auto"/>
              <w:jc w:val="center"/>
              <w:rPr>
                <w:rFonts w:asciiTheme="minorEastAsia" w:hAnsiTheme="minorEastAsia" w:eastAsiaTheme="minorEastAsia"/>
                <w:bCs/>
                <w:snapToGrid w:val="0"/>
                <w:kern w:val="0"/>
                <w:szCs w:val="21"/>
              </w:rPr>
            </w:pPr>
          </w:p>
          <w:p>
            <w:pPr>
              <w:widowControl/>
              <w:spacing w:line="360" w:lineRule="auto"/>
              <w:jc w:val="center"/>
              <w:rPr>
                <w:rFonts w:asciiTheme="minorEastAsia" w:hAnsiTheme="minorEastAsia" w:eastAsiaTheme="minorEastAsia"/>
                <w:bCs/>
                <w:snapToGrid w:val="0"/>
                <w:kern w:val="0"/>
                <w:szCs w:val="21"/>
              </w:rPr>
            </w:pPr>
          </w:p>
          <w:p>
            <w:pPr>
              <w:widowControl/>
              <w:spacing w:line="360" w:lineRule="auto"/>
              <w:jc w:val="center"/>
              <w:rPr>
                <w:rFonts w:asciiTheme="minorEastAsia" w:hAnsiTheme="minorEastAsia" w:eastAsiaTheme="minorEastAsia"/>
                <w:bCs/>
                <w:snapToGrid w:val="0"/>
                <w:kern w:val="0"/>
                <w:szCs w:val="21"/>
              </w:rPr>
            </w:pPr>
          </w:p>
          <w:p>
            <w:pPr>
              <w:widowControl/>
              <w:spacing w:line="360" w:lineRule="auto"/>
              <w:jc w:val="center"/>
              <w:rPr>
                <w:rFonts w:asciiTheme="minorEastAsia" w:hAnsiTheme="minorEastAsia" w:eastAsiaTheme="minorEastAsia"/>
                <w:bCs/>
                <w:snapToGrid w:val="0"/>
                <w:kern w:val="0"/>
                <w:szCs w:val="21"/>
              </w:rPr>
            </w:pPr>
          </w:p>
          <w:p>
            <w:pPr>
              <w:widowControl/>
              <w:spacing w:line="360" w:lineRule="auto"/>
              <w:jc w:val="center"/>
              <w:rPr>
                <w:rFonts w:asciiTheme="minorEastAsia" w:hAnsiTheme="minorEastAsia" w:eastAsiaTheme="minorEastAsia"/>
                <w:bCs/>
                <w:snapToGrid w:val="0"/>
                <w:kern w:val="0"/>
                <w:szCs w:val="21"/>
              </w:rPr>
            </w:pPr>
          </w:p>
          <w:p>
            <w:pPr>
              <w:widowControl/>
              <w:spacing w:line="360" w:lineRule="auto"/>
              <w:jc w:val="center"/>
              <w:rPr>
                <w:rFonts w:asciiTheme="minorEastAsia" w:hAnsiTheme="minorEastAsia" w:eastAsiaTheme="minorEastAsia"/>
                <w:bCs/>
                <w:snapToGrid w:val="0"/>
                <w:kern w:val="0"/>
                <w:szCs w:val="21"/>
              </w:rPr>
            </w:pPr>
          </w:p>
          <w:p>
            <w:pPr>
              <w:widowControl/>
              <w:spacing w:line="360" w:lineRule="auto"/>
              <w:jc w:val="center"/>
              <w:rPr>
                <w:rFonts w:asciiTheme="minorEastAsia" w:hAnsiTheme="minorEastAsia" w:eastAsiaTheme="minorEastAsia"/>
                <w:bCs/>
                <w:snapToGrid w:val="0"/>
                <w:kern w:val="0"/>
                <w:szCs w:val="21"/>
              </w:rPr>
            </w:pPr>
          </w:p>
          <w:p>
            <w:pPr>
              <w:widowControl/>
              <w:spacing w:line="360" w:lineRule="auto"/>
              <w:jc w:val="center"/>
              <w:rPr>
                <w:rFonts w:cs="宋体" w:asciiTheme="minorEastAsia" w:hAnsiTheme="minorEastAsia" w:eastAsiaTheme="minorEastAsia"/>
                <w:kern w:val="0"/>
                <w:szCs w:val="21"/>
              </w:rPr>
            </w:pPr>
            <w:r>
              <w:rPr>
                <w:rFonts w:hint="eastAsia" w:asciiTheme="minorEastAsia" w:hAnsiTheme="minorEastAsia" w:eastAsiaTheme="minorEastAsia"/>
                <w:bCs/>
                <w:snapToGrid w:val="0"/>
                <w:kern w:val="0"/>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65" w:type="pct"/>
            <w:vMerge w:val="continue"/>
            <w:vAlign w:val="center"/>
          </w:tcPr>
          <w:p>
            <w:pPr>
              <w:widowControl/>
              <w:spacing w:line="360" w:lineRule="auto"/>
              <w:jc w:val="center"/>
              <w:rPr>
                <w:rFonts w:cs="宋体" w:asciiTheme="minorEastAsia" w:hAnsiTheme="minorEastAsia" w:eastAsiaTheme="minorEastAsia"/>
                <w:kern w:val="0"/>
                <w:szCs w:val="21"/>
              </w:rPr>
            </w:pPr>
          </w:p>
        </w:tc>
        <w:tc>
          <w:tcPr>
            <w:tcW w:w="1089" w:type="pct"/>
            <w:vMerge w:val="continue"/>
            <w:vAlign w:val="center"/>
          </w:tcPr>
          <w:p>
            <w:pPr>
              <w:widowControl/>
              <w:spacing w:line="360" w:lineRule="auto"/>
              <w:jc w:val="center"/>
              <w:rPr>
                <w:rFonts w:cs="宋体" w:asciiTheme="minorEastAsia" w:hAnsiTheme="minorEastAsia" w:eastAsiaTheme="minorEastAsia"/>
                <w:kern w:val="0"/>
                <w:szCs w:val="21"/>
              </w:rPr>
            </w:pPr>
          </w:p>
        </w:tc>
        <w:tc>
          <w:tcPr>
            <w:tcW w:w="1841" w:type="pct"/>
            <w:vAlign w:val="center"/>
          </w:tcPr>
          <w:p>
            <w:pPr>
              <w:widowControl/>
              <w:spacing w:line="360" w:lineRule="auto"/>
              <w:jc w:val="center"/>
              <w:rPr>
                <w:rFonts w:cs="宋体" w:asciiTheme="minorEastAsia" w:hAnsiTheme="minorEastAsia" w:eastAsiaTheme="minorEastAsia"/>
                <w:kern w:val="0"/>
                <w:szCs w:val="21"/>
              </w:rPr>
            </w:pPr>
            <w:r>
              <w:rPr>
                <w:rFonts w:hint="eastAsia" w:asciiTheme="minorEastAsia" w:hAnsiTheme="minorEastAsia" w:eastAsiaTheme="minorEastAsia"/>
                <w:szCs w:val="21"/>
              </w:rPr>
              <w:t>操作控制面板1套</w:t>
            </w:r>
          </w:p>
        </w:tc>
        <w:tc>
          <w:tcPr>
            <w:tcW w:w="875" w:type="pct"/>
            <w:vAlign w:val="center"/>
          </w:tcPr>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bCs/>
                <w:color w:val="000000"/>
                <w:szCs w:val="21"/>
              </w:rPr>
              <w:t>2</w:t>
            </w:r>
          </w:p>
        </w:tc>
        <w:tc>
          <w:tcPr>
            <w:tcW w:w="727" w:type="pct"/>
            <w:vMerge w:val="continue"/>
            <w:vAlign w:val="center"/>
          </w:tcPr>
          <w:p>
            <w:pPr>
              <w:widowControl/>
              <w:spacing w:line="360" w:lineRule="auto"/>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65" w:type="pct"/>
            <w:vMerge w:val="continue"/>
            <w:vAlign w:val="center"/>
          </w:tcPr>
          <w:p>
            <w:pPr>
              <w:widowControl/>
              <w:spacing w:line="360" w:lineRule="auto"/>
              <w:jc w:val="center"/>
              <w:rPr>
                <w:rFonts w:cs="宋体" w:asciiTheme="minorEastAsia" w:hAnsiTheme="minorEastAsia" w:eastAsiaTheme="minorEastAsia"/>
                <w:kern w:val="0"/>
                <w:szCs w:val="21"/>
              </w:rPr>
            </w:pPr>
          </w:p>
        </w:tc>
        <w:tc>
          <w:tcPr>
            <w:tcW w:w="1089" w:type="pct"/>
            <w:vMerge w:val="continue"/>
            <w:vAlign w:val="center"/>
          </w:tcPr>
          <w:p>
            <w:pPr>
              <w:widowControl/>
              <w:spacing w:line="360" w:lineRule="auto"/>
              <w:jc w:val="center"/>
              <w:rPr>
                <w:rFonts w:cs="宋体" w:asciiTheme="minorEastAsia" w:hAnsiTheme="minorEastAsia" w:eastAsiaTheme="minorEastAsia"/>
                <w:kern w:val="0"/>
                <w:szCs w:val="21"/>
              </w:rPr>
            </w:pPr>
          </w:p>
        </w:tc>
        <w:tc>
          <w:tcPr>
            <w:tcW w:w="1841" w:type="pct"/>
            <w:vAlign w:val="center"/>
          </w:tcPr>
          <w:p>
            <w:pPr>
              <w:widowControl/>
              <w:spacing w:line="360" w:lineRule="auto"/>
              <w:jc w:val="center"/>
              <w:rPr>
                <w:rFonts w:cs="宋体" w:asciiTheme="minorEastAsia" w:hAnsiTheme="minorEastAsia" w:eastAsiaTheme="minorEastAsia"/>
                <w:kern w:val="0"/>
                <w:szCs w:val="21"/>
              </w:rPr>
            </w:pPr>
            <w:r>
              <w:rPr>
                <w:rFonts w:hint="eastAsia" w:asciiTheme="minorEastAsia" w:hAnsiTheme="minorEastAsia" w:eastAsiaTheme="minorEastAsia"/>
                <w:szCs w:val="21"/>
              </w:rPr>
              <w:t>气导耳机1个</w:t>
            </w:r>
          </w:p>
        </w:tc>
        <w:tc>
          <w:tcPr>
            <w:tcW w:w="875" w:type="pct"/>
            <w:vAlign w:val="center"/>
          </w:tcPr>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727" w:type="pct"/>
            <w:vMerge w:val="continue"/>
            <w:vAlign w:val="center"/>
          </w:tcPr>
          <w:p>
            <w:pPr>
              <w:widowControl/>
              <w:spacing w:line="360" w:lineRule="auto"/>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65" w:type="pct"/>
            <w:vMerge w:val="continue"/>
            <w:vAlign w:val="center"/>
          </w:tcPr>
          <w:p>
            <w:pPr>
              <w:widowControl/>
              <w:spacing w:line="360" w:lineRule="auto"/>
              <w:jc w:val="center"/>
              <w:rPr>
                <w:rFonts w:cs="宋体" w:asciiTheme="minorEastAsia" w:hAnsiTheme="minorEastAsia" w:eastAsiaTheme="minorEastAsia"/>
                <w:kern w:val="0"/>
                <w:szCs w:val="21"/>
              </w:rPr>
            </w:pPr>
          </w:p>
        </w:tc>
        <w:tc>
          <w:tcPr>
            <w:tcW w:w="1089" w:type="pct"/>
            <w:vMerge w:val="continue"/>
            <w:vAlign w:val="center"/>
          </w:tcPr>
          <w:p>
            <w:pPr>
              <w:widowControl/>
              <w:spacing w:line="360" w:lineRule="auto"/>
              <w:jc w:val="center"/>
              <w:rPr>
                <w:rFonts w:cs="宋体" w:asciiTheme="minorEastAsia" w:hAnsiTheme="minorEastAsia" w:eastAsiaTheme="minorEastAsia"/>
                <w:kern w:val="0"/>
                <w:szCs w:val="21"/>
              </w:rPr>
            </w:pPr>
          </w:p>
        </w:tc>
        <w:tc>
          <w:tcPr>
            <w:tcW w:w="1841" w:type="pct"/>
            <w:vAlign w:val="center"/>
          </w:tcPr>
          <w:p>
            <w:pPr>
              <w:widowControl/>
              <w:spacing w:line="360" w:lineRule="auto"/>
              <w:jc w:val="center"/>
              <w:rPr>
                <w:rFonts w:cs="宋体" w:asciiTheme="minorEastAsia" w:hAnsiTheme="minorEastAsia" w:eastAsiaTheme="minorEastAsia"/>
                <w:kern w:val="0"/>
                <w:szCs w:val="21"/>
              </w:rPr>
            </w:pPr>
            <w:r>
              <w:rPr>
                <w:rFonts w:hint="eastAsia" w:asciiTheme="minorEastAsia" w:hAnsiTheme="minorEastAsia" w:eastAsiaTheme="minorEastAsia"/>
                <w:szCs w:val="21"/>
              </w:rPr>
              <w:t>骨导耳机 1个</w:t>
            </w:r>
          </w:p>
        </w:tc>
        <w:tc>
          <w:tcPr>
            <w:tcW w:w="875" w:type="pct"/>
            <w:vAlign w:val="center"/>
          </w:tcPr>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727" w:type="pct"/>
            <w:vMerge w:val="continue"/>
            <w:vAlign w:val="center"/>
          </w:tcPr>
          <w:p>
            <w:pPr>
              <w:widowControl/>
              <w:spacing w:line="360" w:lineRule="auto"/>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65" w:type="pct"/>
            <w:vMerge w:val="continue"/>
            <w:vAlign w:val="center"/>
          </w:tcPr>
          <w:p>
            <w:pPr>
              <w:widowControl/>
              <w:spacing w:line="360" w:lineRule="auto"/>
              <w:jc w:val="center"/>
              <w:rPr>
                <w:rFonts w:cs="宋体" w:asciiTheme="minorEastAsia" w:hAnsiTheme="minorEastAsia" w:eastAsiaTheme="minorEastAsia"/>
                <w:kern w:val="0"/>
                <w:szCs w:val="21"/>
              </w:rPr>
            </w:pPr>
          </w:p>
        </w:tc>
        <w:tc>
          <w:tcPr>
            <w:tcW w:w="1089" w:type="pct"/>
            <w:vMerge w:val="continue"/>
            <w:vAlign w:val="center"/>
          </w:tcPr>
          <w:p>
            <w:pPr>
              <w:widowControl/>
              <w:spacing w:line="360" w:lineRule="auto"/>
              <w:jc w:val="center"/>
              <w:rPr>
                <w:rFonts w:cs="宋体" w:asciiTheme="minorEastAsia" w:hAnsiTheme="minorEastAsia" w:eastAsiaTheme="minorEastAsia"/>
                <w:kern w:val="0"/>
                <w:szCs w:val="21"/>
              </w:rPr>
            </w:pPr>
          </w:p>
        </w:tc>
        <w:tc>
          <w:tcPr>
            <w:tcW w:w="1841" w:type="pct"/>
            <w:vAlign w:val="center"/>
          </w:tcPr>
          <w:p>
            <w:pPr>
              <w:widowControl/>
              <w:spacing w:line="360" w:lineRule="auto"/>
              <w:jc w:val="center"/>
              <w:rPr>
                <w:rFonts w:cs="宋体" w:asciiTheme="minorEastAsia" w:hAnsiTheme="minorEastAsia" w:eastAsiaTheme="minorEastAsia"/>
                <w:kern w:val="0"/>
                <w:szCs w:val="21"/>
              </w:rPr>
            </w:pPr>
            <w:r>
              <w:rPr>
                <w:rFonts w:hint="eastAsia" w:asciiTheme="minorEastAsia" w:hAnsiTheme="minorEastAsia" w:eastAsiaTheme="minorEastAsia"/>
                <w:szCs w:val="21"/>
              </w:rPr>
              <w:t>高频耳机1个</w:t>
            </w:r>
          </w:p>
        </w:tc>
        <w:tc>
          <w:tcPr>
            <w:tcW w:w="875" w:type="pct"/>
            <w:vAlign w:val="center"/>
          </w:tcPr>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727" w:type="pct"/>
            <w:vMerge w:val="continue"/>
            <w:vAlign w:val="center"/>
          </w:tcPr>
          <w:p>
            <w:pPr>
              <w:widowControl/>
              <w:spacing w:line="360" w:lineRule="auto"/>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65" w:type="pct"/>
            <w:vMerge w:val="continue"/>
            <w:vAlign w:val="center"/>
          </w:tcPr>
          <w:p>
            <w:pPr>
              <w:widowControl/>
              <w:spacing w:line="360" w:lineRule="auto"/>
              <w:jc w:val="center"/>
              <w:rPr>
                <w:rFonts w:cs="宋体" w:asciiTheme="minorEastAsia" w:hAnsiTheme="minorEastAsia" w:eastAsiaTheme="minorEastAsia"/>
                <w:kern w:val="0"/>
                <w:szCs w:val="21"/>
              </w:rPr>
            </w:pPr>
          </w:p>
        </w:tc>
        <w:tc>
          <w:tcPr>
            <w:tcW w:w="1089" w:type="pct"/>
            <w:vMerge w:val="continue"/>
            <w:vAlign w:val="center"/>
          </w:tcPr>
          <w:p>
            <w:pPr>
              <w:widowControl/>
              <w:spacing w:line="360" w:lineRule="auto"/>
              <w:jc w:val="center"/>
              <w:rPr>
                <w:rFonts w:cs="宋体" w:asciiTheme="minorEastAsia" w:hAnsiTheme="minorEastAsia" w:eastAsiaTheme="minorEastAsia"/>
                <w:kern w:val="0"/>
                <w:szCs w:val="21"/>
              </w:rPr>
            </w:pPr>
          </w:p>
        </w:tc>
        <w:tc>
          <w:tcPr>
            <w:tcW w:w="1841" w:type="pct"/>
            <w:vAlign w:val="center"/>
          </w:tcPr>
          <w:p>
            <w:pPr>
              <w:widowControl/>
              <w:spacing w:line="360" w:lineRule="auto"/>
              <w:jc w:val="center"/>
              <w:rPr>
                <w:rFonts w:cs="宋体" w:asciiTheme="minorEastAsia" w:hAnsiTheme="minorEastAsia" w:eastAsiaTheme="minorEastAsia"/>
                <w:bCs/>
                <w:color w:val="000000"/>
                <w:szCs w:val="21"/>
              </w:rPr>
            </w:pPr>
            <w:r>
              <w:rPr>
                <w:rFonts w:hint="eastAsia" w:asciiTheme="minorEastAsia" w:hAnsiTheme="minorEastAsia" w:eastAsiaTheme="minorEastAsia"/>
                <w:szCs w:val="21"/>
              </w:rPr>
              <w:t>应答器 2个</w:t>
            </w:r>
          </w:p>
        </w:tc>
        <w:tc>
          <w:tcPr>
            <w:tcW w:w="875" w:type="pct"/>
            <w:vAlign w:val="center"/>
          </w:tcPr>
          <w:p>
            <w:pPr>
              <w:widowControl/>
              <w:spacing w:line="360" w:lineRule="auto"/>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2</w:t>
            </w:r>
          </w:p>
        </w:tc>
        <w:tc>
          <w:tcPr>
            <w:tcW w:w="727" w:type="pct"/>
            <w:vMerge w:val="continue"/>
            <w:vAlign w:val="center"/>
          </w:tcPr>
          <w:p>
            <w:pPr>
              <w:widowControl/>
              <w:spacing w:line="360" w:lineRule="auto"/>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65" w:type="pct"/>
            <w:vMerge w:val="continue"/>
            <w:vAlign w:val="center"/>
          </w:tcPr>
          <w:p>
            <w:pPr>
              <w:widowControl/>
              <w:spacing w:line="360" w:lineRule="auto"/>
              <w:jc w:val="center"/>
              <w:rPr>
                <w:rFonts w:cs="宋体" w:asciiTheme="minorEastAsia" w:hAnsiTheme="minorEastAsia" w:eastAsiaTheme="minorEastAsia"/>
                <w:kern w:val="0"/>
                <w:szCs w:val="21"/>
              </w:rPr>
            </w:pPr>
          </w:p>
        </w:tc>
        <w:tc>
          <w:tcPr>
            <w:tcW w:w="1089" w:type="pct"/>
            <w:vMerge w:val="continue"/>
            <w:vAlign w:val="center"/>
          </w:tcPr>
          <w:p>
            <w:pPr>
              <w:widowControl/>
              <w:spacing w:line="360" w:lineRule="auto"/>
              <w:jc w:val="center"/>
              <w:rPr>
                <w:rFonts w:cs="宋体" w:asciiTheme="minorEastAsia" w:hAnsiTheme="minorEastAsia" w:eastAsiaTheme="minorEastAsia"/>
                <w:kern w:val="0"/>
                <w:szCs w:val="21"/>
              </w:rPr>
            </w:pPr>
          </w:p>
        </w:tc>
        <w:tc>
          <w:tcPr>
            <w:tcW w:w="1841" w:type="pct"/>
            <w:vAlign w:val="center"/>
          </w:tcPr>
          <w:p>
            <w:pPr>
              <w:widowControl/>
              <w:spacing w:line="360" w:lineRule="auto"/>
              <w:jc w:val="center"/>
              <w:rPr>
                <w:rFonts w:cs="宋体" w:asciiTheme="minorEastAsia" w:hAnsiTheme="minorEastAsia" w:eastAsiaTheme="minorEastAsia"/>
                <w:bCs/>
                <w:color w:val="000000"/>
                <w:szCs w:val="21"/>
              </w:rPr>
            </w:pPr>
            <w:r>
              <w:rPr>
                <w:rFonts w:hint="eastAsia" w:asciiTheme="minorEastAsia" w:hAnsiTheme="minorEastAsia" w:eastAsiaTheme="minorEastAsia"/>
                <w:szCs w:val="21"/>
              </w:rPr>
              <w:t>测试软件</w:t>
            </w:r>
          </w:p>
        </w:tc>
        <w:tc>
          <w:tcPr>
            <w:tcW w:w="875" w:type="pct"/>
            <w:vAlign w:val="center"/>
          </w:tcPr>
          <w:p>
            <w:pPr>
              <w:widowControl/>
              <w:spacing w:line="360" w:lineRule="auto"/>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2</w:t>
            </w:r>
          </w:p>
        </w:tc>
        <w:tc>
          <w:tcPr>
            <w:tcW w:w="727" w:type="pct"/>
            <w:vMerge w:val="continue"/>
            <w:vAlign w:val="center"/>
          </w:tcPr>
          <w:p>
            <w:pPr>
              <w:widowControl/>
              <w:spacing w:line="360" w:lineRule="auto"/>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65" w:type="pct"/>
            <w:vMerge w:val="continue"/>
            <w:vAlign w:val="center"/>
          </w:tcPr>
          <w:p>
            <w:pPr>
              <w:widowControl/>
              <w:spacing w:line="360" w:lineRule="auto"/>
              <w:jc w:val="center"/>
              <w:rPr>
                <w:rFonts w:cs="宋体" w:asciiTheme="minorEastAsia" w:hAnsiTheme="minorEastAsia" w:eastAsiaTheme="minorEastAsia"/>
                <w:kern w:val="0"/>
                <w:szCs w:val="21"/>
              </w:rPr>
            </w:pPr>
          </w:p>
        </w:tc>
        <w:tc>
          <w:tcPr>
            <w:tcW w:w="1089" w:type="pct"/>
            <w:vMerge w:val="continue"/>
            <w:vAlign w:val="center"/>
          </w:tcPr>
          <w:p>
            <w:pPr>
              <w:widowControl/>
              <w:spacing w:line="360" w:lineRule="auto"/>
              <w:jc w:val="center"/>
              <w:rPr>
                <w:rFonts w:cs="宋体" w:asciiTheme="minorEastAsia" w:hAnsiTheme="minorEastAsia" w:eastAsiaTheme="minorEastAsia"/>
                <w:kern w:val="0"/>
                <w:szCs w:val="21"/>
              </w:rPr>
            </w:pPr>
          </w:p>
        </w:tc>
        <w:tc>
          <w:tcPr>
            <w:tcW w:w="1841" w:type="pct"/>
            <w:vAlign w:val="center"/>
          </w:tcPr>
          <w:p>
            <w:pPr>
              <w:widowControl/>
              <w:spacing w:line="360" w:lineRule="auto"/>
              <w:jc w:val="center"/>
              <w:rPr>
                <w:rFonts w:cs="宋体" w:asciiTheme="minorEastAsia" w:hAnsiTheme="minorEastAsia" w:eastAsiaTheme="minorEastAsia"/>
                <w:bCs/>
                <w:color w:val="000000"/>
                <w:szCs w:val="21"/>
              </w:rPr>
            </w:pPr>
            <w:r>
              <w:rPr>
                <w:rFonts w:hint="eastAsia" w:asciiTheme="minorEastAsia" w:hAnsiTheme="minorEastAsia" w:eastAsiaTheme="minorEastAsia"/>
                <w:szCs w:val="21"/>
              </w:rPr>
              <w:t>言语测试材料1套</w:t>
            </w:r>
          </w:p>
        </w:tc>
        <w:tc>
          <w:tcPr>
            <w:tcW w:w="875" w:type="pct"/>
            <w:vAlign w:val="center"/>
          </w:tcPr>
          <w:p>
            <w:pPr>
              <w:widowControl/>
              <w:spacing w:line="360" w:lineRule="auto"/>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2</w:t>
            </w:r>
          </w:p>
        </w:tc>
        <w:tc>
          <w:tcPr>
            <w:tcW w:w="727" w:type="pct"/>
            <w:vMerge w:val="continue"/>
            <w:vAlign w:val="center"/>
          </w:tcPr>
          <w:p>
            <w:pPr>
              <w:widowControl/>
              <w:spacing w:line="360" w:lineRule="auto"/>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65" w:type="pct"/>
            <w:vMerge w:val="continue"/>
            <w:vAlign w:val="center"/>
          </w:tcPr>
          <w:p>
            <w:pPr>
              <w:widowControl/>
              <w:spacing w:line="360" w:lineRule="auto"/>
              <w:jc w:val="center"/>
              <w:rPr>
                <w:rFonts w:cs="宋体" w:asciiTheme="minorEastAsia" w:hAnsiTheme="minorEastAsia" w:eastAsiaTheme="minorEastAsia"/>
                <w:kern w:val="0"/>
                <w:szCs w:val="21"/>
              </w:rPr>
            </w:pPr>
          </w:p>
        </w:tc>
        <w:tc>
          <w:tcPr>
            <w:tcW w:w="1089" w:type="pct"/>
            <w:vMerge w:val="continue"/>
            <w:vAlign w:val="center"/>
          </w:tcPr>
          <w:p>
            <w:pPr>
              <w:widowControl/>
              <w:spacing w:line="360" w:lineRule="auto"/>
              <w:jc w:val="center"/>
              <w:rPr>
                <w:rFonts w:cs="宋体" w:asciiTheme="minorEastAsia" w:hAnsiTheme="minorEastAsia" w:eastAsiaTheme="minorEastAsia"/>
                <w:kern w:val="0"/>
                <w:szCs w:val="21"/>
              </w:rPr>
            </w:pPr>
          </w:p>
        </w:tc>
        <w:tc>
          <w:tcPr>
            <w:tcW w:w="1841" w:type="pct"/>
            <w:vAlign w:val="center"/>
          </w:tcPr>
          <w:p>
            <w:pPr>
              <w:widowControl/>
              <w:spacing w:line="360" w:lineRule="auto"/>
              <w:jc w:val="center"/>
              <w:rPr>
                <w:rFonts w:cs="宋体" w:asciiTheme="minorEastAsia" w:hAnsiTheme="minorEastAsia" w:eastAsiaTheme="minorEastAsia"/>
                <w:bCs/>
                <w:color w:val="000000"/>
                <w:szCs w:val="21"/>
              </w:rPr>
            </w:pPr>
            <w:r>
              <w:rPr>
                <w:rFonts w:hint="eastAsia" w:asciiTheme="minorEastAsia" w:hAnsiTheme="minorEastAsia" w:eastAsiaTheme="minorEastAsia"/>
                <w:szCs w:val="21"/>
              </w:rPr>
              <w:t>监听耳机1个</w:t>
            </w:r>
          </w:p>
        </w:tc>
        <w:tc>
          <w:tcPr>
            <w:tcW w:w="875" w:type="pct"/>
            <w:vAlign w:val="center"/>
          </w:tcPr>
          <w:p>
            <w:pPr>
              <w:widowControl/>
              <w:spacing w:line="360" w:lineRule="auto"/>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2</w:t>
            </w:r>
          </w:p>
        </w:tc>
        <w:tc>
          <w:tcPr>
            <w:tcW w:w="727" w:type="pct"/>
            <w:vMerge w:val="continue"/>
            <w:vAlign w:val="center"/>
          </w:tcPr>
          <w:p>
            <w:pPr>
              <w:widowControl/>
              <w:spacing w:line="360" w:lineRule="auto"/>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65" w:type="pct"/>
            <w:vMerge w:val="continue"/>
            <w:vAlign w:val="center"/>
          </w:tcPr>
          <w:p>
            <w:pPr>
              <w:widowControl/>
              <w:spacing w:line="360" w:lineRule="auto"/>
              <w:jc w:val="center"/>
              <w:rPr>
                <w:rFonts w:cs="宋体" w:asciiTheme="minorEastAsia" w:hAnsiTheme="minorEastAsia" w:eastAsiaTheme="minorEastAsia"/>
                <w:kern w:val="0"/>
                <w:szCs w:val="21"/>
              </w:rPr>
            </w:pPr>
          </w:p>
        </w:tc>
        <w:tc>
          <w:tcPr>
            <w:tcW w:w="1089" w:type="pct"/>
            <w:vMerge w:val="continue"/>
            <w:vAlign w:val="center"/>
          </w:tcPr>
          <w:p>
            <w:pPr>
              <w:widowControl/>
              <w:spacing w:line="360" w:lineRule="auto"/>
              <w:jc w:val="center"/>
              <w:rPr>
                <w:rFonts w:cs="宋体" w:asciiTheme="minorEastAsia" w:hAnsiTheme="minorEastAsia" w:eastAsiaTheme="minorEastAsia"/>
                <w:kern w:val="0"/>
                <w:szCs w:val="21"/>
              </w:rPr>
            </w:pPr>
          </w:p>
        </w:tc>
        <w:tc>
          <w:tcPr>
            <w:tcW w:w="1841" w:type="pct"/>
            <w:vAlign w:val="center"/>
          </w:tcPr>
          <w:p>
            <w:pPr>
              <w:widowControl/>
              <w:spacing w:line="360" w:lineRule="auto"/>
              <w:jc w:val="center"/>
              <w:rPr>
                <w:rFonts w:cs="宋体" w:asciiTheme="minorEastAsia" w:hAnsiTheme="minorEastAsia" w:eastAsiaTheme="minorEastAsia"/>
                <w:bCs/>
                <w:color w:val="000000"/>
                <w:szCs w:val="21"/>
              </w:rPr>
            </w:pPr>
            <w:r>
              <w:rPr>
                <w:rFonts w:hint="eastAsia" w:asciiTheme="minorEastAsia" w:hAnsiTheme="minorEastAsia" w:eastAsiaTheme="minorEastAsia"/>
                <w:szCs w:val="21"/>
              </w:rPr>
              <w:t>助理耳机1个</w:t>
            </w:r>
          </w:p>
        </w:tc>
        <w:tc>
          <w:tcPr>
            <w:tcW w:w="875" w:type="pct"/>
            <w:vAlign w:val="center"/>
          </w:tcPr>
          <w:p>
            <w:pPr>
              <w:widowControl/>
              <w:spacing w:line="360" w:lineRule="auto"/>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2</w:t>
            </w:r>
          </w:p>
        </w:tc>
        <w:tc>
          <w:tcPr>
            <w:tcW w:w="727" w:type="pct"/>
            <w:vMerge w:val="continue"/>
            <w:vAlign w:val="center"/>
          </w:tcPr>
          <w:p>
            <w:pPr>
              <w:widowControl/>
              <w:spacing w:line="360" w:lineRule="auto"/>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65" w:type="pct"/>
            <w:vMerge w:val="continue"/>
            <w:vAlign w:val="center"/>
          </w:tcPr>
          <w:p>
            <w:pPr>
              <w:widowControl/>
              <w:spacing w:line="360" w:lineRule="auto"/>
              <w:jc w:val="center"/>
              <w:rPr>
                <w:rFonts w:cs="宋体" w:asciiTheme="minorEastAsia" w:hAnsiTheme="minorEastAsia" w:eastAsiaTheme="minorEastAsia"/>
                <w:kern w:val="0"/>
                <w:szCs w:val="21"/>
              </w:rPr>
            </w:pPr>
          </w:p>
        </w:tc>
        <w:tc>
          <w:tcPr>
            <w:tcW w:w="1089" w:type="pct"/>
            <w:vMerge w:val="continue"/>
            <w:vAlign w:val="center"/>
          </w:tcPr>
          <w:p>
            <w:pPr>
              <w:widowControl/>
              <w:spacing w:line="360" w:lineRule="auto"/>
              <w:jc w:val="center"/>
              <w:rPr>
                <w:rFonts w:cs="宋体" w:asciiTheme="minorEastAsia" w:hAnsiTheme="minorEastAsia" w:eastAsiaTheme="minorEastAsia"/>
                <w:kern w:val="0"/>
                <w:szCs w:val="21"/>
              </w:rPr>
            </w:pPr>
          </w:p>
        </w:tc>
        <w:tc>
          <w:tcPr>
            <w:tcW w:w="1841" w:type="pct"/>
            <w:vAlign w:val="center"/>
          </w:tcPr>
          <w:p>
            <w:pPr>
              <w:widowControl/>
              <w:spacing w:line="360" w:lineRule="auto"/>
              <w:jc w:val="center"/>
              <w:rPr>
                <w:rFonts w:cs="宋体" w:asciiTheme="minorEastAsia" w:hAnsiTheme="minorEastAsia" w:eastAsiaTheme="minorEastAsia"/>
                <w:bCs/>
                <w:color w:val="000000"/>
                <w:szCs w:val="21"/>
              </w:rPr>
            </w:pPr>
            <w:r>
              <w:rPr>
                <w:rFonts w:hint="eastAsia" w:asciiTheme="minorEastAsia" w:hAnsiTheme="minorEastAsia" w:eastAsiaTheme="minorEastAsia"/>
                <w:szCs w:val="21"/>
              </w:rPr>
              <w:t>交谈麦克风2个</w:t>
            </w:r>
          </w:p>
        </w:tc>
        <w:tc>
          <w:tcPr>
            <w:tcW w:w="875" w:type="pct"/>
            <w:vAlign w:val="center"/>
          </w:tcPr>
          <w:p>
            <w:pPr>
              <w:widowControl/>
              <w:spacing w:line="360" w:lineRule="auto"/>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2</w:t>
            </w:r>
          </w:p>
        </w:tc>
        <w:tc>
          <w:tcPr>
            <w:tcW w:w="727" w:type="pct"/>
            <w:vMerge w:val="continue"/>
            <w:vAlign w:val="center"/>
          </w:tcPr>
          <w:p>
            <w:pPr>
              <w:widowControl/>
              <w:spacing w:line="360" w:lineRule="auto"/>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65" w:type="pct"/>
            <w:vMerge w:val="continue"/>
            <w:vAlign w:val="center"/>
          </w:tcPr>
          <w:p>
            <w:pPr>
              <w:widowControl/>
              <w:spacing w:line="360" w:lineRule="auto"/>
              <w:jc w:val="center"/>
              <w:rPr>
                <w:rFonts w:cs="宋体" w:asciiTheme="minorEastAsia" w:hAnsiTheme="minorEastAsia" w:eastAsiaTheme="minorEastAsia"/>
                <w:kern w:val="0"/>
                <w:szCs w:val="21"/>
              </w:rPr>
            </w:pPr>
          </w:p>
        </w:tc>
        <w:tc>
          <w:tcPr>
            <w:tcW w:w="1089" w:type="pct"/>
            <w:vMerge w:val="continue"/>
            <w:vAlign w:val="center"/>
          </w:tcPr>
          <w:p>
            <w:pPr>
              <w:widowControl/>
              <w:spacing w:line="360" w:lineRule="auto"/>
              <w:jc w:val="center"/>
              <w:rPr>
                <w:rFonts w:cs="宋体" w:asciiTheme="minorEastAsia" w:hAnsiTheme="minorEastAsia" w:eastAsiaTheme="minorEastAsia"/>
                <w:kern w:val="0"/>
                <w:szCs w:val="21"/>
              </w:rPr>
            </w:pPr>
          </w:p>
        </w:tc>
        <w:tc>
          <w:tcPr>
            <w:tcW w:w="1841" w:type="pct"/>
            <w:vAlign w:val="center"/>
          </w:tcPr>
          <w:p>
            <w:pPr>
              <w:widowControl/>
              <w:spacing w:line="360" w:lineRule="auto"/>
              <w:jc w:val="center"/>
              <w:rPr>
                <w:rFonts w:cs="宋体" w:asciiTheme="minorEastAsia" w:hAnsiTheme="minorEastAsia" w:eastAsiaTheme="minorEastAsia"/>
                <w:bCs/>
                <w:color w:val="000000"/>
                <w:szCs w:val="21"/>
              </w:rPr>
            </w:pPr>
            <w:r>
              <w:rPr>
                <w:rFonts w:hint="eastAsia" w:asciiTheme="minorEastAsia" w:hAnsiTheme="minorEastAsia" w:eastAsiaTheme="minorEastAsia"/>
                <w:szCs w:val="21"/>
              </w:rPr>
              <w:t>挂墙安装套件1套</w:t>
            </w:r>
          </w:p>
        </w:tc>
        <w:tc>
          <w:tcPr>
            <w:tcW w:w="875" w:type="pct"/>
            <w:vAlign w:val="center"/>
          </w:tcPr>
          <w:p>
            <w:pPr>
              <w:widowControl/>
              <w:spacing w:line="360" w:lineRule="auto"/>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2</w:t>
            </w:r>
          </w:p>
        </w:tc>
        <w:tc>
          <w:tcPr>
            <w:tcW w:w="727" w:type="pct"/>
            <w:vMerge w:val="continue"/>
            <w:vAlign w:val="center"/>
          </w:tcPr>
          <w:p>
            <w:pPr>
              <w:widowControl/>
              <w:spacing w:line="360" w:lineRule="auto"/>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65" w:type="pct"/>
            <w:vMerge w:val="continue"/>
            <w:vAlign w:val="center"/>
          </w:tcPr>
          <w:p>
            <w:pPr>
              <w:widowControl/>
              <w:spacing w:line="360" w:lineRule="auto"/>
              <w:jc w:val="center"/>
              <w:rPr>
                <w:rFonts w:cs="宋体" w:asciiTheme="minorEastAsia" w:hAnsiTheme="minorEastAsia" w:eastAsiaTheme="minorEastAsia"/>
                <w:kern w:val="0"/>
                <w:szCs w:val="21"/>
              </w:rPr>
            </w:pPr>
          </w:p>
        </w:tc>
        <w:tc>
          <w:tcPr>
            <w:tcW w:w="1089" w:type="pct"/>
            <w:vMerge w:val="continue"/>
            <w:vAlign w:val="center"/>
          </w:tcPr>
          <w:p>
            <w:pPr>
              <w:widowControl/>
              <w:spacing w:line="360" w:lineRule="auto"/>
              <w:jc w:val="center"/>
              <w:rPr>
                <w:rFonts w:cs="宋体" w:asciiTheme="minorEastAsia" w:hAnsiTheme="minorEastAsia" w:eastAsiaTheme="minorEastAsia"/>
                <w:kern w:val="0"/>
                <w:szCs w:val="21"/>
              </w:rPr>
            </w:pPr>
          </w:p>
        </w:tc>
        <w:tc>
          <w:tcPr>
            <w:tcW w:w="1841" w:type="pct"/>
            <w:vAlign w:val="center"/>
          </w:tcPr>
          <w:p>
            <w:pPr>
              <w:pStyle w:val="455"/>
              <w:widowControl/>
              <w:spacing w:line="360" w:lineRule="auto"/>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耳鸣检查模块（含儿童测试模块）1套</w:t>
            </w:r>
          </w:p>
        </w:tc>
        <w:tc>
          <w:tcPr>
            <w:tcW w:w="875" w:type="pct"/>
            <w:vAlign w:val="center"/>
          </w:tcPr>
          <w:p>
            <w:pPr>
              <w:widowControl/>
              <w:spacing w:line="360" w:lineRule="auto"/>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2</w:t>
            </w:r>
          </w:p>
        </w:tc>
        <w:tc>
          <w:tcPr>
            <w:tcW w:w="727" w:type="pct"/>
            <w:vMerge w:val="continue"/>
            <w:vAlign w:val="center"/>
          </w:tcPr>
          <w:p>
            <w:pPr>
              <w:widowControl/>
              <w:spacing w:line="360" w:lineRule="auto"/>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65" w:type="pct"/>
            <w:vMerge w:val="continue"/>
            <w:vAlign w:val="center"/>
          </w:tcPr>
          <w:p>
            <w:pPr>
              <w:widowControl/>
              <w:spacing w:line="360" w:lineRule="auto"/>
              <w:jc w:val="center"/>
              <w:rPr>
                <w:rFonts w:cs="宋体" w:asciiTheme="minorEastAsia" w:hAnsiTheme="minorEastAsia" w:eastAsiaTheme="minorEastAsia"/>
                <w:kern w:val="0"/>
                <w:szCs w:val="21"/>
              </w:rPr>
            </w:pPr>
          </w:p>
        </w:tc>
        <w:tc>
          <w:tcPr>
            <w:tcW w:w="1089" w:type="pct"/>
            <w:vMerge w:val="continue"/>
            <w:vAlign w:val="center"/>
          </w:tcPr>
          <w:p>
            <w:pPr>
              <w:widowControl/>
              <w:spacing w:line="360" w:lineRule="auto"/>
              <w:jc w:val="center"/>
              <w:rPr>
                <w:rFonts w:cs="宋体" w:asciiTheme="minorEastAsia" w:hAnsiTheme="minorEastAsia" w:eastAsiaTheme="minorEastAsia"/>
                <w:kern w:val="0"/>
                <w:szCs w:val="21"/>
              </w:rPr>
            </w:pPr>
          </w:p>
        </w:tc>
        <w:tc>
          <w:tcPr>
            <w:tcW w:w="1841" w:type="pct"/>
            <w:vAlign w:val="center"/>
          </w:tcPr>
          <w:p>
            <w:pPr>
              <w:pStyle w:val="455"/>
              <w:widowControl/>
              <w:spacing w:line="360" w:lineRule="auto"/>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用户手册：1份；</w:t>
            </w:r>
          </w:p>
        </w:tc>
        <w:tc>
          <w:tcPr>
            <w:tcW w:w="875" w:type="pct"/>
            <w:vAlign w:val="center"/>
          </w:tcPr>
          <w:p>
            <w:pPr>
              <w:widowControl/>
              <w:spacing w:line="360" w:lineRule="auto"/>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lang w:eastAsia="zh-CN"/>
              </w:rPr>
              <w:t>2</w:t>
            </w:r>
          </w:p>
        </w:tc>
        <w:tc>
          <w:tcPr>
            <w:tcW w:w="727" w:type="pct"/>
            <w:vMerge w:val="continue"/>
            <w:vAlign w:val="center"/>
          </w:tcPr>
          <w:p>
            <w:pPr>
              <w:widowControl/>
              <w:spacing w:line="360" w:lineRule="auto"/>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65" w:type="pct"/>
            <w:vMerge w:val="continue"/>
            <w:vAlign w:val="center"/>
          </w:tcPr>
          <w:p>
            <w:pPr>
              <w:widowControl/>
              <w:spacing w:line="360" w:lineRule="auto"/>
              <w:jc w:val="center"/>
              <w:rPr>
                <w:rFonts w:cs="宋体" w:asciiTheme="minorEastAsia" w:hAnsiTheme="minorEastAsia" w:eastAsiaTheme="minorEastAsia"/>
                <w:kern w:val="0"/>
                <w:szCs w:val="21"/>
              </w:rPr>
            </w:pPr>
          </w:p>
        </w:tc>
        <w:tc>
          <w:tcPr>
            <w:tcW w:w="1089" w:type="pct"/>
            <w:vMerge w:val="continue"/>
            <w:vAlign w:val="center"/>
          </w:tcPr>
          <w:p>
            <w:pPr>
              <w:widowControl/>
              <w:spacing w:line="360" w:lineRule="auto"/>
              <w:jc w:val="center"/>
              <w:rPr>
                <w:rFonts w:cs="宋体" w:asciiTheme="minorEastAsia" w:hAnsiTheme="minorEastAsia" w:eastAsiaTheme="minorEastAsia"/>
                <w:kern w:val="0"/>
                <w:szCs w:val="21"/>
              </w:rPr>
            </w:pPr>
          </w:p>
        </w:tc>
        <w:tc>
          <w:tcPr>
            <w:tcW w:w="1841" w:type="pct"/>
            <w:vAlign w:val="center"/>
          </w:tcPr>
          <w:p>
            <w:pPr>
              <w:pStyle w:val="455"/>
              <w:widowControl/>
              <w:spacing w:line="360" w:lineRule="auto"/>
              <w:ind w:firstLine="0" w:firstLineChars="0"/>
              <w:jc w:val="center"/>
              <w:rPr>
                <w:rFonts w:asciiTheme="minorEastAsia" w:hAnsiTheme="minorEastAsia" w:eastAsiaTheme="minorEastAsia"/>
                <w:szCs w:val="21"/>
              </w:rPr>
            </w:pPr>
            <w:r>
              <w:rPr>
                <w:rFonts w:asciiTheme="minorEastAsia" w:hAnsiTheme="minorEastAsia" w:eastAsiaTheme="minorEastAsia"/>
                <w:szCs w:val="21"/>
              </w:rPr>
              <w:t>验收环节需要的消耗品1套</w:t>
            </w:r>
            <w:r>
              <w:rPr>
                <w:rFonts w:hint="eastAsia" w:asciiTheme="minorEastAsia" w:hAnsiTheme="minorEastAsia" w:eastAsiaTheme="minorEastAsia"/>
                <w:szCs w:val="21"/>
              </w:rPr>
              <w:t>。</w:t>
            </w:r>
          </w:p>
        </w:tc>
        <w:tc>
          <w:tcPr>
            <w:tcW w:w="875" w:type="pct"/>
            <w:vAlign w:val="center"/>
          </w:tcPr>
          <w:p>
            <w:pPr>
              <w:widowControl/>
              <w:spacing w:line="360" w:lineRule="auto"/>
              <w:jc w:val="center"/>
              <w:rPr>
                <w:rFonts w:hint="eastAsia" w:cs="宋体" w:asciiTheme="minorEastAsia" w:hAnsiTheme="minorEastAsia" w:eastAsiaTheme="minorEastAsia"/>
                <w:bCs/>
                <w:color w:val="000000"/>
                <w:szCs w:val="21"/>
                <w:lang w:eastAsia="zh-CN"/>
              </w:rPr>
            </w:pPr>
            <w:r>
              <w:rPr>
                <w:rFonts w:hint="eastAsia" w:cs="宋体" w:asciiTheme="minorEastAsia" w:hAnsiTheme="minorEastAsia" w:eastAsiaTheme="minorEastAsia"/>
                <w:bCs/>
                <w:color w:val="000000"/>
                <w:szCs w:val="21"/>
                <w:lang w:val="en-US" w:eastAsia="zh-CN"/>
              </w:rPr>
              <w:t>2</w:t>
            </w:r>
          </w:p>
        </w:tc>
        <w:tc>
          <w:tcPr>
            <w:tcW w:w="727" w:type="pct"/>
            <w:vMerge w:val="continue"/>
            <w:vAlign w:val="center"/>
          </w:tcPr>
          <w:p>
            <w:pPr>
              <w:widowControl/>
              <w:spacing w:line="360" w:lineRule="auto"/>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65" w:type="pct"/>
            <w:vMerge w:val="continue"/>
            <w:vAlign w:val="center"/>
          </w:tcPr>
          <w:p>
            <w:pPr>
              <w:widowControl/>
              <w:spacing w:line="360" w:lineRule="auto"/>
              <w:jc w:val="center"/>
              <w:rPr>
                <w:rFonts w:cs="宋体" w:asciiTheme="minorEastAsia" w:hAnsiTheme="minorEastAsia" w:eastAsiaTheme="minorEastAsia"/>
                <w:kern w:val="0"/>
                <w:szCs w:val="21"/>
              </w:rPr>
            </w:pPr>
          </w:p>
        </w:tc>
        <w:tc>
          <w:tcPr>
            <w:tcW w:w="1089" w:type="pct"/>
            <w:vMerge w:val="continue"/>
            <w:vAlign w:val="center"/>
          </w:tcPr>
          <w:p>
            <w:pPr>
              <w:widowControl/>
              <w:spacing w:line="360" w:lineRule="auto"/>
              <w:jc w:val="center"/>
              <w:rPr>
                <w:rFonts w:cs="宋体" w:asciiTheme="minorEastAsia" w:hAnsiTheme="minorEastAsia" w:eastAsiaTheme="minorEastAsia"/>
                <w:kern w:val="0"/>
                <w:szCs w:val="21"/>
              </w:rPr>
            </w:pPr>
          </w:p>
        </w:tc>
        <w:tc>
          <w:tcPr>
            <w:tcW w:w="1841" w:type="pct"/>
            <w:vAlign w:val="center"/>
          </w:tcPr>
          <w:p>
            <w:pPr>
              <w:pStyle w:val="455"/>
              <w:widowControl/>
              <w:spacing w:line="360" w:lineRule="auto"/>
              <w:ind w:firstLine="0" w:firstLineChars="0"/>
              <w:jc w:val="center"/>
              <w:rPr>
                <w:rFonts w:asciiTheme="minorEastAsia" w:hAnsiTheme="minorEastAsia" w:eastAsiaTheme="minorEastAsia"/>
                <w:szCs w:val="21"/>
              </w:rPr>
            </w:pPr>
            <w:r>
              <w:rPr>
                <w:rFonts w:asciiTheme="minorEastAsia" w:hAnsiTheme="minorEastAsia" w:eastAsiaTheme="minorEastAsia"/>
                <w:szCs w:val="21"/>
              </w:rPr>
              <w:t>第三方验收评价报告1份</w:t>
            </w:r>
            <w:r>
              <w:rPr>
                <w:rFonts w:hint="eastAsia" w:asciiTheme="minorEastAsia" w:hAnsiTheme="minorEastAsia" w:eastAsiaTheme="minorEastAsia"/>
                <w:szCs w:val="21"/>
              </w:rPr>
              <w:t>。</w:t>
            </w:r>
          </w:p>
        </w:tc>
        <w:tc>
          <w:tcPr>
            <w:tcW w:w="875" w:type="pct"/>
            <w:vAlign w:val="center"/>
          </w:tcPr>
          <w:p>
            <w:pPr>
              <w:widowControl/>
              <w:spacing w:line="360" w:lineRule="auto"/>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lang w:val="en-US" w:eastAsia="zh-CN"/>
              </w:rPr>
              <w:t>2</w:t>
            </w:r>
          </w:p>
        </w:tc>
        <w:tc>
          <w:tcPr>
            <w:tcW w:w="727" w:type="pct"/>
            <w:vMerge w:val="continue"/>
            <w:vAlign w:val="center"/>
          </w:tcPr>
          <w:p>
            <w:pPr>
              <w:widowControl/>
              <w:spacing w:line="360" w:lineRule="auto"/>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65" w:type="pct"/>
            <w:vMerge w:val="continue"/>
            <w:vAlign w:val="center"/>
          </w:tcPr>
          <w:p>
            <w:pPr>
              <w:widowControl/>
              <w:spacing w:line="360" w:lineRule="auto"/>
              <w:jc w:val="center"/>
              <w:rPr>
                <w:rFonts w:cs="宋体" w:asciiTheme="minorEastAsia" w:hAnsiTheme="minorEastAsia" w:eastAsiaTheme="minorEastAsia"/>
                <w:kern w:val="0"/>
                <w:szCs w:val="21"/>
              </w:rPr>
            </w:pPr>
          </w:p>
        </w:tc>
        <w:tc>
          <w:tcPr>
            <w:tcW w:w="1089" w:type="pct"/>
            <w:vMerge w:val="continue"/>
            <w:vAlign w:val="center"/>
          </w:tcPr>
          <w:p>
            <w:pPr>
              <w:widowControl/>
              <w:spacing w:line="360" w:lineRule="auto"/>
              <w:jc w:val="center"/>
              <w:rPr>
                <w:rFonts w:cs="宋体" w:asciiTheme="minorEastAsia" w:hAnsiTheme="minorEastAsia" w:eastAsiaTheme="minorEastAsia"/>
                <w:kern w:val="0"/>
                <w:szCs w:val="21"/>
              </w:rPr>
            </w:pPr>
          </w:p>
        </w:tc>
        <w:tc>
          <w:tcPr>
            <w:tcW w:w="1841" w:type="pct"/>
            <w:vAlign w:val="center"/>
          </w:tcPr>
          <w:p>
            <w:pPr>
              <w:pStyle w:val="455"/>
              <w:widowControl/>
              <w:spacing w:line="360" w:lineRule="auto"/>
              <w:ind w:firstLine="0" w:firstLineChars="0"/>
              <w:jc w:val="center"/>
              <w:rPr>
                <w:rFonts w:asciiTheme="minorEastAsia" w:hAnsiTheme="minorEastAsia" w:eastAsiaTheme="minorEastAsia"/>
                <w:szCs w:val="21"/>
              </w:rPr>
            </w:pPr>
            <w:r>
              <w:rPr>
                <w:rFonts w:asciiTheme="minorEastAsia" w:hAnsiTheme="minorEastAsia" w:eastAsiaTheme="minorEastAsia"/>
                <w:szCs w:val="21"/>
              </w:rPr>
              <w:t>计量检测合格证书1份</w:t>
            </w:r>
            <w:r>
              <w:rPr>
                <w:rFonts w:hint="eastAsia" w:asciiTheme="minorEastAsia" w:hAnsiTheme="minorEastAsia" w:eastAsiaTheme="minorEastAsia"/>
                <w:szCs w:val="21"/>
              </w:rPr>
              <w:t>。</w:t>
            </w:r>
          </w:p>
        </w:tc>
        <w:tc>
          <w:tcPr>
            <w:tcW w:w="875" w:type="pct"/>
            <w:vAlign w:val="center"/>
          </w:tcPr>
          <w:p>
            <w:pPr>
              <w:widowControl/>
              <w:spacing w:line="360" w:lineRule="auto"/>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lang w:val="en-US" w:eastAsia="zh-CN"/>
              </w:rPr>
              <w:t>2</w:t>
            </w:r>
          </w:p>
        </w:tc>
        <w:tc>
          <w:tcPr>
            <w:tcW w:w="727" w:type="pct"/>
            <w:vMerge w:val="continue"/>
            <w:vAlign w:val="center"/>
          </w:tcPr>
          <w:p>
            <w:pPr>
              <w:widowControl/>
              <w:spacing w:line="360" w:lineRule="auto"/>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65" w:type="pct"/>
            <w:vMerge w:val="continue"/>
            <w:vAlign w:val="center"/>
          </w:tcPr>
          <w:p>
            <w:pPr>
              <w:widowControl/>
              <w:spacing w:line="360" w:lineRule="auto"/>
              <w:jc w:val="center"/>
              <w:rPr>
                <w:rFonts w:cs="宋体" w:asciiTheme="minorEastAsia" w:hAnsiTheme="minorEastAsia" w:eastAsiaTheme="minorEastAsia"/>
                <w:kern w:val="0"/>
                <w:szCs w:val="21"/>
              </w:rPr>
            </w:pPr>
          </w:p>
        </w:tc>
        <w:tc>
          <w:tcPr>
            <w:tcW w:w="1089" w:type="pct"/>
            <w:vMerge w:val="continue"/>
            <w:vAlign w:val="center"/>
          </w:tcPr>
          <w:p>
            <w:pPr>
              <w:widowControl/>
              <w:spacing w:line="360" w:lineRule="auto"/>
              <w:jc w:val="center"/>
              <w:rPr>
                <w:rFonts w:cs="宋体" w:asciiTheme="minorEastAsia" w:hAnsiTheme="minorEastAsia" w:eastAsiaTheme="minorEastAsia"/>
                <w:kern w:val="0"/>
                <w:szCs w:val="21"/>
              </w:rPr>
            </w:pPr>
          </w:p>
        </w:tc>
        <w:tc>
          <w:tcPr>
            <w:tcW w:w="1841" w:type="pct"/>
            <w:vAlign w:val="center"/>
          </w:tcPr>
          <w:p>
            <w:pPr>
              <w:pStyle w:val="455"/>
              <w:widowControl/>
              <w:spacing w:line="360" w:lineRule="auto"/>
              <w:ind w:firstLine="0" w:firstLineChars="0"/>
              <w:jc w:val="center"/>
              <w:rPr>
                <w:rFonts w:asciiTheme="minorEastAsia" w:hAnsiTheme="minorEastAsia" w:eastAsiaTheme="minorEastAsia"/>
                <w:szCs w:val="21"/>
              </w:rPr>
            </w:pPr>
            <w:r>
              <w:rPr>
                <w:rFonts w:asciiTheme="minorEastAsia" w:hAnsiTheme="minorEastAsia" w:eastAsiaTheme="minorEastAsia"/>
                <w:szCs w:val="21"/>
              </w:rPr>
              <w:t>中文说明书1套（另电子版1份）</w:t>
            </w:r>
            <w:r>
              <w:rPr>
                <w:rFonts w:hint="eastAsia" w:asciiTheme="minorEastAsia" w:hAnsiTheme="minorEastAsia" w:eastAsiaTheme="minorEastAsia"/>
                <w:szCs w:val="21"/>
              </w:rPr>
              <w:t>。</w:t>
            </w:r>
          </w:p>
        </w:tc>
        <w:tc>
          <w:tcPr>
            <w:tcW w:w="875" w:type="pct"/>
            <w:vAlign w:val="center"/>
          </w:tcPr>
          <w:p>
            <w:pPr>
              <w:widowControl/>
              <w:spacing w:line="360" w:lineRule="auto"/>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lang w:val="en-US" w:eastAsia="zh-CN"/>
              </w:rPr>
              <w:t>2</w:t>
            </w:r>
          </w:p>
        </w:tc>
        <w:tc>
          <w:tcPr>
            <w:tcW w:w="727" w:type="pct"/>
            <w:vMerge w:val="continue"/>
            <w:vAlign w:val="center"/>
          </w:tcPr>
          <w:p>
            <w:pPr>
              <w:widowControl/>
              <w:spacing w:line="360" w:lineRule="auto"/>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65" w:type="pct"/>
            <w:vMerge w:val="continue"/>
            <w:vAlign w:val="center"/>
          </w:tcPr>
          <w:p>
            <w:pPr>
              <w:widowControl/>
              <w:spacing w:line="360" w:lineRule="auto"/>
              <w:jc w:val="center"/>
              <w:rPr>
                <w:rFonts w:cs="宋体" w:asciiTheme="minorEastAsia" w:hAnsiTheme="minorEastAsia" w:eastAsiaTheme="minorEastAsia"/>
                <w:kern w:val="0"/>
                <w:szCs w:val="21"/>
              </w:rPr>
            </w:pPr>
          </w:p>
        </w:tc>
        <w:tc>
          <w:tcPr>
            <w:tcW w:w="1089" w:type="pct"/>
            <w:vMerge w:val="continue"/>
            <w:vAlign w:val="center"/>
          </w:tcPr>
          <w:p>
            <w:pPr>
              <w:widowControl/>
              <w:spacing w:line="360" w:lineRule="auto"/>
              <w:jc w:val="center"/>
              <w:rPr>
                <w:rFonts w:cs="宋体" w:asciiTheme="minorEastAsia" w:hAnsiTheme="minorEastAsia" w:eastAsiaTheme="minorEastAsia"/>
                <w:kern w:val="0"/>
                <w:szCs w:val="21"/>
              </w:rPr>
            </w:pPr>
          </w:p>
        </w:tc>
        <w:tc>
          <w:tcPr>
            <w:tcW w:w="1841" w:type="pct"/>
            <w:vAlign w:val="center"/>
          </w:tcPr>
          <w:p>
            <w:pPr>
              <w:pStyle w:val="455"/>
              <w:widowControl/>
              <w:spacing w:line="360" w:lineRule="auto"/>
              <w:ind w:firstLine="0" w:firstLineChars="0"/>
              <w:jc w:val="center"/>
              <w:rPr>
                <w:rFonts w:asciiTheme="minorEastAsia" w:hAnsiTheme="minorEastAsia" w:eastAsiaTheme="minorEastAsia"/>
                <w:szCs w:val="21"/>
              </w:rPr>
            </w:pPr>
            <w:r>
              <w:rPr>
                <w:rFonts w:asciiTheme="minorEastAsia" w:hAnsiTheme="minorEastAsia" w:eastAsiaTheme="minorEastAsia"/>
                <w:szCs w:val="21"/>
              </w:rPr>
              <w:t>中文维修手册1套（另电子版1份）</w:t>
            </w:r>
            <w:r>
              <w:rPr>
                <w:rFonts w:hint="eastAsia" w:asciiTheme="minorEastAsia" w:hAnsiTheme="minorEastAsia" w:eastAsiaTheme="minorEastAsia"/>
                <w:szCs w:val="21"/>
              </w:rPr>
              <w:t>。</w:t>
            </w:r>
          </w:p>
        </w:tc>
        <w:tc>
          <w:tcPr>
            <w:tcW w:w="875" w:type="pct"/>
            <w:vAlign w:val="center"/>
          </w:tcPr>
          <w:p>
            <w:pPr>
              <w:widowControl/>
              <w:spacing w:line="360" w:lineRule="auto"/>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lang w:val="en-US" w:eastAsia="zh-CN"/>
              </w:rPr>
              <w:t>2</w:t>
            </w:r>
          </w:p>
        </w:tc>
        <w:tc>
          <w:tcPr>
            <w:tcW w:w="727" w:type="pct"/>
            <w:vMerge w:val="continue"/>
            <w:vAlign w:val="center"/>
          </w:tcPr>
          <w:p>
            <w:pPr>
              <w:widowControl/>
              <w:spacing w:line="360" w:lineRule="auto"/>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65" w:type="pct"/>
            <w:vMerge w:val="continue"/>
            <w:vAlign w:val="center"/>
          </w:tcPr>
          <w:p>
            <w:pPr>
              <w:widowControl/>
              <w:spacing w:line="360" w:lineRule="auto"/>
              <w:jc w:val="center"/>
              <w:rPr>
                <w:rFonts w:cs="宋体" w:asciiTheme="minorEastAsia" w:hAnsiTheme="minorEastAsia" w:eastAsiaTheme="minorEastAsia"/>
                <w:kern w:val="0"/>
                <w:szCs w:val="21"/>
              </w:rPr>
            </w:pPr>
          </w:p>
        </w:tc>
        <w:tc>
          <w:tcPr>
            <w:tcW w:w="1089" w:type="pct"/>
            <w:vMerge w:val="continue"/>
            <w:vAlign w:val="center"/>
          </w:tcPr>
          <w:p>
            <w:pPr>
              <w:widowControl/>
              <w:spacing w:line="360" w:lineRule="auto"/>
              <w:jc w:val="center"/>
              <w:rPr>
                <w:rFonts w:cs="宋体" w:asciiTheme="minorEastAsia" w:hAnsiTheme="minorEastAsia" w:eastAsiaTheme="minorEastAsia"/>
                <w:kern w:val="0"/>
                <w:szCs w:val="21"/>
              </w:rPr>
            </w:pPr>
          </w:p>
        </w:tc>
        <w:tc>
          <w:tcPr>
            <w:tcW w:w="1841" w:type="pct"/>
            <w:vAlign w:val="center"/>
          </w:tcPr>
          <w:p>
            <w:pPr>
              <w:pStyle w:val="455"/>
              <w:widowControl/>
              <w:spacing w:line="360" w:lineRule="auto"/>
              <w:ind w:firstLine="0" w:firstLineChars="0"/>
              <w:jc w:val="center"/>
              <w:rPr>
                <w:rFonts w:asciiTheme="minorEastAsia" w:hAnsiTheme="minorEastAsia" w:eastAsiaTheme="minorEastAsia"/>
                <w:szCs w:val="21"/>
              </w:rPr>
            </w:pPr>
            <w:r>
              <w:rPr>
                <w:rFonts w:asciiTheme="minorEastAsia" w:hAnsiTheme="minorEastAsia" w:eastAsiaTheme="minorEastAsia"/>
                <w:szCs w:val="21"/>
              </w:rPr>
              <w:t>中文操作流程卡1套（另电子版1份）</w:t>
            </w:r>
            <w:r>
              <w:rPr>
                <w:rFonts w:hint="eastAsia" w:asciiTheme="minorEastAsia" w:hAnsiTheme="minorEastAsia" w:eastAsiaTheme="minorEastAsia"/>
                <w:szCs w:val="21"/>
              </w:rPr>
              <w:t>。</w:t>
            </w:r>
          </w:p>
        </w:tc>
        <w:tc>
          <w:tcPr>
            <w:tcW w:w="875" w:type="pct"/>
            <w:vAlign w:val="center"/>
          </w:tcPr>
          <w:p>
            <w:pPr>
              <w:widowControl/>
              <w:spacing w:line="360" w:lineRule="auto"/>
              <w:jc w:val="center"/>
              <w:rPr>
                <w:rFonts w:hint="default" w:cs="宋体" w:asciiTheme="minorEastAsia" w:hAnsiTheme="minorEastAsia" w:eastAsiaTheme="minorEastAsia"/>
                <w:bCs/>
                <w:color w:val="000000"/>
                <w:szCs w:val="21"/>
                <w:lang w:val="en-US"/>
              </w:rPr>
            </w:pPr>
            <w:r>
              <w:rPr>
                <w:rFonts w:hint="eastAsia" w:cs="宋体" w:asciiTheme="minorEastAsia" w:hAnsiTheme="minorEastAsia" w:eastAsiaTheme="minorEastAsia"/>
                <w:bCs/>
                <w:color w:val="000000"/>
                <w:szCs w:val="21"/>
                <w:lang w:val="en-US" w:eastAsia="zh-CN"/>
              </w:rPr>
              <w:t>2</w:t>
            </w:r>
          </w:p>
        </w:tc>
        <w:tc>
          <w:tcPr>
            <w:tcW w:w="727" w:type="pct"/>
            <w:vMerge w:val="continue"/>
            <w:vAlign w:val="center"/>
          </w:tcPr>
          <w:p>
            <w:pPr>
              <w:widowControl/>
              <w:spacing w:line="360" w:lineRule="auto"/>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65" w:type="pct"/>
            <w:vMerge w:val="continue"/>
            <w:vAlign w:val="center"/>
          </w:tcPr>
          <w:p>
            <w:pPr>
              <w:widowControl/>
              <w:spacing w:line="360" w:lineRule="auto"/>
              <w:jc w:val="center"/>
              <w:rPr>
                <w:rFonts w:cs="宋体" w:asciiTheme="minorEastAsia" w:hAnsiTheme="minorEastAsia" w:eastAsiaTheme="minorEastAsia"/>
                <w:kern w:val="0"/>
                <w:szCs w:val="21"/>
              </w:rPr>
            </w:pPr>
          </w:p>
        </w:tc>
        <w:tc>
          <w:tcPr>
            <w:tcW w:w="1089" w:type="pct"/>
            <w:vMerge w:val="continue"/>
            <w:vAlign w:val="center"/>
          </w:tcPr>
          <w:p>
            <w:pPr>
              <w:widowControl/>
              <w:spacing w:line="360" w:lineRule="auto"/>
              <w:jc w:val="center"/>
              <w:rPr>
                <w:rFonts w:cs="宋体" w:asciiTheme="minorEastAsia" w:hAnsiTheme="minorEastAsia" w:eastAsiaTheme="minorEastAsia"/>
                <w:kern w:val="0"/>
                <w:szCs w:val="21"/>
              </w:rPr>
            </w:pPr>
          </w:p>
        </w:tc>
        <w:tc>
          <w:tcPr>
            <w:tcW w:w="1841" w:type="pct"/>
            <w:vAlign w:val="center"/>
          </w:tcPr>
          <w:p>
            <w:pPr>
              <w:widowControl/>
              <w:spacing w:line="360" w:lineRule="auto"/>
              <w:jc w:val="left"/>
              <w:rPr>
                <w:rFonts w:asciiTheme="minorEastAsia" w:hAnsiTheme="minorEastAsia" w:eastAsiaTheme="minorEastAsia"/>
                <w:szCs w:val="21"/>
              </w:rPr>
            </w:pPr>
            <w:r>
              <w:rPr>
                <w:rFonts w:asciiTheme="minorEastAsia" w:hAnsiTheme="minorEastAsia" w:eastAsiaTheme="minorEastAsia"/>
                <w:szCs w:val="21"/>
              </w:rPr>
              <w:t>配齐满足设备参数功能且正常使用所需要的所有附件，与医院数据传输系统的接口等，负责医院超声图文工作站或HIS或PACS或LIS系统或远程会诊系统接口费（如有），保证数据安全和共享，无需另外购置即可满足临床需求</w:t>
            </w:r>
            <w:r>
              <w:rPr>
                <w:rFonts w:hint="eastAsia" w:asciiTheme="minorEastAsia" w:hAnsiTheme="minorEastAsia" w:eastAsiaTheme="minorEastAsia"/>
                <w:szCs w:val="21"/>
              </w:rPr>
              <w:t>。</w:t>
            </w:r>
          </w:p>
        </w:tc>
        <w:tc>
          <w:tcPr>
            <w:tcW w:w="875" w:type="pct"/>
            <w:vAlign w:val="center"/>
          </w:tcPr>
          <w:p>
            <w:pPr>
              <w:widowControl/>
              <w:spacing w:line="360" w:lineRule="auto"/>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w:t>
            </w:r>
          </w:p>
        </w:tc>
        <w:tc>
          <w:tcPr>
            <w:tcW w:w="727" w:type="pct"/>
            <w:vMerge w:val="continue"/>
            <w:vAlign w:val="center"/>
          </w:tcPr>
          <w:p>
            <w:pPr>
              <w:widowControl/>
              <w:spacing w:line="360" w:lineRule="auto"/>
              <w:jc w:val="center"/>
              <w:rPr>
                <w:rFonts w:cs="宋体" w:asciiTheme="minorEastAsia" w:hAnsiTheme="minorEastAsia" w:eastAsiaTheme="minorEastAsia"/>
                <w:kern w:val="0"/>
                <w:szCs w:val="21"/>
              </w:rPr>
            </w:pPr>
          </w:p>
        </w:tc>
      </w:tr>
    </w:tbl>
    <w:p>
      <w:pPr>
        <w:pStyle w:val="2"/>
        <w:rPr>
          <w:rFonts w:ascii="宋体" w:hAnsi="宋体"/>
          <w:b/>
          <w:bCs/>
          <w:snapToGrid w:val="0"/>
          <w:kern w:val="0"/>
          <w:sz w:val="24"/>
        </w:rPr>
      </w:pPr>
    </w:p>
    <w:p/>
    <w:p>
      <w:pPr>
        <w:spacing w:line="360" w:lineRule="auto"/>
        <w:rPr>
          <w:rFonts w:ascii="宋体" w:hAnsi="宋体"/>
          <w:b/>
          <w:bCs/>
          <w:snapToGrid w:val="0"/>
          <w:kern w:val="0"/>
          <w:sz w:val="24"/>
        </w:rPr>
      </w:pPr>
      <w:r>
        <w:rPr>
          <w:rFonts w:hint="eastAsia" w:ascii="宋体" w:hAnsi="宋体"/>
          <w:b/>
          <w:bCs/>
          <w:snapToGrid w:val="0"/>
          <w:kern w:val="0"/>
          <w:sz w:val="24"/>
        </w:rPr>
        <w:t>三、商务要求</w:t>
      </w:r>
    </w:p>
    <w:p>
      <w:pPr>
        <w:widowControl/>
        <w:spacing w:line="360" w:lineRule="auto"/>
        <w:jc w:val="left"/>
        <w:outlineLvl w:val="0"/>
        <w:rPr>
          <w:rFonts w:ascii="宋体" w:hAnsi="宋体"/>
          <w:b/>
          <w:color w:val="FF0000"/>
          <w:kern w:val="0"/>
          <w:szCs w:val="21"/>
          <w:highlight w:val="none"/>
        </w:rPr>
      </w:pPr>
      <w:bookmarkStart w:id="2" w:name="_Toc73610137"/>
      <w:r>
        <w:rPr>
          <w:rFonts w:hint="eastAsia" w:ascii="宋体" w:hAnsi="宋体"/>
          <w:kern w:val="0"/>
          <w:szCs w:val="21"/>
          <w:highlight w:val="none"/>
        </w:rPr>
        <w:t>★</w:t>
      </w:r>
      <w:r>
        <w:rPr>
          <w:rFonts w:hint="eastAsia" w:ascii="宋体" w:hAnsi="宋体"/>
          <w:b/>
          <w:kern w:val="0"/>
          <w:szCs w:val="21"/>
          <w:highlight w:val="none"/>
        </w:rPr>
        <w:t>（一）交货期：</w:t>
      </w:r>
      <w:bookmarkEnd w:id="2"/>
      <w:r>
        <w:rPr>
          <w:rFonts w:hint="eastAsia" w:ascii="宋体" w:hAnsi="宋体" w:cs="宋体"/>
          <w:szCs w:val="21"/>
          <w:highlight w:val="none"/>
        </w:rPr>
        <w:t>签订合同后</w:t>
      </w:r>
      <w:r>
        <w:rPr>
          <w:rFonts w:hint="eastAsia" w:ascii="宋体" w:hAnsi="宋体" w:cs="宋体"/>
          <w:szCs w:val="21"/>
          <w:highlight w:val="none"/>
          <w:u w:val="single"/>
        </w:rPr>
        <w:t>60</w:t>
      </w:r>
      <w:r>
        <w:rPr>
          <w:rFonts w:hint="eastAsia" w:ascii="宋体" w:hAnsi="宋体" w:cs="宋体"/>
          <w:szCs w:val="21"/>
          <w:highlight w:val="none"/>
        </w:rPr>
        <w:t>（天）日历日内。（日历日为自然天，包括双休日及法定节假日，不等同于工作日；投标文件中的交货期条款为不可负偏离条款，若投标文件中响应的交货期超过招标文件规定期限时，其投标文件按投标无效处理。）</w:t>
      </w:r>
    </w:p>
    <w:p>
      <w:pPr>
        <w:widowControl/>
        <w:spacing w:line="360" w:lineRule="auto"/>
        <w:jc w:val="left"/>
        <w:outlineLvl w:val="0"/>
        <w:rPr>
          <w:rFonts w:asciiTheme="minorEastAsia" w:hAnsiTheme="minorEastAsia" w:eastAsiaTheme="minorEastAsia"/>
          <w:kern w:val="0"/>
          <w:szCs w:val="21"/>
        </w:rPr>
      </w:pPr>
      <w:bookmarkStart w:id="3" w:name="_Toc73610138"/>
      <w:r>
        <w:rPr>
          <w:rFonts w:hint="eastAsia" w:asciiTheme="minorEastAsia" w:hAnsiTheme="minorEastAsia" w:eastAsiaTheme="minorEastAsia"/>
          <w:kern w:val="0"/>
          <w:szCs w:val="21"/>
        </w:rPr>
        <w:t>（二）交货地点：采购人指定地点。</w:t>
      </w:r>
      <w:bookmarkEnd w:id="3"/>
    </w:p>
    <w:p>
      <w:pPr>
        <w:widowControl/>
        <w:spacing w:line="360" w:lineRule="auto"/>
        <w:jc w:val="left"/>
        <w:outlineLvl w:val="0"/>
        <w:rPr>
          <w:rFonts w:asciiTheme="minorEastAsia" w:hAnsiTheme="minorEastAsia" w:eastAsiaTheme="minorEastAsia"/>
          <w:kern w:val="0"/>
          <w:szCs w:val="21"/>
        </w:rPr>
      </w:pPr>
      <w:bookmarkStart w:id="4" w:name="_Toc73610139"/>
      <w:r>
        <w:rPr>
          <w:rFonts w:hint="eastAsia" w:asciiTheme="minorEastAsia" w:hAnsiTheme="minorEastAsia" w:eastAsiaTheme="minorEastAsia"/>
          <w:kern w:val="0"/>
          <w:szCs w:val="21"/>
        </w:rPr>
        <w:t>（三）报价要求：</w:t>
      </w:r>
      <w:r>
        <w:rPr>
          <w:rFonts w:asciiTheme="minorEastAsia" w:hAnsiTheme="minorEastAsia" w:eastAsiaTheme="minorEastAsia"/>
          <w:kern w:val="0"/>
          <w:szCs w:val="21"/>
        </w:rPr>
        <w:br w:type="textWrapping"/>
      </w:r>
      <w:r>
        <w:rPr>
          <w:rFonts w:hint="eastAsia" w:asciiTheme="minorEastAsia" w:hAnsiTheme="minorEastAsia" w:eastAsiaTheme="minorEastAsia"/>
          <w:kern w:val="0"/>
          <w:szCs w:val="21"/>
        </w:rPr>
        <w:t>1、设备投标报价必须是完成该项目的一切费用总和，包括设备费、运输费、装卸费、安装费、调试费、</w:t>
      </w:r>
      <w:r>
        <w:rPr>
          <w:rFonts w:hint="eastAsia" w:asciiTheme="minorEastAsia" w:hAnsiTheme="minorEastAsia" w:eastAsiaTheme="minorEastAsia"/>
        </w:rPr>
        <w:t>接口费、</w:t>
      </w:r>
      <w:r>
        <w:rPr>
          <w:rFonts w:hint="eastAsia" w:asciiTheme="minorEastAsia" w:hAnsiTheme="minorEastAsia" w:eastAsiaTheme="minorEastAsia"/>
          <w:kern w:val="0"/>
          <w:szCs w:val="21"/>
        </w:rPr>
        <w:t>保险费、技术培训费、售后服务费、国家规定的各项税费等全部费用。</w:t>
      </w:r>
      <w:bookmarkEnd w:id="4"/>
    </w:p>
    <w:p>
      <w:pPr>
        <w:pStyle w:val="2"/>
        <w:spacing w:line="360" w:lineRule="auto"/>
        <w:rPr>
          <w:rFonts w:asciiTheme="minorEastAsia" w:hAnsiTheme="minorEastAsia" w:eastAsiaTheme="minorEastAsia"/>
        </w:rPr>
      </w:pPr>
      <w:r>
        <w:rPr>
          <w:rFonts w:hint="eastAsia" w:asciiTheme="minorEastAsia" w:hAnsiTheme="minorEastAsia" w:eastAsiaTheme="minorEastAsia"/>
          <w:kern w:val="0"/>
          <w:szCs w:val="21"/>
        </w:rPr>
        <w:t>2、</w:t>
      </w:r>
      <w:r>
        <w:rPr>
          <w:rFonts w:hint="eastAsia" w:asciiTheme="minorEastAsia" w:hAnsiTheme="minorEastAsia" w:eastAsiaTheme="minorEastAsia"/>
        </w:rPr>
        <w:t>配件价格不得高于深圳市成交价，投标文件中提供配件报价清单。</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（四）付款方式：</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1、按龙岗区财政局相关规定执行。</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（五）验收要求：</w:t>
      </w:r>
    </w:p>
    <w:p>
      <w:pPr>
        <w:pStyle w:val="2"/>
        <w:spacing w:line="360" w:lineRule="auto"/>
        <w:rPr>
          <w:rFonts w:asciiTheme="minorEastAsia" w:hAnsiTheme="minorEastAsia" w:eastAsiaTheme="minorEastAsia"/>
        </w:rPr>
      </w:pPr>
      <w:r>
        <w:rPr>
          <w:rFonts w:hint="eastAsia" w:asciiTheme="minorEastAsia" w:hAnsiTheme="minorEastAsia" w:eastAsiaTheme="minorEastAsia"/>
        </w:rPr>
        <w:t>1、验收周期：安装后1个月</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（六）售后服务：</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1、在广东省内有售后服务机构，并提供其服务机构的证明材料及详细的地址、联系方式。</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验收时提供产品中文说明书、操作手册、维修手册、设备操作流程卡、故障代码表、维修密码及一切和本项目有关的资料及说明；如是进口产品还应提供英文说明书、操作手册、维修手册。如不能提供维修资料，保修期在原基础上延长12个月。</w:t>
      </w:r>
    </w:p>
    <w:p>
      <w:pPr>
        <w:spacing w:line="360" w:lineRule="auto"/>
        <w:rPr>
          <w:rFonts w:ascii="宋体" w:hAnsi="宋体"/>
          <w:szCs w:val="21"/>
          <w:highlight w:val="none"/>
        </w:rPr>
      </w:pPr>
      <w:r>
        <w:rPr>
          <w:rFonts w:hint="eastAsia"/>
          <w:highlight w:val="none"/>
        </w:rPr>
        <w:t>★</w:t>
      </w:r>
      <w:r>
        <w:rPr>
          <w:rFonts w:hint="eastAsia" w:asciiTheme="minorEastAsia" w:hAnsiTheme="minorEastAsia" w:eastAsiaTheme="minorEastAsia"/>
          <w:b/>
          <w:highlight w:val="none"/>
        </w:rPr>
        <w:t>3、</w:t>
      </w:r>
      <w:r>
        <w:rPr>
          <w:rFonts w:hint="eastAsia" w:asciiTheme="minorEastAsia" w:hAnsiTheme="minorEastAsia" w:eastAsiaTheme="minorEastAsia"/>
          <w:b/>
          <w:szCs w:val="21"/>
          <w:highlight w:val="none"/>
        </w:rPr>
        <w:t>对所提供的设备质保期：</w:t>
      </w:r>
      <w:r>
        <w:rPr>
          <w:rFonts w:hint="eastAsia" w:asciiTheme="minorEastAsia" w:hAnsiTheme="minorEastAsia" w:eastAsiaTheme="minorEastAsia"/>
          <w:b/>
          <w:szCs w:val="21"/>
          <w:highlight w:val="none"/>
          <w:lang w:val="en-US" w:eastAsia="zh-CN"/>
        </w:rPr>
        <w:t>主机</w:t>
      </w:r>
      <w:r>
        <w:rPr>
          <w:rFonts w:hint="eastAsia" w:asciiTheme="minorEastAsia" w:hAnsiTheme="minorEastAsia" w:eastAsiaTheme="minorEastAsia"/>
          <w:b/>
          <w:szCs w:val="21"/>
          <w:highlight w:val="none"/>
        </w:rPr>
        <w:t>至少</w:t>
      </w:r>
      <w:r>
        <w:rPr>
          <w:rFonts w:asciiTheme="minorEastAsia" w:hAnsiTheme="minorEastAsia" w:eastAsiaTheme="minorEastAsia"/>
          <w:b/>
          <w:szCs w:val="21"/>
          <w:highlight w:val="none"/>
        </w:rPr>
        <w:t>5</w:t>
      </w:r>
      <w:r>
        <w:rPr>
          <w:rFonts w:hint="eastAsia" w:asciiTheme="minorEastAsia" w:hAnsiTheme="minorEastAsia" w:eastAsiaTheme="minorEastAsia"/>
          <w:b/>
          <w:szCs w:val="21"/>
          <w:highlight w:val="none"/>
        </w:rPr>
        <w:t>年，配件至少3年，包含移机费用（以验收合格之日起计算），保修期：10年。</w:t>
      </w:r>
    </w:p>
    <w:p>
      <w:pPr>
        <w:spacing w:line="360" w:lineRule="auto"/>
        <w:rPr>
          <w:rFonts w:ascii="宋体" w:hAnsi="宋体"/>
          <w:szCs w:val="21"/>
        </w:rPr>
      </w:pPr>
      <w:r>
        <w:rPr>
          <w:rFonts w:hint="eastAsia" w:ascii="宋体" w:hAnsi="宋体"/>
          <w:szCs w:val="21"/>
        </w:rPr>
        <w:t>3.1质保期内保证每年有4次或以上预防性维护保养。</w:t>
      </w:r>
    </w:p>
    <w:p>
      <w:pPr>
        <w:spacing w:line="360" w:lineRule="auto"/>
        <w:rPr>
          <w:rFonts w:ascii="宋体" w:hAnsi="宋体"/>
          <w:szCs w:val="21"/>
        </w:rPr>
      </w:pPr>
      <w:r>
        <w:rPr>
          <w:rFonts w:hint="eastAsia" w:ascii="宋体" w:hAnsi="宋体"/>
          <w:szCs w:val="21"/>
        </w:rPr>
        <w:t>3.2在质保期和保修期内，一旦发生质量问题，投标人保证在接到通知24小时内赶到现场进行修理或更换。质保期内非因用户的人为原因而出现质量问题，由投标人负责包修、包换或者包退，并承担修理、调换或退换的实际费用。投标人不能修理或不能调换，按不能交货处理。</w:t>
      </w:r>
    </w:p>
    <w:p>
      <w:pPr>
        <w:spacing w:line="360" w:lineRule="auto"/>
        <w:rPr>
          <w:rFonts w:ascii="宋体" w:hAnsi="宋体"/>
          <w:szCs w:val="21"/>
        </w:rPr>
      </w:pPr>
      <w:r>
        <w:rPr>
          <w:rFonts w:hint="eastAsia" w:ascii="宋体" w:hAnsi="宋体"/>
          <w:szCs w:val="21"/>
        </w:rPr>
        <w:t>3.3保修期内，免费维修，用户只承担更换零备件的费用。</w:t>
      </w:r>
    </w:p>
    <w:p>
      <w:pPr>
        <w:spacing w:line="360" w:lineRule="auto"/>
        <w:rPr>
          <w:rFonts w:ascii="宋体" w:hAnsi="宋体"/>
          <w:szCs w:val="21"/>
        </w:rPr>
      </w:pPr>
      <w:r>
        <w:rPr>
          <w:rFonts w:hint="eastAsia" w:ascii="宋体" w:hAnsi="宋体"/>
          <w:szCs w:val="21"/>
        </w:rPr>
        <w:t>3.4由生产厂家提供承诺书，终身维护。</w:t>
      </w:r>
      <w:r>
        <w:rPr>
          <w:rFonts w:hint="eastAsia" w:ascii="宋体" w:hAnsi="宋体"/>
          <w:szCs w:val="21"/>
        </w:rPr>
        <w:br w:type="textWrapping"/>
      </w:r>
      <w:r>
        <w:rPr>
          <w:rFonts w:hint="eastAsia" w:ascii="宋体" w:hAnsi="宋体"/>
          <w:szCs w:val="21"/>
        </w:rPr>
        <w:t>3.5年全保费用低于设备价格5% 。</w:t>
      </w:r>
    </w:p>
    <w:p>
      <w:pPr>
        <w:spacing w:line="360" w:lineRule="auto"/>
        <w:rPr>
          <w:rFonts w:ascii="宋体" w:hAnsi="宋体"/>
          <w:szCs w:val="21"/>
        </w:rPr>
      </w:pPr>
      <w:r>
        <w:rPr>
          <w:rFonts w:hint="eastAsia" w:ascii="宋体" w:hAnsi="宋体"/>
          <w:szCs w:val="21"/>
        </w:rPr>
        <w:t>4、终身免费提供软件升级、软件备份。</w:t>
      </w:r>
      <w:r>
        <w:rPr>
          <w:rFonts w:ascii="宋体" w:hAnsi="宋体"/>
          <w:szCs w:val="21"/>
        </w:rPr>
        <w:br w:type="textWrapping"/>
      </w:r>
      <w:r>
        <w:rPr>
          <w:rFonts w:hint="eastAsia" w:ascii="宋体" w:hAnsi="宋体"/>
          <w:szCs w:val="21"/>
        </w:rPr>
        <w:t>5、提供备品</w:t>
      </w:r>
      <w:r>
        <w:rPr>
          <w:rFonts w:ascii="宋体" w:hAnsi="宋体"/>
          <w:szCs w:val="21"/>
        </w:rPr>
        <w:t>备件清单</w:t>
      </w:r>
      <w:r>
        <w:rPr>
          <w:rFonts w:hint="eastAsia" w:ascii="宋体" w:hAnsi="宋体"/>
          <w:szCs w:val="21"/>
        </w:rPr>
        <w:t>, 提供消耗品优惠价格，提供零配件优惠价格。</w:t>
      </w:r>
      <w:r>
        <w:rPr>
          <w:rFonts w:ascii="宋体" w:hAnsi="宋体"/>
          <w:szCs w:val="21"/>
        </w:rPr>
        <w:br w:type="textWrapping"/>
      </w:r>
      <w:r>
        <w:rPr>
          <w:rFonts w:hint="eastAsia" w:ascii="宋体" w:hAnsi="宋体"/>
          <w:szCs w:val="21"/>
        </w:rPr>
        <w:t>6、安排专业人员免费在现场对采购单位临床操作人员进行专业的培训，并对维修工程师进行维护、维修培训。保证使用人员能够熟练掌握各种设备和软件等常规使用方法，以及小故障的判断与解决。</w:t>
      </w:r>
      <w:r>
        <w:rPr>
          <w:rFonts w:ascii="宋体" w:hAnsi="宋体"/>
          <w:szCs w:val="21"/>
        </w:rPr>
        <w:br w:type="textWrapping"/>
      </w:r>
      <w:r>
        <w:rPr>
          <w:rFonts w:hint="eastAsia" w:ascii="宋体" w:hAnsi="宋体"/>
          <w:szCs w:val="21"/>
        </w:rPr>
        <w:t>7、在保修期内，中标人必须保证设备的开机率&gt;95%；若不能达到此开机率，将作以下处理：⑴开机率在90-95%之间按一赔二延长保修期；⑵开机率在85-90%之间按一赔五延长保修期；⑶开机率低于85%，中标人必须无条件更换新机，并重新计算保修期，以及赔偿用户的直接经济损失和间接经济损失。</w:t>
      </w:r>
      <w:r>
        <w:rPr>
          <w:rFonts w:ascii="宋体" w:hAnsi="宋体"/>
          <w:szCs w:val="21"/>
        </w:rPr>
        <w:br w:type="textWrapping"/>
      </w:r>
      <w:r>
        <w:rPr>
          <w:rFonts w:hint="eastAsia" w:ascii="宋体" w:hAnsi="宋体"/>
          <w:b/>
          <w:szCs w:val="21"/>
        </w:rPr>
        <w:t>8、投标时，供应商承诺保修期外，能及时为用户提供备品备件、专用试剂及耗材。需提供承诺函（格式自拟）并加盖投标人公章。</w:t>
      </w:r>
    </w:p>
    <w:p>
      <w:pPr>
        <w:spacing w:line="360" w:lineRule="auto"/>
        <w:rPr>
          <w:szCs w:val="21"/>
        </w:rPr>
      </w:pPr>
      <w:r>
        <w:rPr>
          <w:rFonts w:hint="eastAsia" w:ascii="宋体" w:hAnsi="宋体"/>
          <w:szCs w:val="21"/>
        </w:rPr>
        <w:t>8.1签订合同时，为保证设备正常运行由生产厂家或中国总代理出具承诺书，保证该设备购置后至少7年供应的备品备件、专用试剂及耗材是在注册证有效期内生产的，并加盖生产厂家或中国总代理公章。（作为备品备件供应的考核项）</w:t>
      </w:r>
      <w:r>
        <w:rPr>
          <w:rFonts w:ascii="宋体" w:hAnsi="宋体"/>
          <w:szCs w:val="21"/>
        </w:rPr>
        <w:br w:type="textWrapping"/>
      </w:r>
      <w:r>
        <w:rPr>
          <w:rFonts w:hint="eastAsia" w:ascii="宋体" w:hAnsi="宋体"/>
          <w:szCs w:val="21"/>
        </w:rPr>
        <w:t>9、投标人在投标文件所承诺的仪器功能，所需的硬件和软件必须配置齐全。</w:t>
      </w:r>
      <w:r>
        <w:rPr>
          <w:rFonts w:ascii="宋体" w:hAnsi="宋体"/>
          <w:szCs w:val="21"/>
        </w:rPr>
        <w:br w:type="textWrapping"/>
      </w:r>
      <w:r>
        <w:rPr>
          <w:rFonts w:hint="eastAsia" w:ascii="宋体" w:hAnsi="宋体"/>
          <w:szCs w:val="21"/>
        </w:rPr>
        <w:t>10、投标人投标时须提供《投标人承诺</w:t>
      </w:r>
      <w:r>
        <w:rPr>
          <w:rFonts w:hint="eastAsia"/>
          <w:szCs w:val="21"/>
        </w:rPr>
        <w:t>在合同签订前能提供生产商或生产商指定的配备售后服务资质的机构出具的符合招标要求的售后服务承诺函原件</w:t>
      </w:r>
      <w:r>
        <w:rPr>
          <w:rFonts w:hint="eastAsia" w:ascii="宋体" w:hAnsi="宋体"/>
          <w:szCs w:val="21"/>
        </w:rPr>
        <w:t>》</w:t>
      </w:r>
      <w:r>
        <w:rPr>
          <w:rFonts w:hint="eastAsia"/>
          <w:szCs w:val="21"/>
        </w:rPr>
        <w:t>的承诺，投标人在签订合同时未能提供该售后服务承诺函原件的，不予签订合同。</w:t>
      </w:r>
      <w:r>
        <w:rPr>
          <w:szCs w:val="21"/>
        </w:rPr>
        <w:br w:type="textWrapping"/>
      </w:r>
    </w:p>
    <w:p>
      <w:pPr>
        <w:spacing w:line="360" w:lineRule="auto"/>
        <w:rPr>
          <w:szCs w:val="21"/>
        </w:rPr>
      </w:pPr>
    </w:p>
    <w:p>
      <w:pPr>
        <w:pStyle w:val="3"/>
        <w:jc w:val="both"/>
      </w:pPr>
      <w:bookmarkStart w:id="5" w:name="_Toc73610140"/>
    </w:p>
    <w:p>
      <w:pPr>
        <w:pStyle w:val="3"/>
      </w:pPr>
    </w:p>
    <w:p>
      <w:pPr>
        <w:pStyle w:val="3"/>
      </w:pPr>
    </w:p>
    <w:p/>
    <w:p>
      <w:pPr>
        <w:pStyle w:val="2"/>
      </w:pPr>
    </w:p>
    <w:p/>
    <w:p>
      <w:pPr>
        <w:pStyle w:val="2"/>
      </w:pPr>
    </w:p>
    <w:p/>
    <w:p>
      <w:pPr>
        <w:pStyle w:val="2"/>
      </w:pPr>
    </w:p>
    <w:p>
      <w:pPr>
        <w:widowControl/>
        <w:jc w:val="left"/>
        <w:rPr>
          <w:rFonts w:eastAsiaTheme="minorEastAsia"/>
          <w:b/>
          <w:kern w:val="44"/>
          <w:sz w:val="44"/>
          <w:szCs w:val="28"/>
        </w:rPr>
      </w:pPr>
      <w:r>
        <w:br w:type="page"/>
      </w:r>
    </w:p>
    <w:p>
      <w:pPr>
        <w:pStyle w:val="3"/>
      </w:pPr>
    </w:p>
    <w:p>
      <w:pPr>
        <w:pStyle w:val="3"/>
      </w:pPr>
      <w:r>
        <w:rPr>
          <w:rFonts w:hint="eastAsia"/>
        </w:rPr>
        <w:t>第三章  投标文件初审</w:t>
      </w:r>
      <w:bookmarkEnd w:id="5"/>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3、未按招标文件要求提供法定代表人证明书和法定代表人授权委托证明书。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Pr>
        <w:widowControl/>
        <w:jc w:val="left"/>
      </w:pPr>
      <w:r>
        <w:br w:type="page"/>
      </w:r>
    </w:p>
    <w:p/>
    <w:p>
      <w:pPr>
        <w:pStyle w:val="3"/>
        <w:spacing w:afterLines="100"/>
      </w:pPr>
      <w:bookmarkStart w:id="6" w:name="_Toc73610141"/>
      <w:r>
        <w:rPr>
          <w:rFonts w:hint="eastAsia"/>
        </w:rPr>
        <w:t>第四章  评标方法和标准</w:t>
      </w:r>
      <w:bookmarkEnd w:id="6"/>
    </w:p>
    <w:p>
      <w:pPr>
        <w:pStyle w:val="5"/>
        <w:spacing w:before="0" w:after="0"/>
      </w:pPr>
      <w:bookmarkStart w:id="7" w:name="_Toc73610142"/>
      <w:bookmarkStart w:id="8" w:name="_Toc44691393"/>
      <w:bookmarkStart w:id="9" w:name="_Toc44690702"/>
      <w:bookmarkStart w:id="10" w:name="_Toc44690429"/>
      <w:bookmarkStart w:id="11" w:name="_Toc44691161"/>
      <w:r>
        <w:rPr>
          <w:rFonts w:hint="eastAsia"/>
        </w:rPr>
        <w:t>一、</w:t>
      </w:r>
      <w:r>
        <w:t>评标方法</w:t>
      </w:r>
      <w:bookmarkEnd w:id="7"/>
      <w:bookmarkEnd w:id="8"/>
      <w:bookmarkEnd w:id="9"/>
      <w:bookmarkEnd w:id="10"/>
      <w:bookmarkEnd w:id="11"/>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若评审得分相同，则按投标报价由低到高顺序排列；若评审得分及投标报价均相同，则按技术服务优劣顺序排列（即按技术部分得分由高到低顺序排列）；以上均相同的由评标委员会抽签决定排序。</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5"/>
        <w:spacing w:before="0" w:after="0"/>
      </w:pPr>
      <w:bookmarkStart w:id="12" w:name="_Toc73610143"/>
      <w:r>
        <w:rPr>
          <w:rFonts w:hint="eastAsia"/>
        </w:rPr>
        <w:t>二、评标标准</w:t>
      </w:r>
      <w:bookmarkEnd w:id="12"/>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851"/>
        <w:gridCol w:w="5811"/>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pStyle w:val="45"/>
              <w:spacing w:before="0" w:beforeAutospacing="0" w:after="0" w:afterAutospacing="0" w:line="360" w:lineRule="exact"/>
              <w:ind w:left="420" w:hanging="420"/>
              <w:rPr>
                <w:rFonts w:cs="仿宋"/>
                <w:b/>
                <w:bCs/>
                <w:sz w:val="21"/>
                <w:szCs w:val="21"/>
              </w:rPr>
            </w:pPr>
            <w:r>
              <w:rPr>
                <w:rFonts w:hint="eastAsia" w:ascii="宋体" w:hAnsi="宋体" w:cs="仿宋"/>
                <w:kern w:val="2"/>
                <w:sz w:val="21"/>
                <w:szCs w:val="21"/>
              </w:rPr>
              <w:t>价格分采用低价优先法计算，计算公式如下：</w:t>
            </w:r>
          </w:p>
          <w:p>
            <w:pPr>
              <w:pStyle w:val="45"/>
              <w:spacing w:before="0" w:beforeAutospacing="0" w:after="0" w:afterAutospacing="0" w:line="360" w:lineRule="exact"/>
              <w:rPr>
                <w:rFonts w:ascii="宋体" w:hAnsi="宋体" w:cs="仿宋"/>
                <w:kern w:val="2"/>
                <w:sz w:val="21"/>
                <w:szCs w:val="21"/>
              </w:rPr>
            </w:pPr>
            <w:r>
              <w:rPr>
                <w:rFonts w:hint="eastAsia" w:ascii="宋体" w:hAnsi="宋体" w:cs="仿宋"/>
                <w:kern w:val="2"/>
                <w:sz w:val="21"/>
                <w:szCs w:val="21"/>
              </w:rPr>
              <w:t>响应报价得分 = Z/Sn ×40</w:t>
            </w:r>
          </w:p>
          <w:p>
            <w:pPr>
              <w:pStyle w:val="45"/>
              <w:spacing w:before="0" w:beforeAutospacing="0" w:after="0" w:afterAutospacing="0" w:line="360" w:lineRule="exact"/>
              <w:rPr>
                <w:rFonts w:ascii="宋体" w:hAnsi="宋体" w:cs="仿宋"/>
                <w:kern w:val="2"/>
                <w:sz w:val="21"/>
                <w:szCs w:val="21"/>
              </w:rPr>
            </w:pPr>
            <w:r>
              <w:rPr>
                <w:rFonts w:hint="eastAsia" w:ascii="宋体" w:hAnsi="宋体" w:cs="仿宋"/>
                <w:kern w:val="2"/>
                <w:sz w:val="21"/>
                <w:szCs w:val="21"/>
              </w:rPr>
              <w:t xml:space="preserve">当价格分＜0时，取0。 </w:t>
            </w:r>
          </w:p>
          <w:p>
            <w:pPr>
              <w:pStyle w:val="45"/>
              <w:spacing w:before="0" w:beforeAutospacing="0" w:after="0" w:afterAutospacing="0" w:line="360" w:lineRule="exact"/>
              <w:rPr>
                <w:rFonts w:ascii="宋体" w:hAnsi="宋体" w:cs="仿宋"/>
                <w:kern w:val="2"/>
                <w:sz w:val="21"/>
                <w:szCs w:val="21"/>
              </w:rPr>
            </w:pPr>
            <w:r>
              <w:rPr>
                <w:rFonts w:hint="eastAsia" w:ascii="宋体" w:hAnsi="宋体" w:cs="仿宋"/>
                <w:kern w:val="2"/>
                <w:sz w:val="21"/>
                <w:szCs w:val="21"/>
              </w:rPr>
              <w:t>其中：</w:t>
            </w:r>
          </w:p>
          <w:p>
            <w:pPr>
              <w:pStyle w:val="45"/>
              <w:spacing w:before="0" w:beforeAutospacing="0" w:after="0" w:afterAutospacing="0" w:line="360" w:lineRule="exact"/>
              <w:rPr>
                <w:rFonts w:ascii="宋体" w:hAnsi="宋体" w:cs="仿宋"/>
                <w:kern w:val="2"/>
                <w:sz w:val="21"/>
                <w:szCs w:val="21"/>
              </w:rPr>
            </w:pPr>
            <w:r>
              <w:rPr>
                <w:rFonts w:hint="eastAsia" w:ascii="宋体" w:hAnsi="宋体" w:cs="仿宋"/>
                <w:kern w:val="2"/>
                <w:sz w:val="21"/>
                <w:szCs w:val="21"/>
              </w:rPr>
              <w:t xml:space="preserve">Z </w:t>
            </w:r>
            <w:r>
              <w:rPr>
                <w:rFonts w:hint="eastAsia" w:ascii="宋体" w:hAnsi="宋体" w:cs="仿宋"/>
                <w:sz w:val="21"/>
                <w:szCs w:val="21"/>
              </w:rPr>
              <w:t>----</w:t>
            </w:r>
            <w:r>
              <w:rPr>
                <w:rFonts w:hint="eastAsia" w:ascii="宋体" w:hAnsi="宋体" w:cs="仿宋"/>
                <w:kern w:val="2"/>
                <w:sz w:val="21"/>
                <w:szCs w:val="21"/>
              </w:rPr>
              <w:t>评标基准价，即通过资格性审查和符合性审查且响应价格最低的响应报价。</w:t>
            </w:r>
          </w:p>
          <w:p>
            <w:pPr>
              <w:autoSpaceDE w:val="0"/>
              <w:autoSpaceDN w:val="0"/>
              <w:adjustRightInd w:val="0"/>
              <w:spacing w:line="360" w:lineRule="exact"/>
              <w:jc w:val="left"/>
              <w:rPr>
                <w:rFonts w:ascii="宋体" w:hAnsi="宋体" w:cs="仿宋"/>
                <w:szCs w:val="21"/>
              </w:rPr>
            </w:pPr>
            <w:r>
              <w:rPr>
                <w:rFonts w:hint="eastAsia" w:ascii="宋体" w:hAnsi="宋体" w:cs="仿宋"/>
                <w:szCs w:val="21"/>
              </w:rPr>
              <w:t>Sn ---响应报价，即通过资格性审查和符合性审查的响应报价。</w:t>
            </w:r>
          </w:p>
          <w:p>
            <w:pPr>
              <w:pStyle w:val="45"/>
              <w:spacing w:before="0" w:beforeAutospacing="0" w:after="0" w:afterAutospacing="0" w:line="360" w:lineRule="exact"/>
              <w:ind w:left="420" w:hanging="420"/>
              <w:jc w:val="both"/>
              <w:rPr>
                <w:rFonts w:cs="仿宋" w:asciiTheme="minorEastAsia" w:hAnsiTheme="minorEastAsia" w:eastAsiaTheme="minorEastAsia"/>
                <w:kern w:val="2"/>
                <w:sz w:val="21"/>
                <w:szCs w:val="21"/>
              </w:rPr>
            </w:pPr>
            <w:r>
              <w:rPr>
                <w:rFonts w:hint="eastAsia" w:ascii="宋体" w:hAnsi="宋体"/>
                <w:b/>
                <w:snapToGrid w:val="0"/>
                <w:szCs w:val="21"/>
              </w:rPr>
              <w:t>注：对于符合 “</w:t>
            </w:r>
            <w:r>
              <w:rPr>
                <w:rFonts w:hint="eastAsia" w:ascii="宋体" w:hAnsi="宋体"/>
                <w:b/>
                <w:snapToGrid w:val="0"/>
              </w:rPr>
              <w:t>政府采购优惠政策</w:t>
            </w:r>
            <w:r>
              <w:rPr>
                <w:rFonts w:hint="eastAsia" w:ascii="宋体" w:hAnsi="宋体"/>
                <w:b/>
                <w:bCs/>
                <w:snapToGrid w:val="0"/>
              </w:rPr>
              <w:t>”的小微企业、监狱企业和残疾人福利性单位，以调整后的价格计算评标基准价和响应报价。</w:t>
            </w:r>
          </w:p>
        </w:tc>
        <w:tc>
          <w:tcPr>
            <w:tcW w:w="1187" w:type="dxa"/>
            <w:vAlign w:val="center"/>
          </w:tcPr>
          <w:p>
            <w:pPr>
              <w:pStyle w:val="45"/>
              <w:rPr>
                <w:rFonts w:ascii="宋体" w:hAnsi="宋体" w:cs="仿宋"/>
                <w:sz w:val="21"/>
                <w:szCs w:val="21"/>
                <w:lang w:val="zh-CN"/>
              </w:rPr>
            </w:pPr>
            <w:r>
              <w:rPr>
                <w:rFonts w:hint="eastAsia" w:ascii="宋体" w:hAnsi="宋体" w:cs="仿宋"/>
                <w:sz w:val="21"/>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48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851"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811"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54"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宋体"/>
                <w:kern w:val="0"/>
                <w:szCs w:val="21"/>
              </w:rPr>
              <w:t>技术规格偏离情况</w:t>
            </w:r>
          </w:p>
        </w:tc>
        <w:tc>
          <w:tcPr>
            <w:tcW w:w="851"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48</w:t>
            </w:r>
          </w:p>
        </w:tc>
        <w:tc>
          <w:tcPr>
            <w:tcW w:w="5811"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投标人应如实填写《技术规格偏离表》，各项技术参数指标及要求全部满足的得 48分；“▲”参数为重要指标，每负偏离一项扣5分；其余指标每负偏离一项扣 3分，</w:t>
            </w:r>
            <w:r>
              <w:rPr>
                <w:rFonts w:hint="eastAsia" w:ascii="宋体" w:hAnsi="宋体"/>
                <w:bCs/>
                <w:szCs w:val="21"/>
              </w:rPr>
              <w:t>最低0分</w:t>
            </w:r>
            <w:r>
              <w:rPr>
                <w:rFonts w:hint="eastAsia" w:ascii="宋体" w:hAnsi="宋体" w:cs="仿宋"/>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spacing w:line="360" w:lineRule="exact"/>
              <w:jc w:val="left"/>
              <w:rPr>
                <w:rFonts w:ascii="宋体" w:hAnsi="宋体" w:cs="仿宋"/>
                <w:szCs w:val="21"/>
              </w:rPr>
            </w:pPr>
            <w:r>
              <w:rPr>
                <w:rFonts w:hint="eastAsia" w:ascii="宋体" w:hAnsi="宋体"/>
                <w:bCs/>
                <w:szCs w:val="21"/>
              </w:rPr>
              <w:t>以投标文件《技术</w:t>
            </w:r>
            <w:r>
              <w:rPr>
                <w:rFonts w:hint="eastAsia" w:ascii="宋体" w:hAnsi="宋体" w:cs="仿宋"/>
                <w:szCs w:val="21"/>
              </w:rPr>
              <w:t>规格</w:t>
            </w:r>
            <w:r>
              <w:rPr>
                <w:rFonts w:hint="eastAsia" w:ascii="宋体" w:hAnsi="宋体"/>
                <w:bCs/>
                <w:szCs w:val="21"/>
              </w:rPr>
              <w:t>偏离表》为评分依据，投标人</w:t>
            </w:r>
            <w:r>
              <w:rPr>
                <w:rFonts w:hint="eastAsia" w:ascii="宋体" w:hAnsi="宋体" w:cs="仿宋"/>
                <w:szCs w:val="21"/>
              </w:rPr>
              <w:t>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w:t>
            </w:r>
            <w:r>
              <w:rPr>
                <w:rFonts w:hint="eastAsia" w:ascii="宋体" w:hAnsi="宋体"/>
                <w:szCs w:val="21"/>
              </w:rPr>
              <w:t>对于不同货物的技术要求中的相同项不满足时按一项不满足进行扣分，不对某一项技术要求重复扣分。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851"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811"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93"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1</w:t>
            </w:r>
          </w:p>
        </w:tc>
        <w:tc>
          <w:tcPr>
            <w:tcW w:w="1143" w:type="dxa"/>
            <w:vAlign w:val="center"/>
          </w:tcPr>
          <w:p>
            <w:pPr>
              <w:widowControl/>
              <w:spacing w:line="360" w:lineRule="exact"/>
              <w:jc w:val="center"/>
              <w:rPr>
                <w:rFonts w:ascii="宋体" w:hAnsi="宋体" w:cs="仿宋"/>
                <w:kern w:val="0"/>
                <w:szCs w:val="21"/>
              </w:rPr>
            </w:pPr>
            <w:r>
              <w:rPr>
                <w:rFonts w:hint="eastAsia"/>
              </w:rPr>
              <w:t>商务条款偏离情况</w:t>
            </w:r>
          </w:p>
        </w:tc>
        <w:tc>
          <w:tcPr>
            <w:tcW w:w="851"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3</w:t>
            </w:r>
          </w:p>
        </w:tc>
        <w:tc>
          <w:tcPr>
            <w:tcW w:w="5811" w:type="dxa"/>
            <w:vAlign w:val="center"/>
          </w:tcPr>
          <w:p>
            <w:pPr>
              <w:autoSpaceDE w:val="0"/>
              <w:autoSpaceDN w:val="0"/>
              <w:adjustRightInd w:val="0"/>
              <w:spacing w:line="360" w:lineRule="exact"/>
              <w:jc w:val="left"/>
              <w:rPr>
                <w:rFonts w:ascii="宋体" w:hAnsi="宋体" w:cs="仿宋"/>
                <w:szCs w:val="21"/>
              </w:rPr>
            </w:pPr>
            <w:r>
              <w:rPr>
                <w:rFonts w:hint="eastAsia" w:ascii="宋体" w:hAnsi="宋体" w:cs="仿宋"/>
                <w:szCs w:val="21"/>
              </w:rPr>
              <w:t>投标人应如实填写《商务条款偏离表》，评审委员会根据其中商务条款响应情况进行打分。</w:t>
            </w:r>
          </w:p>
          <w:p>
            <w:pPr>
              <w:autoSpaceDE w:val="0"/>
              <w:autoSpaceDN w:val="0"/>
              <w:adjustRightInd w:val="0"/>
              <w:spacing w:line="360" w:lineRule="exact"/>
              <w:jc w:val="left"/>
              <w:rPr>
                <w:rFonts w:ascii="宋体" w:hAnsi="宋体" w:cs="仿宋"/>
                <w:szCs w:val="21"/>
              </w:rPr>
            </w:pPr>
            <w:r>
              <w:rPr>
                <w:rFonts w:hint="eastAsia" w:ascii="宋体" w:hAnsi="宋体" w:cs="仿宋"/>
                <w:szCs w:val="21"/>
              </w:rPr>
              <w:t>（1）免费质保期在满足招标要求的基础上，每增加半年得1分，最高得2分。</w:t>
            </w:r>
            <w:r>
              <w:rPr>
                <w:rFonts w:ascii="宋体" w:hAnsi="宋体" w:cs="仿宋"/>
                <w:szCs w:val="21"/>
              </w:rPr>
              <w:br w:type="textWrapping"/>
            </w:r>
            <w:r>
              <w:rPr>
                <w:rFonts w:hint="eastAsia" w:ascii="宋体" w:hAnsi="宋体" w:cs="仿宋"/>
                <w:szCs w:val="21"/>
              </w:rPr>
              <w:t>（2）</w:t>
            </w:r>
            <w:r>
              <w:rPr>
                <w:szCs w:val="21"/>
              </w:rPr>
              <w:t>预防性维修保养</w:t>
            </w:r>
            <w:r>
              <w:rPr>
                <w:rFonts w:hint="eastAsia" w:ascii="宋体" w:hAnsi="宋体" w:cs="仿宋"/>
                <w:szCs w:val="21"/>
              </w:rPr>
              <w:t>在满足招标要求的基础上，每年每增加一次得0.5分，最高得1分。</w:t>
            </w:r>
          </w:p>
          <w:p>
            <w:pPr>
              <w:autoSpaceDE w:val="0"/>
              <w:autoSpaceDN w:val="0"/>
              <w:adjustRightInd w:val="0"/>
              <w:spacing w:line="360" w:lineRule="exact"/>
              <w:jc w:val="left"/>
              <w:rPr>
                <w:rFonts w:ascii="宋体" w:hAnsi="宋体" w:cs="仿宋"/>
                <w:szCs w:val="21"/>
                <w:lang w:val="zh-CN"/>
              </w:rPr>
            </w:pPr>
            <w:r>
              <w:rPr>
                <w:rFonts w:hint="eastAsia" w:ascii="宋体" w:hAnsi="宋体" w:cs="仿宋"/>
                <w:szCs w:val="21"/>
              </w:rPr>
              <w:t>以上累计满分为3分。</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55"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spacing w:line="360" w:lineRule="exact"/>
              <w:jc w:val="center"/>
              <w:rPr>
                <w:rFonts w:ascii="宋体" w:hAnsi="宋体" w:cs="仿宋"/>
                <w:szCs w:val="21"/>
              </w:rPr>
            </w:pPr>
            <w:r>
              <w:rPr>
                <w:rFonts w:hint="eastAsia" w:ascii="宋体" w:hAnsi="宋体" w:cs="宋体"/>
                <w:color w:val="000000"/>
                <w:kern w:val="0"/>
                <w:szCs w:val="21"/>
              </w:rPr>
              <w:t>同类业绩情况</w:t>
            </w:r>
          </w:p>
        </w:tc>
        <w:tc>
          <w:tcPr>
            <w:tcW w:w="851" w:type="dxa"/>
            <w:vAlign w:val="center"/>
          </w:tcPr>
          <w:p>
            <w:pPr>
              <w:spacing w:line="360" w:lineRule="exact"/>
              <w:jc w:val="center"/>
              <w:rPr>
                <w:rFonts w:ascii="宋体" w:hAnsi="宋体" w:cs="仿宋"/>
                <w:szCs w:val="21"/>
              </w:rPr>
            </w:pPr>
            <w:r>
              <w:rPr>
                <w:rFonts w:hint="eastAsia" w:ascii="宋体" w:hAnsi="宋体" w:cs="仿宋"/>
                <w:szCs w:val="21"/>
              </w:rPr>
              <w:t>1</w:t>
            </w:r>
          </w:p>
        </w:tc>
        <w:tc>
          <w:tcPr>
            <w:tcW w:w="5811"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widowControl/>
              <w:spacing w:line="360" w:lineRule="exact"/>
              <w:rPr>
                <w:rFonts w:ascii="宋体" w:hAnsi="宋体" w:cs="仿宋"/>
                <w:szCs w:val="21"/>
              </w:rPr>
            </w:pPr>
            <w:r>
              <w:rPr>
                <w:rFonts w:hint="eastAsia" w:ascii="宋体" w:hAnsi="宋体" w:cs="宋体"/>
                <w:szCs w:val="21"/>
              </w:rPr>
              <w:t>2019年1月1日至本项目投标截止日（以合同签订日期为准），投标人</w:t>
            </w:r>
            <w:r>
              <w:rPr>
                <w:rFonts w:hint="eastAsia" w:ascii="宋体" w:hAnsi="宋体" w:cs="仿宋"/>
                <w:szCs w:val="21"/>
              </w:rPr>
              <w:t>具有已完成的同类项目情况【同类项目指的是</w:t>
            </w:r>
            <w:r>
              <w:rPr>
                <w:rFonts w:ascii="宋体" w:hAnsi="宋体" w:cs="仿宋"/>
                <w:szCs w:val="21"/>
              </w:rPr>
              <w:t>所投产品(同一品牌同一型号</w:t>
            </w:r>
            <w:r>
              <w:rPr>
                <w:rFonts w:hint="eastAsia" w:ascii="宋体" w:hAnsi="宋体" w:cs="仿宋"/>
                <w:szCs w:val="21"/>
              </w:rPr>
              <w:t>）】的，每提供1个项目得0.5分，最高得1分。</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djustRightInd w:val="0"/>
              <w:snapToGrid w:val="0"/>
              <w:spacing w:line="360" w:lineRule="exact"/>
              <w:rPr>
                <w:rFonts w:ascii="宋体" w:hAnsi="宋体"/>
                <w:szCs w:val="21"/>
              </w:rPr>
            </w:pPr>
            <w:r>
              <w:rPr>
                <w:rFonts w:hint="eastAsia" w:ascii="宋体" w:hAnsi="宋体" w:cs="仿宋"/>
                <w:szCs w:val="21"/>
              </w:rPr>
              <w:t>1.提供合同关键页（需</w:t>
            </w:r>
            <w:r>
              <w:rPr>
                <w:rFonts w:hint="eastAsia" w:asciiTheme="minorEastAsia" w:hAnsiTheme="minorEastAsia" w:eastAsiaTheme="minorEastAsia"/>
                <w:bCs/>
                <w:szCs w:val="21"/>
              </w:rPr>
              <w:t>体现签订日期</w:t>
            </w:r>
            <w:r>
              <w:rPr>
                <w:rFonts w:hint="eastAsia" w:ascii="宋体" w:hAnsi="宋体" w:cs="仿宋"/>
                <w:szCs w:val="21"/>
              </w:rPr>
              <w:t>）及验收报告，</w:t>
            </w:r>
            <w:r>
              <w:rPr>
                <w:rFonts w:hint="eastAsia" w:asciiTheme="minorEastAsia" w:hAnsiTheme="minorEastAsia" w:eastAsiaTheme="minorEastAsia"/>
                <w:bCs/>
                <w:szCs w:val="21"/>
              </w:rPr>
              <w:t>且各项信息不得有任何遮挡</w:t>
            </w:r>
            <w:r>
              <w:rPr>
                <w:rFonts w:hint="eastAsia" w:ascii="宋体" w:hAnsi="宋体"/>
                <w:szCs w:val="21"/>
              </w:rPr>
              <w:t>；</w:t>
            </w:r>
          </w:p>
          <w:p>
            <w:pPr>
              <w:widowControl/>
              <w:spacing w:line="360" w:lineRule="exact"/>
              <w:rPr>
                <w:rFonts w:ascii="宋体" w:hAnsi="宋体" w:cs="仿宋"/>
                <w:szCs w:val="21"/>
              </w:rPr>
            </w:pPr>
            <w:r>
              <w:rPr>
                <w:rFonts w:hint="eastAsia" w:ascii="宋体" w:hAnsi="宋体"/>
                <w:szCs w:val="21"/>
              </w:rPr>
              <w:t>2.</w:t>
            </w:r>
            <w:r>
              <w:rPr>
                <w:rFonts w:hint="eastAsia" w:ascii="宋体" w:hAnsi="宋体"/>
                <w:kern w:val="0"/>
                <w:szCs w:val="21"/>
              </w:rPr>
              <w:t xml:space="preserve"> 以上</w:t>
            </w:r>
            <w:r>
              <w:rPr>
                <w:rFonts w:hint="eastAsia" w:ascii="宋体" w:hAnsi="宋体"/>
                <w:szCs w:val="21"/>
              </w:rPr>
              <w:t>证明文件</w:t>
            </w:r>
            <w:r>
              <w:rPr>
                <w:rFonts w:hint="eastAsia" w:ascii="宋体" w:hAnsi="宋体"/>
                <w:kern w:val="0"/>
                <w:szCs w:val="21"/>
              </w:rPr>
              <w:t>均提供复印件或扫描件加盖投标人公章，原件备查。</w:t>
            </w:r>
            <w:r>
              <w:rPr>
                <w:rFonts w:hint="eastAsia" w:ascii="宋体" w:hAnsi="宋体"/>
                <w:szCs w:val="21"/>
              </w:rPr>
              <w:t>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37"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3</w:t>
            </w:r>
          </w:p>
        </w:tc>
        <w:tc>
          <w:tcPr>
            <w:tcW w:w="1143" w:type="dxa"/>
            <w:vAlign w:val="center"/>
          </w:tcPr>
          <w:p>
            <w:pPr>
              <w:spacing w:line="360" w:lineRule="exact"/>
              <w:jc w:val="center"/>
              <w:rPr>
                <w:rFonts w:ascii="宋体" w:hAnsi="宋体" w:cs="仿宋"/>
                <w:szCs w:val="21"/>
              </w:rPr>
            </w:pPr>
            <w:r>
              <w:rPr>
                <w:szCs w:val="21"/>
              </w:rPr>
              <w:t>售后服务机构</w:t>
            </w:r>
          </w:p>
        </w:tc>
        <w:tc>
          <w:tcPr>
            <w:tcW w:w="851" w:type="dxa"/>
            <w:vAlign w:val="center"/>
          </w:tcPr>
          <w:p>
            <w:pPr>
              <w:spacing w:line="360" w:lineRule="exact"/>
              <w:jc w:val="center"/>
              <w:rPr>
                <w:rFonts w:ascii="宋体" w:hAnsi="宋体" w:cs="仿宋"/>
                <w:szCs w:val="21"/>
              </w:rPr>
            </w:pPr>
            <w:r>
              <w:rPr>
                <w:rFonts w:hint="eastAsia" w:ascii="宋体" w:hAnsi="宋体" w:cs="仿宋"/>
                <w:szCs w:val="21"/>
              </w:rPr>
              <w:t>1</w:t>
            </w:r>
          </w:p>
        </w:tc>
        <w:tc>
          <w:tcPr>
            <w:tcW w:w="5811"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tabs>
                <w:tab w:val="left" w:pos="175"/>
              </w:tabs>
              <w:spacing w:line="360" w:lineRule="exact"/>
              <w:ind w:left="33"/>
              <w:jc w:val="left"/>
              <w:rPr>
                <w:rFonts w:ascii="宋体" w:hAnsi="宋体" w:cs="宋体"/>
                <w:bCs/>
                <w:kern w:val="0"/>
                <w:szCs w:val="21"/>
              </w:rPr>
            </w:pPr>
            <w:r>
              <w:rPr>
                <w:rFonts w:ascii="宋体" w:hAnsi="宋体" w:cs="宋体"/>
                <w:bCs/>
                <w:kern w:val="0"/>
                <w:szCs w:val="21"/>
              </w:rPr>
              <w:t>投标人为深圳供应商</w:t>
            </w:r>
            <w:r>
              <w:rPr>
                <w:rFonts w:hint="eastAsia" w:ascii="宋体" w:hAnsi="宋体" w:cs="宋体"/>
                <w:bCs/>
                <w:kern w:val="0"/>
                <w:szCs w:val="21"/>
              </w:rPr>
              <w:t>，</w:t>
            </w:r>
            <w:r>
              <w:rPr>
                <w:rFonts w:ascii="宋体" w:hAnsi="宋体" w:cs="宋体"/>
                <w:bCs/>
                <w:kern w:val="0"/>
                <w:szCs w:val="21"/>
              </w:rPr>
              <w:t>或非深圳供应商但在深圳市</w:t>
            </w:r>
            <w:r>
              <w:rPr>
                <w:rFonts w:hint="eastAsia" w:ascii="宋体" w:hAnsi="宋体" w:cs="宋体"/>
                <w:bCs/>
                <w:kern w:val="0"/>
                <w:szCs w:val="21"/>
              </w:rPr>
              <w:t>设</w:t>
            </w:r>
            <w:r>
              <w:rPr>
                <w:rFonts w:ascii="宋体" w:hAnsi="宋体" w:cs="宋体"/>
                <w:bCs/>
                <w:kern w:val="0"/>
                <w:szCs w:val="21"/>
              </w:rPr>
              <w:t>有合法注册的分公司或售后</w:t>
            </w:r>
            <w:r>
              <w:rPr>
                <w:rFonts w:hint="eastAsia" w:ascii="宋体" w:hAnsi="宋体" w:cs="宋体"/>
                <w:bCs/>
                <w:kern w:val="0"/>
                <w:szCs w:val="21"/>
              </w:rPr>
              <w:t>服务</w:t>
            </w:r>
            <w:r>
              <w:rPr>
                <w:rFonts w:ascii="宋体" w:hAnsi="宋体" w:cs="宋体"/>
                <w:bCs/>
                <w:kern w:val="0"/>
                <w:szCs w:val="21"/>
              </w:rPr>
              <w:t>机构</w:t>
            </w:r>
            <w:r>
              <w:rPr>
                <w:rFonts w:hint="eastAsia" w:ascii="宋体" w:hAnsi="宋体" w:cs="宋体"/>
                <w:bCs/>
                <w:kern w:val="0"/>
                <w:szCs w:val="21"/>
              </w:rPr>
              <w:t>的</w:t>
            </w:r>
            <w:r>
              <w:rPr>
                <w:rFonts w:ascii="宋体" w:hAnsi="宋体" w:cs="宋体"/>
                <w:bCs/>
                <w:kern w:val="0"/>
                <w:szCs w:val="21"/>
              </w:rPr>
              <w:t>，得</w:t>
            </w:r>
            <w:r>
              <w:rPr>
                <w:rFonts w:hint="eastAsia" w:ascii="宋体" w:hAnsi="宋体" w:cs="宋体"/>
                <w:bCs/>
                <w:kern w:val="0"/>
                <w:szCs w:val="21"/>
              </w:rPr>
              <w:t>1</w:t>
            </w:r>
            <w:r>
              <w:rPr>
                <w:rFonts w:ascii="宋体" w:hAnsi="宋体" w:cs="宋体"/>
                <w:bCs/>
                <w:kern w:val="0"/>
                <w:szCs w:val="21"/>
              </w:rPr>
              <w:t>分</w:t>
            </w:r>
            <w:r>
              <w:rPr>
                <w:rFonts w:hint="eastAsia" w:ascii="宋体" w:hAnsi="宋体" w:cs="宋体"/>
                <w:bCs/>
                <w:kern w:val="0"/>
                <w:szCs w:val="21"/>
              </w:rPr>
              <w:t>；投标人承诺中标后一个月内在深圳设立</w:t>
            </w:r>
            <w:r>
              <w:rPr>
                <w:rFonts w:ascii="宋体" w:hAnsi="宋体" w:cs="宋体"/>
                <w:bCs/>
                <w:kern w:val="0"/>
                <w:szCs w:val="21"/>
              </w:rPr>
              <w:t>分公司或售后</w:t>
            </w:r>
            <w:r>
              <w:rPr>
                <w:rFonts w:hint="eastAsia" w:ascii="宋体" w:hAnsi="宋体" w:cs="宋体"/>
                <w:bCs/>
                <w:kern w:val="0"/>
                <w:szCs w:val="21"/>
              </w:rPr>
              <w:t>服务</w:t>
            </w:r>
            <w:r>
              <w:rPr>
                <w:rFonts w:ascii="宋体" w:hAnsi="宋体" w:cs="宋体"/>
                <w:bCs/>
                <w:kern w:val="0"/>
                <w:szCs w:val="21"/>
              </w:rPr>
              <w:t>机构</w:t>
            </w:r>
            <w:r>
              <w:rPr>
                <w:rFonts w:hint="eastAsia" w:ascii="宋体" w:hAnsi="宋体" w:cs="宋体"/>
                <w:bCs/>
                <w:kern w:val="0"/>
                <w:szCs w:val="21"/>
              </w:rPr>
              <w:t>的，得0.5分，其他情况不得分。</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asciiTheme="minorEastAsia" w:hAnsiTheme="minorEastAsia" w:eastAsiaTheme="minorEastAsia"/>
                <w:szCs w:val="21"/>
              </w:rPr>
            </w:pPr>
            <w:r>
              <w:rPr>
                <w:rFonts w:hint="eastAsia" w:asciiTheme="minorEastAsia" w:hAnsiTheme="minorEastAsia" w:eastAsiaTheme="minorEastAsia"/>
                <w:szCs w:val="21"/>
              </w:rPr>
              <w:t>1. 提供投标人营业执照，如为分公司的需提供分公司营业执照，如为售后服务机构的需同时提供售后服务合作合同及售后服务机构营业执照；</w:t>
            </w:r>
          </w:p>
          <w:p>
            <w:pPr>
              <w:tabs>
                <w:tab w:val="left" w:pos="175"/>
              </w:tabs>
              <w:spacing w:line="360" w:lineRule="exact"/>
              <w:ind w:left="33"/>
              <w:jc w:val="left"/>
              <w:rPr>
                <w:rFonts w:asciiTheme="minorEastAsia" w:hAnsiTheme="minorEastAsia" w:eastAsiaTheme="minorEastAsia"/>
                <w:szCs w:val="21"/>
              </w:rPr>
            </w:pPr>
            <w:r>
              <w:rPr>
                <w:rFonts w:hint="eastAsia" w:asciiTheme="minorEastAsia" w:hAnsiTheme="minorEastAsia" w:eastAsiaTheme="minorEastAsia"/>
                <w:szCs w:val="21"/>
              </w:rPr>
              <w:t>2.如承诺中标后设立服务网点的，需提供承诺函（格式自拟）；</w:t>
            </w:r>
          </w:p>
          <w:p>
            <w:pPr>
              <w:pStyle w:val="94"/>
              <w:spacing w:line="360" w:lineRule="exact"/>
              <w:ind w:firstLine="0" w:firstLineChars="0"/>
              <w:rPr>
                <w:szCs w:val="21"/>
              </w:rPr>
            </w:pPr>
            <w:r>
              <w:rPr>
                <w:rFonts w:hint="eastAsia" w:asciiTheme="minorEastAsia" w:hAnsiTheme="minorEastAsia" w:eastAsiaTheme="minorEastAsia"/>
                <w:szCs w:val="21"/>
              </w:rPr>
              <w:t>3.</w:t>
            </w:r>
            <w:r>
              <w:rPr>
                <w:rFonts w:hint="eastAsia" w:ascii="宋体" w:hAnsi="宋体"/>
                <w:szCs w:val="21"/>
              </w:rPr>
              <w:t>以上证明文件均提供复印件或扫描件加盖投标人公章，原件备查。未按要求提供有效证明材料或提供不清晰导致评委无法识别的不计得分。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37"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4</w:t>
            </w:r>
          </w:p>
        </w:tc>
        <w:tc>
          <w:tcPr>
            <w:tcW w:w="1143" w:type="dxa"/>
            <w:vAlign w:val="center"/>
          </w:tcPr>
          <w:p>
            <w:pPr>
              <w:spacing w:line="360" w:lineRule="exact"/>
              <w:jc w:val="center"/>
              <w:rPr>
                <w:rFonts w:ascii="宋体" w:hAnsi="宋体" w:cs="仿宋"/>
                <w:szCs w:val="21"/>
              </w:rPr>
            </w:pPr>
            <w:r>
              <w:rPr>
                <w:szCs w:val="21"/>
              </w:rPr>
              <w:t>售后服务承诺</w:t>
            </w:r>
          </w:p>
        </w:tc>
        <w:tc>
          <w:tcPr>
            <w:tcW w:w="851" w:type="dxa"/>
            <w:vAlign w:val="center"/>
          </w:tcPr>
          <w:p>
            <w:pPr>
              <w:spacing w:line="360" w:lineRule="exact"/>
              <w:jc w:val="center"/>
              <w:rPr>
                <w:rFonts w:ascii="宋体" w:hAnsi="宋体" w:cs="仿宋"/>
                <w:szCs w:val="21"/>
              </w:rPr>
            </w:pPr>
            <w:r>
              <w:rPr>
                <w:rFonts w:hint="eastAsia" w:ascii="宋体" w:hAnsi="宋体" w:cs="仿宋"/>
                <w:szCs w:val="21"/>
              </w:rPr>
              <w:t>1</w:t>
            </w:r>
          </w:p>
        </w:tc>
        <w:tc>
          <w:tcPr>
            <w:tcW w:w="5811" w:type="dxa"/>
            <w:vAlign w:val="center"/>
          </w:tcPr>
          <w:p>
            <w:pPr>
              <w:pStyle w:val="94"/>
              <w:spacing w:line="360" w:lineRule="exact"/>
              <w:ind w:firstLine="0" w:firstLineChars="0"/>
              <w:rPr>
                <w:szCs w:val="21"/>
              </w:rPr>
            </w:pPr>
            <w:r>
              <w:rPr>
                <w:szCs w:val="21"/>
              </w:rPr>
              <w:t>（一） 评分内容：</w:t>
            </w:r>
          </w:p>
          <w:p>
            <w:pPr>
              <w:pStyle w:val="94"/>
              <w:spacing w:line="360" w:lineRule="exact"/>
              <w:ind w:firstLine="0" w:firstLineChars="0"/>
              <w:rPr>
                <w:szCs w:val="21"/>
              </w:rPr>
            </w:pPr>
            <w:r>
              <w:rPr>
                <w:szCs w:val="21"/>
              </w:rPr>
              <w:t xml:space="preserve">投标人提供承诺，承诺内容包含：“在合同签订前能提供生产商或生产商指定的具有售后服务资质的机构出具的符合招标要求的售后服务承诺函原件。”提供符合招标文件要求承诺的得 </w:t>
            </w:r>
            <w:r>
              <w:rPr>
                <w:rFonts w:hint="eastAsia"/>
                <w:szCs w:val="21"/>
              </w:rPr>
              <w:t>1分</w:t>
            </w:r>
            <w:r>
              <w:rPr>
                <w:szCs w:val="21"/>
              </w:rPr>
              <w:t>，未提供不得分。</w:t>
            </w:r>
            <w:r>
              <w:rPr>
                <w:rFonts w:hint="eastAsia"/>
                <w:szCs w:val="21"/>
              </w:rPr>
              <w:br w:type="textWrapping"/>
            </w:r>
            <w:r>
              <w:rPr>
                <w:szCs w:val="21"/>
              </w:rPr>
              <w:t>（二）评分依据：提供承诺函（格式自定）</w:t>
            </w:r>
            <w:r>
              <w:rPr>
                <w:rFonts w:hint="eastAsia"/>
                <w:szCs w:val="21"/>
              </w:rPr>
              <w:t>，并加盖投标人公章。</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3"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5</w:t>
            </w:r>
          </w:p>
        </w:tc>
        <w:tc>
          <w:tcPr>
            <w:tcW w:w="1143" w:type="dxa"/>
            <w:vAlign w:val="center"/>
          </w:tcPr>
          <w:p>
            <w:pPr>
              <w:wordWrap w:val="0"/>
              <w:spacing w:line="360" w:lineRule="exact"/>
              <w:jc w:val="center"/>
              <w:rPr>
                <w:rFonts w:ascii="宋体" w:hAnsi="宋体" w:cs="宋体"/>
                <w:szCs w:val="21"/>
              </w:rPr>
            </w:pPr>
            <w:r>
              <w:rPr>
                <w:szCs w:val="21"/>
              </w:rPr>
              <w:t>备品备件供应及价格优惠情况</w:t>
            </w:r>
          </w:p>
        </w:tc>
        <w:tc>
          <w:tcPr>
            <w:tcW w:w="851" w:type="dxa"/>
            <w:vAlign w:val="center"/>
          </w:tcPr>
          <w:p>
            <w:pPr>
              <w:wordWrap w:val="0"/>
              <w:spacing w:line="360" w:lineRule="exact"/>
              <w:jc w:val="center"/>
              <w:rPr>
                <w:rFonts w:ascii="宋体" w:hAnsi="宋体" w:cs="宋体"/>
                <w:szCs w:val="21"/>
              </w:rPr>
            </w:pPr>
            <w:r>
              <w:rPr>
                <w:rFonts w:hint="eastAsia"/>
                <w:szCs w:val="21"/>
              </w:rPr>
              <w:t>1</w:t>
            </w:r>
          </w:p>
        </w:tc>
        <w:tc>
          <w:tcPr>
            <w:tcW w:w="5811" w:type="dxa"/>
          </w:tcPr>
          <w:p>
            <w:pPr>
              <w:wordWrap w:val="0"/>
              <w:spacing w:line="360" w:lineRule="exact"/>
              <w:rPr>
                <w:rFonts w:ascii="宋体" w:hAnsi="宋体" w:cs="宋体"/>
                <w:szCs w:val="21"/>
              </w:rPr>
            </w:pPr>
            <w:r>
              <w:rPr>
                <w:szCs w:val="21"/>
              </w:rPr>
              <w:t>（一） 评分内容：</w:t>
            </w:r>
            <w:r>
              <w:rPr>
                <w:szCs w:val="21"/>
              </w:rPr>
              <w:br w:type="textWrapping"/>
            </w:r>
            <w:r>
              <w:rPr>
                <w:rFonts w:hint="eastAsia"/>
                <w:szCs w:val="21"/>
              </w:rPr>
              <w:t>投标人需提供与其他医院合同的配件价格，</w:t>
            </w:r>
            <w:r>
              <w:rPr>
                <w:szCs w:val="21"/>
              </w:rPr>
              <w:t>根据</w:t>
            </w:r>
            <w:r>
              <w:rPr>
                <w:rFonts w:hint="eastAsia"/>
                <w:szCs w:val="21"/>
              </w:rPr>
              <w:t>其他医院合同的配件价格报折扣率，</w:t>
            </w:r>
            <w:r>
              <w:rPr>
                <w:szCs w:val="21"/>
              </w:rPr>
              <w:t>折扣率由低到高排序（备品备件中有多个折扣率的，以折扣率最高的参与排序），折扣率最低的为第一名，得</w:t>
            </w:r>
            <w:r>
              <w:rPr>
                <w:rFonts w:hint="eastAsia"/>
                <w:szCs w:val="21"/>
              </w:rPr>
              <w:t>1分</w:t>
            </w:r>
            <w:r>
              <w:rPr>
                <w:szCs w:val="21"/>
              </w:rPr>
              <w:t xml:space="preserve">，第二名得 </w:t>
            </w:r>
            <w:r>
              <w:rPr>
                <w:rFonts w:hint="eastAsia"/>
                <w:szCs w:val="21"/>
              </w:rPr>
              <w:t>0.8分</w:t>
            </w:r>
            <w:r>
              <w:rPr>
                <w:szCs w:val="21"/>
              </w:rPr>
              <w:t xml:space="preserve">，其他得 </w:t>
            </w:r>
            <w:r>
              <w:rPr>
                <w:rFonts w:hint="eastAsia"/>
                <w:szCs w:val="21"/>
              </w:rPr>
              <w:t>0.6分</w:t>
            </w:r>
            <w:r>
              <w:rPr>
                <w:szCs w:val="21"/>
              </w:rPr>
              <w:t>，未提供或折扣率≥1 得 0 分。</w:t>
            </w:r>
            <w:r>
              <w:rPr>
                <w:rFonts w:hint="eastAsia"/>
                <w:szCs w:val="21"/>
              </w:rPr>
              <w:br w:type="textWrapping"/>
            </w:r>
            <w:r>
              <w:rPr>
                <w:szCs w:val="21"/>
              </w:rPr>
              <w:t>（二）评分依据：</w:t>
            </w:r>
            <w:r>
              <w:rPr>
                <w:rFonts w:hint="eastAsia"/>
                <w:szCs w:val="21"/>
              </w:rPr>
              <w:t>投标人需填写</w:t>
            </w:r>
            <w:r>
              <w:rPr>
                <w:szCs w:val="21"/>
              </w:rPr>
              <w:t>《主要零配件价格表》</w:t>
            </w:r>
            <w:r>
              <w:rPr>
                <w:rFonts w:hint="eastAsia"/>
                <w:szCs w:val="21"/>
              </w:rPr>
              <w:t>作为得分依据。</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37"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6</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诚信评审</w:t>
            </w:r>
          </w:p>
        </w:tc>
        <w:tc>
          <w:tcPr>
            <w:tcW w:w="851"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811"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djustRightInd w:val="0"/>
              <w:snapToGrid w:val="0"/>
              <w:spacing w:line="360" w:lineRule="exact"/>
              <w:rPr>
                <w:rFonts w:ascii="宋体" w:hAnsi="宋体" w:cs="宋体"/>
                <w:szCs w:val="21"/>
              </w:rPr>
            </w:pPr>
            <w:r>
              <w:rPr>
                <w:rFonts w:hint="eastAsia" w:ascii="宋体" w:hAnsi="宋体" w:cs="宋体"/>
                <w:szCs w:val="21"/>
              </w:rPr>
              <w:t>投标人参与政府采购活动在诚信管理中受过主管部门通报处理且仍在实施期限内的本项不得分，</w:t>
            </w:r>
            <w:r>
              <w:rPr>
                <w:rFonts w:hint="eastAsia" w:asciiTheme="minorEastAsia" w:hAnsiTheme="minorEastAsia" w:eastAsiaTheme="minorEastAsia"/>
                <w:kern w:val="0"/>
                <w:szCs w:val="21"/>
              </w:rPr>
              <w:t>否则得5分</w:t>
            </w:r>
            <w:r>
              <w:rPr>
                <w:rFonts w:hint="eastAsia" w:ascii="宋体" w:hAnsi="宋体" w:cs="宋体"/>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ascii="宋体" w:hAnsi="宋体" w:cs="仿宋"/>
                <w:szCs w:val="21"/>
              </w:rPr>
            </w:pPr>
            <w:r>
              <w:rPr>
                <w:rFonts w:hint="eastAsia" w:ascii="宋体" w:hAnsi="宋体" w:cs="宋体"/>
                <w:bCs/>
                <w:kern w:val="0"/>
                <w:szCs w:val="21"/>
              </w:rPr>
              <w:t>按招标文件格式如实提供</w:t>
            </w:r>
            <w:r>
              <w:rPr>
                <w:rFonts w:hint="eastAsia" w:ascii="宋体" w:hAnsi="宋体" w:cs="宋体"/>
                <w:szCs w:val="21"/>
              </w:rPr>
              <w:t>《诚信承诺函》</w:t>
            </w:r>
            <w:r>
              <w:rPr>
                <w:rFonts w:hint="eastAsia" w:ascii="宋体" w:hAnsi="宋体" w:cs="宋体"/>
                <w:bCs/>
                <w:kern w:val="0"/>
                <w:szCs w:val="21"/>
              </w:rPr>
              <w:t>原件加盖投标人公章，且承诺函格式及内容不得修改，否则不得分</w:t>
            </w:r>
            <w:r>
              <w:rPr>
                <w:rFonts w:hint="eastAsia" w:ascii="宋体" w:hAnsi="宋体" w:cs="宋体"/>
                <w:szCs w:val="21"/>
              </w:rPr>
              <w:t>。</w:t>
            </w:r>
            <w:r>
              <w:rPr>
                <w:rFonts w:hint="eastAsia" w:ascii="宋体" w:hAnsi="宋体" w:cs="宋体"/>
                <w:bCs/>
                <w:kern w:val="0"/>
                <w:szCs w:val="21"/>
              </w:rPr>
              <w:t>如若投标人承诺与实际情况不相符，将按虚假应标报相关主管部门处理</w:t>
            </w:r>
            <w:r>
              <w:rPr>
                <w:rFonts w:hint="eastAsia" w:ascii="宋体" w:hAnsi="宋体" w:cs="宋体"/>
                <w:szCs w:val="21"/>
              </w:rPr>
              <w:t>。</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bl>
    <w:p>
      <w:pPr>
        <w:pStyle w:val="5"/>
        <w:spacing w:before="0" w:after="0"/>
        <w:jc w:val="left"/>
        <w:rPr>
          <w:rFonts w:asciiTheme="minorEastAsia" w:hAnsiTheme="minorEastAsia"/>
          <w:bCs w:val="0"/>
          <w:sz w:val="21"/>
          <w:szCs w:val="21"/>
        </w:rPr>
      </w:pPr>
      <w:bookmarkStart w:id="13" w:name="_Toc44691394"/>
      <w:bookmarkStart w:id="14" w:name="_Toc44690430"/>
      <w:bookmarkStart w:id="15" w:name="_Toc44691162"/>
      <w:bookmarkStart w:id="16" w:name="_Toc73610144"/>
      <w:bookmarkStart w:id="17" w:name="_Toc44690703"/>
      <w:r>
        <w:rPr>
          <w:rFonts w:hint="eastAsia" w:asciiTheme="minorEastAsia" w:hAnsiTheme="minorEastAsia"/>
          <w:bCs w:val="0"/>
          <w:sz w:val="21"/>
          <w:szCs w:val="21"/>
        </w:rPr>
        <w:t>备注：</w:t>
      </w:r>
      <w:bookmarkEnd w:id="13"/>
      <w:bookmarkEnd w:id="14"/>
      <w:bookmarkEnd w:id="15"/>
      <w:bookmarkEnd w:id="16"/>
      <w:bookmarkEnd w:id="17"/>
    </w:p>
    <w:p>
      <w:pPr>
        <w:pStyle w:val="4"/>
        <w:spacing w:before="0" w:after="0"/>
      </w:pPr>
      <w:bookmarkStart w:id="18" w:name="_Toc73610145"/>
      <w:r>
        <w:rPr>
          <w:rFonts w:hint="eastAsia"/>
        </w:rPr>
        <w:t>1、资质证书有效期</w:t>
      </w:r>
      <w:bookmarkEnd w:id="18"/>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4"/>
        <w:spacing w:before="0" w:after="0"/>
        <w:rPr>
          <w:rFonts w:asciiTheme="minorEastAsia" w:hAnsiTheme="minorEastAsia" w:eastAsiaTheme="minorEastAsia"/>
        </w:rPr>
      </w:pPr>
      <w:bookmarkStart w:id="19" w:name="_Toc73610146"/>
      <w:r>
        <w:rPr>
          <w:rFonts w:hint="eastAsia" w:asciiTheme="minorEastAsia" w:hAnsiTheme="minorEastAsia" w:eastAsiaTheme="minorEastAsia"/>
        </w:rPr>
        <w:t>2、政府采购优惠政策</w:t>
      </w:r>
      <w:bookmarkEnd w:id="19"/>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%（请在6%-10%范围内选择）后参与评审</w:t>
      </w:r>
      <w:r>
        <w:rPr>
          <w:rFonts w:hint="eastAsia" w:asciiTheme="minorEastAsia" w:hAnsiTheme="minorEastAsia" w:eastAsiaTheme="minorEastAsia"/>
        </w:rPr>
        <w:t>。对于同时属于小微企业、监狱企业或残疾人福利性单位的，不重复进行投标报价扣除。</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%（请在2</w:t>
      </w:r>
      <w:r>
        <w:rPr>
          <w:rFonts w:asciiTheme="minorEastAsia" w:hAnsiTheme="minorEastAsia" w:eastAsiaTheme="minorEastAsia"/>
          <w:b/>
        </w:rPr>
        <w:t>%-</w:t>
      </w:r>
      <w:r>
        <w:rPr>
          <w:rFonts w:hint="eastAsia" w:asciiTheme="minorEastAsia" w:hAnsiTheme="minorEastAsia" w:eastAsiaTheme="minorEastAsia"/>
          <w:b/>
        </w:rPr>
        <w:t>3</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政府采购优惠政策</w:t>
      </w:r>
      <w:r>
        <w:rPr>
          <w:rFonts w:hint="eastAsia" w:asciiTheme="minorEastAsia" w:hAnsiTheme="minorEastAsia" w:eastAsiaTheme="minorEastAsia"/>
          <w:b/>
        </w:rPr>
        <w:t>第一款</w:t>
      </w:r>
      <w:r>
        <w:rPr>
          <w:rFonts w:hint="eastAsia" w:asciiTheme="minorEastAsia" w:hAnsiTheme="minorEastAsia" w:eastAsiaTheme="minorEastAsia"/>
        </w:rPr>
        <w:t>的优惠政策。</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（4）投标产品属于《关于调整优化节能产品环境标志产品政府采购执行机制的通知》（财库〔2019〕9号）、《关于印发环境标志产品政府采购品目清单的通知》（财库〔2019〕18号）和《关于印发节能产品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对符合条件的获证产品（强制采购产品除外）</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%的价格扣除，用扣除后的价格参与价格分的评审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5）为缓解中小企业融资难题，我市推出政府采购订单融资改革举措。订单融资具体流程及试点金融机构订单融资服务承诺可参阅深圳市政府采购监管网（www.zfcg.sz.gov.cn）信息公开栏目或深圳公共资源交易中心网站（www.szzfcg.cn）政府采购订单融资栏目。</w:t>
      </w:r>
    </w:p>
    <w:p>
      <w:pPr>
        <w:spacing w:line="360" w:lineRule="auto"/>
        <w:ind w:firstLine="424" w:firstLineChars="202"/>
        <w:jc w:val="left"/>
        <w:rPr>
          <w:rFonts w:asciiTheme="minorEastAsia" w:hAnsiTheme="minorEastAsia" w:eastAsiaTheme="minorEastAsia"/>
          <w:szCs w:val="21"/>
        </w:rPr>
      </w:pPr>
    </w:p>
    <w:p>
      <w:pPr>
        <w:pStyle w:val="3"/>
        <w:spacing w:beforeLines="50"/>
      </w:pPr>
      <w:bookmarkStart w:id="20" w:name="_Toc73610147"/>
      <w:r>
        <w:rPr>
          <w:rFonts w:hint="eastAsia"/>
        </w:rPr>
        <w:t>第五章  投标人须知前附表</w:t>
      </w:r>
      <w:bookmarkEnd w:id="20"/>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pPr>
            <w:r>
              <w:rPr>
                <w:rFonts w:hint="eastAsia" w:hAnsi="宋体"/>
              </w:rPr>
              <w:t>双通道纯音听力计采购项目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szCs w:val="21"/>
                <w:shd w:val="clear" w:color="auto" w:fill="FFFFFF"/>
              </w:rPr>
              <w:t>深圳市龙岗区耳鼻咽喉医院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招标代理机构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60" w:lineRule="auto"/>
              <w:rPr>
                <w:rFonts w:hAnsi="宋体"/>
                <w:szCs w:val="21"/>
              </w:rPr>
            </w:pPr>
            <w:r>
              <w:rPr>
                <w:rFonts w:hint="eastAsia" w:hAnsi="宋体"/>
                <w:szCs w:val="21"/>
              </w:rPr>
              <w:t>详见《第一章 投标邀请》“申请人的资格要求”</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不要求向招标代理机构提交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 xml:space="preserve">正本1份，副本 </w:t>
            </w:r>
            <w:r>
              <w:rPr>
                <w:rFonts w:hint="eastAsia" w:asciiTheme="minorEastAsia" w:hAnsiTheme="minorEastAsia" w:eastAsiaTheme="minorEastAsia"/>
              </w:rPr>
              <w:t>5</w:t>
            </w:r>
            <w:r>
              <w:rPr>
                <w:rFonts w:asciiTheme="minorEastAsia" w:hAnsiTheme="minorEastAsia" w:eastAsiaTheme="minorEastAsia"/>
              </w:rPr>
              <w:t xml:space="preserve"> 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bookmarkStart w:id="93" w:name="_GoBack" w:colFirst="3" w:colLast="3"/>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b/>
                <w:highlight w:val="none"/>
              </w:rPr>
            </w:pPr>
            <w:r>
              <w:rPr>
                <w:rFonts w:hAnsi="宋体"/>
                <w:b/>
                <w:highlight w:val="none"/>
              </w:rPr>
              <w:t>时间：</w:t>
            </w:r>
            <w:r>
              <w:rPr>
                <w:rFonts w:hint="eastAsia" w:hAnsi="宋体"/>
                <w:b/>
                <w:snapToGrid w:val="0"/>
                <w:szCs w:val="18"/>
                <w:highlight w:val="none"/>
              </w:rPr>
              <w:t>2022年</w:t>
            </w:r>
            <w:r>
              <w:rPr>
                <w:rFonts w:hint="eastAsia" w:hAnsi="宋体"/>
                <w:b/>
                <w:snapToGrid w:val="0"/>
                <w:szCs w:val="18"/>
                <w:highlight w:val="none"/>
                <w:lang w:val="en-US" w:eastAsia="zh-CN"/>
              </w:rPr>
              <w:t>7</w:t>
            </w:r>
            <w:r>
              <w:rPr>
                <w:rFonts w:hint="eastAsia" w:hAnsi="宋体"/>
                <w:b/>
                <w:snapToGrid w:val="0"/>
                <w:szCs w:val="18"/>
                <w:highlight w:val="none"/>
              </w:rPr>
              <w:t>月</w:t>
            </w:r>
            <w:r>
              <w:rPr>
                <w:rFonts w:hint="eastAsia" w:hAnsi="宋体"/>
                <w:b/>
                <w:snapToGrid w:val="0"/>
                <w:szCs w:val="18"/>
                <w:highlight w:val="none"/>
                <w:lang w:val="en-US" w:eastAsia="zh-CN"/>
              </w:rPr>
              <w:t>4</w:t>
            </w:r>
            <w:r>
              <w:rPr>
                <w:rFonts w:hint="eastAsia" w:hAnsi="宋体"/>
                <w:b/>
                <w:snapToGrid w:val="0"/>
                <w:szCs w:val="18"/>
                <w:highlight w:val="none"/>
              </w:rPr>
              <w:t>日1</w:t>
            </w:r>
            <w:r>
              <w:rPr>
                <w:rFonts w:hint="eastAsia" w:hAnsi="宋体"/>
                <w:b/>
                <w:snapToGrid w:val="0"/>
                <w:szCs w:val="18"/>
                <w:highlight w:val="none"/>
                <w:lang w:val="en-US" w:eastAsia="zh-CN"/>
              </w:rPr>
              <w:t>5</w:t>
            </w:r>
            <w:r>
              <w:rPr>
                <w:rFonts w:hint="eastAsia" w:hAnsi="宋体"/>
                <w:b/>
                <w:snapToGrid w:val="0"/>
                <w:szCs w:val="18"/>
                <w:highlight w:val="none"/>
              </w:rPr>
              <w:t>点</w:t>
            </w:r>
            <w:r>
              <w:rPr>
                <w:rFonts w:hint="eastAsia" w:hAnsi="宋体"/>
                <w:b/>
                <w:snapToGrid w:val="0"/>
                <w:szCs w:val="18"/>
                <w:highlight w:val="none"/>
                <w:lang w:val="en-US" w:eastAsia="zh-CN"/>
              </w:rPr>
              <w:t>0</w:t>
            </w:r>
            <w:r>
              <w:rPr>
                <w:rFonts w:hint="eastAsia" w:hAnsi="宋体"/>
                <w:b/>
                <w:snapToGrid w:val="0"/>
                <w:szCs w:val="18"/>
                <w:highlight w:val="none"/>
              </w:rPr>
              <w:t>0分</w:t>
            </w:r>
            <w:r>
              <w:rPr>
                <w:rFonts w:hAnsi="宋体"/>
                <w:b/>
                <w:highlight w:val="none"/>
              </w:rPr>
              <w:t>（北京时间）</w:t>
            </w:r>
          </w:p>
          <w:p>
            <w:pPr>
              <w:pStyle w:val="26"/>
              <w:spacing w:line="360" w:lineRule="auto"/>
              <w:rPr>
                <w:rFonts w:hAnsi="宋体"/>
                <w:highlight w:val="none"/>
              </w:rPr>
            </w:pPr>
            <w:r>
              <w:rPr>
                <w:rFonts w:hAnsi="宋体"/>
                <w:highlight w:val="none"/>
              </w:rPr>
              <w:t>地点：</w:t>
            </w:r>
            <w:r>
              <w:rPr>
                <w:rFonts w:hint="eastAsia"/>
                <w:color w:val="333333"/>
                <w:szCs w:val="21"/>
                <w:highlight w:val="none"/>
                <w:shd w:val="clear" w:color="auto" w:fill="FFFFFF"/>
              </w:rPr>
              <w:t>深圳市龙岗区龙西社区添利鑫创业园添利鑫大厦801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highlight w:val="none"/>
              </w:rPr>
            </w:pPr>
            <w:r>
              <w:rPr>
                <w:rFonts w:hint="eastAsia" w:hAnsi="宋体"/>
                <w:b/>
                <w:snapToGrid w:val="0"/>
                <w:szCs w:val="18"/>
                <w:highlight w:val="none"/>
              </w:rPr>
              <w:t>2022年</w:t>
            </w:r>
            <w:r>
              <w:rPr>
                <w:rFonts w:hint="eastAsia" w:hAnsi="宋体"/>
                <w:b/>
                <w:snapToGrid w:val="0"/>
                <w:szCs w:val="18"/>
                <w:highlight w:val="none"/>
                <w:lang w:val="en-US" w:eastAsia="zh-CN"/>
              </w:rPr>
              <w:t>7</w:t>
            </w:r>
            <w:r>
              <w:rPr>
                <w:rFonts w:hint="eastAsia" w:hAnsi="宋体"/>
                <w:b/>
                <w:snapToGrid w:val="0"/>
                <w:szCs w:val="18"/>
                <w:highlight w:val="none"/>
              </w:rPr>
              <w:t>月</w:t>
            </w:r>
            <w:r>
              <w:rPr>
                <w:rFonts w:hint="eastAsia" w:hAnsi="宋体"/>
                <w:b/>
                <w:snapToGrid w:val="0"/>
                <w:szCs w:val="18"/>
                <w:highlight w:val="none"/>
                <w:lang w:val="en-US" w:eastAsia="zh-CN"/>
              </w:rPr>
              <w:t>4</w:t>
            </w:r>
            <w:r>
              <w:rPr>
                <w:rFonts w:hint="eastAsia" w:hAnsi="宋体"/>
                <w:b/>
                <w:snapToGrid w:val="0"/>
                <w:szCs w:val="18"/>
                <w:highlight w:val="none"/>
              </w:rPr>
              <w:t>日1</w:t>
            </w:r>
            <w:r>
              <w:rPr>
                <w:rFonts w:hint="eastAsia" w:hAnsi="宋体"/>
                <w:b/>
                <w:snapToGrid w:val="0"/>
                <w:szCs w:val="18"/>
                <w:highlight w:val="none"/>
                <w:lang w:val="en-US" w:eastAsia="zh-CN"/>
              </w:rPr>
              <w:t>5</w:t>
            </w:r>
            <w:r>
              <w:rPr>
                <w:rFonts w:hint="eastAsia" w:hAnsi="宋体"/>
                <w:b/>
                <w:snapToGrid w:val="0"/>
                <w:szCs w:val="18"/>
                <w:highlight w:val="none"/>
              </w:rPr>
              <w:t>点</w:t>
            </w:r>
            <w:r>
              <w:rPr>
                <w:rFonts w:hint="eastAsia" w:hAnsi="宋体"/>
                <w:b/>
                <w:snapToGrid w:val="0"/>
                <w:szCs w:val="18"/>
                <w:highlight w:val="none"/>
                <w:lang w:val="en-US" w:eastAsia="zh-CN"/>
              </w:rPr>
              <w:t>0</w:t>
            </w:r>
            <w:r>
              <w:rPr>
                <w:rFonts w:hint="eastAsia" w:hAnsi="宋体"/>
                <w:b/>
                <w:snapToGrid w:val="0"/>
                <w:szCs w:val="18"/>
                <w:highlight w:val="none"/>
              </w:rPr>
              <w:t>0分</w:t>
            </w:r>
            <w:r>
              <w:rPr>
                <w:rFonts w:hint="eastAsia" w:hAnsi="宋体"/>
                <w:b/>
                <w:highlight w:val="none"/>
              </w:rPr>
              <w:t>（北京时间）</w:t>
            </w:r>
          </w:p>
        </w:tc>
      </w:tr>
      <w:bookmarkEnd w:id="93"/>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详见《投标人须知》</w:t>
            </w:r>
            <w:r>
              <w:rPr>
                <w:rFonts w:hint="eastAsia" w:asciiTheme="minorEastAsia" w:hAnsiTheme="minorEastAsia" w:eastAsiaTheme="minorEastAsia"/>
                <w:szCs w:val="21"/>
              </w:rPr>
              <w:t>），向中标供应商收取</w:t>
            </w:r>
            <w:r>
              <w:rPr>
                <w:rFonts w:hint="eastAsia" w:asciiTheme="minorEastAsia" w:hAnsiTheme="minorEastAsia" w:eastAsiaTheme="minorEastAsia"/>
              </w:rPr>
              <w:t>，最低收取人民币6000元。</w:t>
            </w:r>
          </w:p>
        </w:tc>
      </w:tr>
    </w:tbl>
    <w:p>
      <w:pPr>
        <w:widowControl/>
        <w:jc w:val="left"/>
      </w:pPr>
      <w:r>
        <w:br w:type="page"/>
      </w:r>
    </w:p>
    <w:p/>
    <w:p>
      <w:pPr>
        <w:pStyle w:val="3"/>
      </w:pPr>
      <w:bookmarkStart w:id="21" w:name="_Toc73610148"/>
      <w:r>
        <w:rPr>
          <w:rFonts w:hint="eastAsia"/>
        </w:rPr>
        <w:t>第六章  投标人须知</w:t>
      </w:r>
      <w:bookmarkEnd w:id="21"/>
    </w:p>
    <w:p>
      <w:pPr>
        <w:pStyle w:val="5"/>
        <w:spacing w:before="0" w:after="0"/>
      </w:pPr>
      <w:bookmarkStart w:id="22" w:name="_Toc73610149"/>
      <w:r>
        <w:rPr>
          <w:rFonts w:hint="eastAsia"/>
        </w:rPr>
        <w:t>一、说</w:t>
      </w:r>
      <w:r>
        <w:t xml:space="preserve">  </w:t>
      </w:r>
      <w:r>
        <w:rPr>
          <w:rFonts w:hint="eastAsia"/>
        </w:rPr>
        <w:t>明</w:t>
      </w:r>
      <w:bookmarkEnd w:id="22"/>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及有关招投标法规、规章、规定通过招标来择优选定投标人。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”系指前附表第2项所述。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”系前附表第3项所述。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“投标人”系指向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提供的设备及材料的安装。</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提供符合方案的服务。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（2）投标联合体各方必须有一方先行注册成深圳市政府采购中心供应商。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3" w:name="q5"/>
      <w:bookmarkEnd w:id="23"/>
    </w:p>
    <w:p>
      <w:pPr>
        <w:pStyle w:val="5"/>
        <w:spacing w:before="0" w:after="0"/>
      </w:pPr>
      <w:bookmarkStart w:id="24" w:name="_Toc73610150"/>
      <w:r>
        <w:rPr>
          <w:rFonts w:hint="eastAsia"/>
        </w:rPr>
        <w:t>二、招标文件说明</w:t>
      </w:r>
      <w:bookmarkEnd w:id="24"/>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招标文件是用以阐明所需设备及服务的情况，以及招标、投标程序和相应的合同条款。招标文件由下述部份组成：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5"/>
        <w:spacing w:before="0" w:after="0"/>
      </w:pPr>
      <w:bookmarkStart w:id="25" w:name="q6"/>
      <w:bookmarkEnd w:id="25"/>
      <w:bookmarkStart w:id="26" w:name="_Toc73610151"/>
      <w:r>
        <w:rPr>
          <w:rFonts w:hint="eastAsia"/>
        </w:rPr>
        <w:t>三、投标文件的编写</w:t>
      </w:r>
      <w:bookmarkEnd w:id="26"/>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snapToGrid w:val="0"/>
          <w:kern w:val="0"/>
          <w:szCs w:val="21"/>
        </w:rPr>
        <w:t>法定代表人证明书及授权委托书</w:t>
      </w:r>
      <w:r>
        <w:rPr>
          <w:rFonts w:hint="eastAsia" w:asciiTheme="minorEastAsia" w:hAnsiTheme="minorEastAsia" w:eastAsiaTheme="minorEastAsia"/>
          <w:snapToGrid w:val="0"/>
          <w:kern w:val="0"/>
        </w:rPr>
        <w:t>（投标文件格式2）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（5）投标函（投标文件格式3） </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（8）技术规格（投标文件格式7）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（9）交付进度（投标文件格式8）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（10）售后服务和质量承诺（投标文件格式9）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声明 （投标文件格式10）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（12）偏离表（投标文件格式11）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（13）招标文件要求的其他资料或投标人认为需要补充的资料（投标文件格式12）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（14）装有“法定代表人证明书、法定代表人授权书”和“开标一览表”单独密封的信封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（15）装有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（16）产品样品或产品样板（如有）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4）和“报价表”（投标文件格式5）上写明投标货物的单价和投标总价。投标人对每种项目只允许有一个报价，招标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投标人必须提交证明其有资格进行投标，和中标后有能力履行合同的证明文件（投标文件格式1与格式9），作为投标文件的一部分。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投标保证金（本项目不适用）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投标保证金为投标文件的组成部份之一。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提交一笔不少于前附表第9项所规定的投标保证金。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ind w:left="630" w:hanging="630" w:hangingChars="300"/>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未中标的投标人的投标保证金，招标代理机构将在中标通知书发出且收到投标人的《投标保证金退还申请表》后5个工作日内退还。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中标人的投标保证金，招标代理机构将在中标人签订合同并支付中标服务费后5个工作日内退还。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已递交了投标保证金的投标人放弃投标，而没有在投标保证金递交截止时间前书面通知招标代理机构的；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如果中标人未能做到：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另行书面通知的时间和地点，派出代表出席</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投标文件数量按前附表第11项所述，须在每一份投标文件上明确注明“正本”或“副本”字样。一旦正本和副本有差异，以正本为准。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5"/>
        <w:spacing w:before="0" w:after="0"/>
      </w:pPr>
      <w:bookmarkStart w:id="27" w:name="q7"/>
      <w:bookmarkEnd w:id="27"/>
      <w:bookmarkStart w:id="28" w:name="_Toc73610152"/>
      <w:r>
        <w:rPr>
          <w:rFonts w:hint="eastAsia"/>
        </w:rPr>
        <w:t>四、投标文件的递交</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w:t>
      </w:r>
      <w:r>
        <w:rPr>
          <w:rFonts w:hint="eastAsia"/>
          <w:snapToGrid w:val="0"/>
          <w:kern w:val="0"/>
        </w:rPr>
        <w:t>“备份光盘（或U盘）”一起封装在同一个外层包封中，同时还应在封套上载明以下信息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备份光盘（或U盘）</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投标人应将“法定代表人证明书、法定代表人授权委托证明书”和“开标一览表”单独密封于一信封，在递交投标文件时单独交与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注明：“开标一览表”和“法定代表人证明书、法定代表人授权委托证明书”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投标人应按18.1～18.7中的规定进行密封和标记后，将投标文件按照前附表第12项中注明的地址送至招标代理机构。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w:t>
      </w:r>
      <w:bookmarkStart w:id="29" w:name="_Hlt35050056"/>
      <w:bookmarkEnd w:id="29"/>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5"/>
        <w:spacing w:before="0" w:after="0"/>
      </w:pPr>
      <w:bookmarkStart w:id="30" w:name="q8"/>
      <w:bookmarkEnd w:id="30"/>
      <w:bookmarkStart w:id="31" w:name="_Toc73610153"/>
      <w:r>
        <w:rPr>
          <w:rFonts w:hint="eastAsia"/>
        </w:rPr>
        <w:t>五、开标和评标</w:t>
      </w:r>
      <w:bookmarkEnd w:id="3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专家组成。评标委员会对投标文件进行审查、质疑、评估和比较。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hint="eastAsia" w:asciiTheme="minorEastAsia" w:hAnsiTheme="minorEastAsia" w:eastAsiaTheme="minorEastAsia"/>
          <w:szCs w:val="21"/>
        </w:rPr>
        <w:t>。</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32" w:name="q9"/>
      <w:bookmarkEnd w:id="32"/>
    </w:p>
    <w:p>
      <w:pPr>
        <w:pStyle w:val="5"/>
        <w:spacing w:before="0" w:after="0"/>
      </w:pPr>
      <w:bookmarkStart w:id="33" w:name="_Toc73610154"/>
      <w:r>
        <w:rPr>
          <w:rFonts w:hint="eastAsia"/>
        </w:rPr>
        <w:t>六、授予合同</w:t>
      </w:r>
      <w:bookmarkEnd w:id="33"/>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中标人向招标代理机构支付中标服务费后，领取《中标通知书》。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中标人应按《中标通知书》或按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招标文件、中标人的投标文件及其澄清文件等，均为签订合同的依据。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中标人须按招标文件的规定或根据合同条款的规定向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897"/>
        <w:gridCol w:w="1898"/>
        <w:gridCol w:w="18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jc w:val="center"/>
        </w:trPr>
        <w:tc>
          <w:tcPr>
            <w:tcW w:w="2131" w:type="dxa"/>
          </w:tcPr>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pict>
                <v:shape id="__TH_B3733" o:spid="_x0000_s1043" o:spt="202" type="#_x0000_t202" style="position:absolute;left:0pt;margin-left:56.4pt;margin-top:43.5pt;height:9.4pt;width:4.3pt;z-index:25167462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元</w:t>
                        </w:r>
                      </w:p>
                    </w:txbxContent>
                  </v:textbox>
                </v:shape>
              </w:pict>
            </w:r>
            <w:r>
              <w:rPr>
                <w:rFonts w:asciiTheme="minorEastAsia" w:hAnsiTheme="minorEastAsia" w:eastAsiaTheme="minorEastAsia"/>
              </w:rPr>
              <w:pict>
                <v:shape id="__TH_B3632" o:spid="_x0000_s1042" o:spt="202" type="#_x0000_t202" style="position:absolute;left:0pt;margin-left:44.55pt;margin-top:42.35pt;height:9.4pt;width:9.85pt;z-index:25167360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万</w:t>
                        </w:r>
                      </w:p>
                    </w:txbxContent>
                  </v:textbox>
                </v:shape>
              </w:pict>
            </w:r>
            <w:r>
              <w:rPr>
                <w:rFonts w:asciiTheme="minorEastAsia" w:hAnsiTheme="minorEastAsia" w:eastAsiaTheme="minorEastAsia"/>
              </w:rPr>
              <w:pict>
                <v:shape id="__TH_B3531" o:spid="_x0000_s1041" o:spt="202" type="#_x0000_t202" style="position:absolute;left:0pt;margin-left:38.45pt;margin-top:41.2pt;height:9.4pt;width:3.9pt;z-index:251672576;mso-width-relative:page;mso-height-relative:page;" filled="f" stroked="f" coordsize="21600,21600">
                  <v:path/>
                  <v:fill on="f" focussize="0,0"/>
                  <v:stroke on="f" joinstyle="miter"/>
                  <v:imagedata o:title=""/>
                  <o:lock v:ext="edit"/>
                  <v:textbox inset="0mm,0mm,0mm,0mm">
                    <w:txbxContent>
                      <w:p>
                        <w:pPr>
                          <w:snapToGrid w:val="0"/>
                          <w:rPr>
                            <w:sz w:val="15"/>
                          </w:rPr>
                        </w:pPr>
                        <w:r>
                          <w:rPr>
                            <w:sz w:val="15"/>
                          </w:rPr>
                          <w:t>(</w:t>
                        </w:r>
                      </w:p>
                    </w:txbxContent>
                  </v:textbox>
                </v:shape>
              </w:pict>
            </w:r>
            <w:r>
              <w:rPr>
                <w:rFonts w:asciiTheme="minorEastAsia" w:hAnsiTheme="minorEastAsia" w:eastAsiaTheme="minorEastAsia"/>
              </w:rPr>
              <w:pict>
                <v:shape id="__TH_B3430" o:spid="_x0000_s1040" o:spt="202" type="#_x0000_t202" style="position:absolute;left:0pt;margin-left:26.35pt;margin-top:40.05pt;height:9.4pt;width:9.9pt;z-index:251671552;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额</w:t>
                        </w:r>
                      </w:p>
                    </w:txbxContent>
                  </v:textbox>
                </v:shape>
              </w:pict>
            </w:r>
            <w:r>
              <w:rPr>
                <w:rFonts w:asciiTheme="minorEastAsia" w:hAnsiTheme="minorEastAsia" w:eastAsiaTheme="minorEastAsia"/>
              </w:rPr>
              <w:pict>
                <v:shape id="__TH_B3329" o:spid="_x0000_s1039" o:spt="202" type="#_x0000_t202" style="position:absolute;left:0pt;margin-left:17.3pt;margin-top:38.9pt;height:9.4pt;width:9.85pt;z-index:25167052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金</w:t>
                        </w:r>
                      </w:p>
                    </w:txbxContent>
                  </v:textbox>
                </v:shape>
              </w:pict>
            </w:r>
            <w:r>
              <w:rPr>
                <w:rFonts w:asciiTheme="minorEastAsia" w:hAnsiTheme="minorEastAsia" w:eastAsiaTheme="minorEastAsia"/>
              </w:rPr>
              <w:pict>
                <v:shape id="__TH_B3228" o:spid="_x0000_s1038" o:spt="202" type="#_x0000_t202" style="position:absolute;left:0pt;margin-left:8.2pt;margin-top:37.75pt;height:9.4pt;width:9.9pt;z-index:25166950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标</w:t>
                        </w:r>
                      </w:p>
                    </w:txbxContent>
                  </v:textbox>
                </v:shape>
              </w:pict>
            </w:r>
            <w:r>
              <w:rPr>
                <w:rFonts w:asciiTheme="minorEastAsia" w:hAnsiTheme="minorEastAsia" w:eastAsiaTheme="minorEastAsia"/>
              </w:rPr>
              <w:pict>
                <v:shape id="__TH_B3127" o:spid="_x0000_s1037" o:spt="202" type="#_x0000_t202" style="position:absolute;left:0pt;margin-left:-0.85pt;margin-top:36.6pt;height:9.4pt;width:9.85pt;z-index:25166848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中</w:t>
                        </w:r>
                      </w:p>
                    </w:txbxContent>
                  </v:textbox>
                </v:shape>
              </w:pict>
            </w:r>
            <w:r>
              <w:rPr>
                <w:rFonts w:asciiTheme="minorEastAsia" w:hAnsiTheme="minorEastAsia" w:eastAsiaTheme="minorEastAsia"/>
              </w:rPr>
              <w:pict>
                <v:shape id="__TH_B2226" o:spid="_x0000_s1036" o:spt="202" type="#_x0000_t202" style="position:absolute;left:0pt;margin-left:63.4pt;margin-top:32.05pt;height:9.35pt;width:9.85pt;z-index:25166745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率</w:t>
                        </w:r>
                      </w:p>
                    </w:txbxContent>
                  </v:textbox>
                </v:shape>
              </w:pict>
            </w:r>
            <w:r>
              <w:rPr>
                <w:rFonts w:asciiTheme="minorEastAsia" w:hAnsiTheme="minorEastAsia" w:eastAsiaTheme="minorEastAsia"/>
              </w:rPr>
              <w:pict>
                <v:shape id="__TH_B2125" o:spid="_x0000_s1035" o:spt="202" type="#_x0000_t202" style="position:absolute;left:0pt;margin-left:19.95pt;margin-top:10.05pt;height:9.4pt;width:9.9pt;z-index:251666432;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费</w:t>
                        </w:r>
                      </w:p>
                    </w:txbxContent>
                  </v:textbox>
                </v:shape>
              </w:pict>
            </w:r>
            <w:r>
              <w:rPr>
                <w:rFonts w:asciiTheme="minorEastAsia" w:hAnsiTheme="minorEastAsia" w:eastAsiaTheme="minorEastAsia"/>
              </w:rPr>
              <w:pict>
                <v:shape id="__TH_B1424" o:spid="_x0000_s1034" o:spt="202" type="#_x0000_t202" style="position:absolute;left:0pt;margin-left:88.65pt;margin-top:32.35pt;height:9.35pt;width:9.85pt;z-index:25166540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型</w:t>
                        </w:r>
                      </w:p>
                    </w:txbxContent>
                  </v:textbox>
                </v:shape>
              </w:pict>
            </w:r>
            <w:r>
              <w:rPr>
                <w:rFonts w:asciiTheme="minorEastAsia" w:hAnsiTheme="minorEastAsia" w:eastAsiaTheme="minorEastAsia"/>
              </w:rPr>
              <w:pict>
                <v:shape id="__TH_B1323" o:spid="_x0000_s1033" o:spt="202" type="#_x0000_t202" style="position:absolute;left:0pt;margin-left:83.95pt;margin-top:22.8pt;height:9.4pt;width:9.85pt;z-index:25166438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类</w:t>
                        </w:r>
                      </w:p>
                    </w:txbxContent>
                  </v:textbox>
                </v:shape>
              </w:pict>
            </w:r>
            <w:r>
              <w:rPr>
                <w:rFonts w:asciiTheme="minorEastAsia" w:hAnsiTheme="minorEastAsia" w:eastAsiaTheme="minorEastAsia"/>
              </w:rPr>
              <w:pict>
                <v:shape id="__TH_B1222" o:spid="_x0000_s1032" o:spt="202" type="#_x0000_t202" style="position:absolute;left:0pt;margin-left:79.25pt;margin-top:13.3pt;height:9.4pt;width:9.85pt;z-index:25166336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务</w:t>
                        </w:r>
                      </w:p>
                    </w:txbxContent>
                  </v:textbox>
                </v:shape>
              </w:pict>
            </w:r>
            <w:r>
              <w:rPr>
                <w:rFonts w:asciiTheme="minorEastAsia" w:hAnsiTheme="minorEastAsia" w:eastAsiaTheme="minorEastAsia"/>
              </w:rPr>
              <w:pict>
                <v:shape id="__TH_B1121" o:spid="_x0000_s1031" o:spt="202" type="#_x0000_t202" style="position:absolute;left:0pt;margin-left:74.55pt;margin-top:3.8pt;height:9.4pt;width:9.85pt;z-index:25166233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服</w:t>
                        </w:r>
                      </w:p>
                    </w:txbxContent>
                  </v:textbox>
                </v:shape>
              </w:pict>
            </w:r>
            <w:r>
              <w:rPr>
                <w:rFonts w:asciiTheme="minorEastAsia" w:hAnsiTheme="minorEastAsia" w:eastAsiaTheme="minorEastAsia"/>
              </w:rPr>
              <w:pict>
                <v:line id="__TH_L20" o:spid="_x0000_s1030" o:spt="20" style="position:absolute;left:0pt;margin-left:-5.15pt;margin-top:26.85pt;height:26.8pt;width:106pt;z-index:251661312;mso-width-relative:page;mso-height-relative:page;" coordsize="21600,21600">
                  <v:path arrowok="t"/>
                  <v:fill focussize="0,0"/>
                  <v:stroke weight="0.5pt"/>
                  <v:imagedata o:title=""/>
                  <o:lock v:ext="edit"/>
                </v:line>
              </w:pict>
            </w:r>
            <w:r>
              <w:rPr>
                <w:rFonts w:asciiTheme="minorEastAsia" w:hAnsiTheme="minorEastAsia" w:eastAsiaTheme="minorEastAsia"/>
              </w:rPr>
              <w:pict>
                <v:line id="__TH_L19" o:spid="_x0000_s1029" o:spt="20" style="position:absolute;left:0pt;margin-left:47.85pt;margin-top:0pt;height:53.65pt;width:53pt;z-index:251660288;mso-width-relative:page;mso-height-relative:page;" coordsize="21600,21600">
                  <v:path arrowok="t"/>
                  <v:fill focussize="0,0"/>
                  <v:stroke weight="0.5pt"/>
                  <v:imagedata o:title=""/>
                  <o:lock v:ext="edit"/>
                </v:line>
              </w:pict>
            </w:r>
          </w:p>
        </w:tc>
        <w:tc>
          <w:tcPr>
            <w:tcW w:w="1897" w:type="dxa"/>
            <w:tcBorders>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工程招标</w:t>
            </w:r>
          </w:p>
        </w:tc>
        <w:tc>
          <w:tcPr>
            <w:tcW w:w="1898" w:type="dxa"/>
            <w:tcBorders>
              <w:left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货物招标</w:t>
            </w:r>
          </w:p>
        </w:tc>
        <w:tc>
          <w:tcPr>
            <w:tcW w:w="1898" w:type="dxa"/>
            <w:tcBorders>
              <w:lef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1.00%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100-500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0.70%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1.10%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500-1000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1000-5000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0.35%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5000-10000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10000-100000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100000以上</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注：1、中标服务费按差额定率累进法计算。例如：某货物类项目中标金额为1000万元，计算中标服务费如下：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（500-100）万元×1.1%=4.4万元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（1000-500）×0.8%=4万元</w:t>
      </w:r>
    </w:p>
    <w:p>
      <w:pPr>
        <w:adjustRightInd w:val="0"/>
        <w:snapToGrid w:val="0"/>
        <w:spacing w:line="300" w:lineRule="auto"/>
        <w:ind w:left="424" w:leftChars="202"/>
        <w:rPr>
          <w:rFonts w:asciiTheme="minorEastAsia" w:hAnsiTheme="minorEastAsia" w:eastAsiaTheme="minorEastAsia"/>
          <w:snapToGrid w:val="0"/>
          <w:kern w:val="0"/>
          <w:sz w:val="24"/>
        </w:rPr>
      </w:pPr>
      <w:r>
        <w:rPr>
          <w:rFonts w:hint="eastAsia" w:asciiTheme="minorEastAsia" w:hAnsiTheme="minorEastAsia" w:eastAsiaTheme="minorEastAsia"/>
        </w:rPr>
        <w:t>合计收费=1.5+4.4+4＝9.9（万元）</w:t>
      </w:r>
    </w:p>
    <w:p>
      <w:pPr>
        <w:jc w:val="center"/>
        <w:rPr>
          <w:b/>
          <w:sz w:val="52"/>
          <w:szCs w:val="52"/>
        </w:rPr>
      </w:pPr>
    </w:p>
    <w:p>
      <w:pPr>
        <w:pStyle w:val="5"/>
        <w:spacing w:before="0" w:after="0"/>
      </w:pPr>
      <w:bookmarkStart w:id="34" w:name="_Toc105681825"/>
      <w:r>
        <w:rPr>
          <w:rFonts w:hint="eastAsia"/>
        </w:rPr>
        <w:t>七、质疑处理</w:t>
      </w:r>
      <w:bookmarkEnd w:id="34"/>
    </w:p>
    <w:p>
      <w:pPr>
        <w:spacing w:line="360" w:lineRule="auto"/>
        <w:rPr>
          <w:rFonts w:asciiTheme="majorEastAsia" w:hAnsiTheme="majorEastAsia" w:eastAsiaTheme="majorEastAsia"/>
          <w:b/>
          <w:bCs/>
          <w:szCs w:val="21"/>
        </w:rPr>
      </w:pPr>
      <w:bookmarkStart w:id="35"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6" w:name="_Hlk75374941"/>
      <w:r>
        <w:rPr>
          <w:rFonts w:hint="eastAsia" w:asciiTheme="majorEastAsia" w:hAnsiTheme="majorEastAsia" w:eastAsiaTheme="majorEastAsia"/>
          <w:szCs w:val="21"/>
        </w:rPr>
        <w:t>以联合体形式参与的，质疑应当由组成联合体的所有成员共同提出</w:t>
      </w:r>
      <w:bookmarkEnd w:id="36"/>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（1）供应商的名称（或者姓名）、地址、邮编、邮箱、联系人及联系电话；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35.7质疑答复时限</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35.8投诉</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对质疑答复不满意或者未在规定时间内答复的，提出质疑的供应商可以在答复期满后15个工作日内向同级财政部门投诉。</w:t>
      </w:r>
      <w:bookmarkEnd w:id="35"/>
    </w:p>
    <w:p/>
    <w:p/>
    <w:p/>
    <w:p/>
    <w:p/>
    <w:p/>
    <w:p/>
    <w:p>
      <w:pPr>
        <w:widowControl/>
        <w:jc w:val="left"/>
      </w:pPr>
      <w:r>
        <w:br w:type="page"/>
      </w:r>
    </w:p>
    <w:p/>
    <w:p>
      <w:pPr>
        <w:pStyle w:val="3"/>
      </w:pPr>
      <w:bookmarkStart w:id="37" w:name="_Toc73610155"/>
      <w:r>
        <w:rPr>
          <w:rFonts w:hint="eastAsia"/>
        </w:rPr>
        <w:t>第七章  投标文件格式</w:t>
      </w:r>
      <w:bookmarkEnd w:id="37"/>
    </w:p>
    <w:p>
      <w:pPr>
        <w:jc w:val="center"/>
        <w:rPr>
          <w:b/>
          <w:sz w:val="52"/>
          <w:szCs w:val="52"/>
        </w:rPr>
      </w:pPr>
    </w:p>
    <w:p>
      <w:pPr>
        <w:pStyle w:val="5"/>
        <w:spacing w:line="400" w:lineRule="exact"/>
        <w:rPr>
          <w:rFonts w:ascii="仿宋" w:hAnsi="仿宋" w:eastAsia="仿宋"/>
        </w:rPr>
      </w:pPr>
      <w:bookmarkStart w:id="38" w:name="_Toc11772"/>
      <w:bookmarkStart w:id="39" w:name="_Toc44690704"/>
      <w:bookmarkStart w:id="40" w:name="_Toc14934"/>
      <w:bookmarkStart w:id="41" w:name="_Toc73610156"/>
      <w:bookmarkStart w:id="42" w:name="_Toc44691163"/>
      <w:bookmarkStart w:id="43" w:name="_Toc25194"/>
      <w:bookmarkStart w:id="44" w:name="_Toc44691395"/>
      <w:bookmarkStart w:id="45" w:name="_Toc44690431"/>
      <w:bookmarkStart w:id="46" w:name="_Toc31468"/>
      <w:r>
        <w:rPr>
          <w:rFonts w:hint="eastAsia" w:ascii="仿宋" w:hAnsi="仿宋" w:eastAsia="仿宋"/>
        </w:rPr>
        <w:t>投标文件编制说明</w:t>
      </w:r>
      <w:bookmarkEnd w:id="38"/>
      <w:bookmarkEnd w:id="39"/>
      <w:bookmarkEnd w:id="40"/>
      <w:bookmarkEnd w:id="41"/>
      <w:bookmarkEnd w:id="42"/>
      <w:bookmarkEnd w:id="43"/>
      <w:bookmarkEnd w:id="44"/>
      <w:bookmarkEnd w:id="45"/>
      <w:bookmarkEnd w:id="46"/>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法定代表人证明书、法定代表人授权委托证明书和开标一览表（封包2）。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rFonts w:hint="eastAsia"/>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rPr>
          <w:b/>
          <w:bCs/>
        </w:rPr>
      </w:pPr>
      <w:bookmarkStart w:id="47" w:name="_投标文件格式（第一册）"/>
      <w:bookmarkEnd w:id="47"/>
      <w:bookmarkStart w:id="48" w:name="q0"/>
      <w:r>
        <w:rPr>
          <w:rFonts w:ascii="仿宋" w:hAnsi="仿宋" w:eastAsia="仿宋"/>
        </w:rPr>
        <w:br w:type="page"/>
      </w:r>
    </w:p>
    <w:p>
      <w:pPr>
        <w:pStyle w:val="5"/>
        <w:spacing w:line="400" w:lineRule="exact"/>
        <w:rPr>
          <w:rFonts w:ascii="仿宋" w:hAnsi="仿宋" w:eastAsia="仿宋"/>
        </w:rPr>
      </w:pPr>
    </w:p>
    <w:p>
      <w:pPr>
        <w:pStyle w:val="5"/>
        <w:spacing w:line="400" w:lineRule="exact"/>
        <w:rPr>
          <w:rFonts w:ascii="仿宋" w:hAnsi="仿宋" w:eastAsia="仿宋"/>
        </w:rPr>
      </w:pPr>
      <w:bookmarkStart w:id="49" w:name="_Toc73610157"/>
      <w:r>
        <w:rPr>
          <w:rFonts w:hint="eastAsia" w:ascii="仿宋" w:hAnsi="仿宋" w:eastAsia="仿宋"/>
        </w:rPr>
        <w:t>投标文件格式</w:t>
      </w:r>
      <w:bookmarkEnd w:id="49"/>
    </w:p>
    <w:bookmarkEnd w:id="48"/>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目录（自拟）</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评标指引表</w:t>
      </w:r>
    </w:p>
    <w:p>
      <w:pPr>
        <w:numPr>
          <w:ilvl w:val="0"/>
          <w:numId w:val="4"/>
        </w:numPr>
        <w:adjustRightInd w:val="0"/>
        <w:spacing w:line="360" w:lineRule="auto"/>
        <w:rPr>
          <w:snapToGrid w:val="0"/>
          <w:kern w:val="0"/>
          <w:szCs w:val="21"/>
        </w:rPr>
      </w:pPr>
      <w:r>
        <w:rPr>
          <w:rFonts w:hint="eastAsia"/>
          <w:snapToGrid w:val="0"/>
          <w:kern w:val="0"/>
          <w:szCs w:val="21"/>
        </w:rPr>
        <w:t>投标人资格证明文件（格式1）</w:t>
      </w:r>
    </w:p>
    <w:p>
      <w:pPr>
        <w:numPr>
          <w:ilvl w:val="0"/>
          <w:numId w:val="4"/>
        </w:numPr>
        <w:adjustRightInd w:val="0"/>
        <w:spacing w:line="360" w:lineRule="auto"/>
        <w:rPr>
          <w:snapToGrid w:val="0"/>
          <w:kern w:val="0"/>
          <w:szCs w:val="21"/>
        </w:rPr>
      </w:pPr>
      <w:r>
        <w:rPr>
          <w:rFonts w:hint="eastAsia"/>
          <w:snapToGrid w:val="0"/>
          <w:kern w:val="0"/>
          <w:szCs w:val="21"/>
        </w:rPr>
        <w:t>法定代表人证明书及授权委托书</w:t>
      </w:r>
      <w:r>
        <w:rPr>
          <w:rFonts w:hint="eastAsia" w:ascii="宋体" w:hAnsi="宋体"/>
          <w:snapToGrid w:val="0"/>
          <w:kern w:val="0"/>
          <w:szCs w:val="21"/>
        </w:rPr>
        <w:t>（格式2）</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投标函（格式3）</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评分中涉及的承诺及声明函（格式4）</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开标一览表（格式5）</w:t>
      </w:r>
    </w:p>
    <w:p>
      <w:pPr>
        <w:adjustRightInd w:val="0"/>
        <w:spacing w:line="360" w:lineRule="auto"/>
        <w:ind w:firstLine="422" w:firstLineChars="200"/>
        <w:rPr>
          <w:rFonts w:ascii="宋体" w:hAnsi="宋体"/>
          <w:b/>
          <w:bCs/>
          <w:snapToGrid w:val="0"/>
          <w:kern w:val="0"/>
          <w:szCs w:val="21"/>
        </w:rPr>
      </w:pPr>
      <w:r>
        <w:rPr>
          <w:rFonts w:hint="eastAsia" w:ascii="宋体" w:hAnsi="宋体"/>
          <w:b/>
          <w:snapToGrid w:val="0"/>
          <w:kern w:val="0"/>
          <w:szCs w:val="21"/>
        </w:rPr>
        <w:t>注：此表应与“法定代表人证明书、法定代表人授权委托证明书”一起密封于一信封，在递交投标文件时单独交与</w:t>
      </w:r>
      <w:r>
        <w:rPr>
          <w:rFonts w:hint="eastAsia" w:ascii="宋体" w:hAnsi="宋体"/>
          <w:b/>
          <w:bCs/>
          <w:snapToGrid w:val="0"/>
          <w:kern w:val="0"/>
          <w:szCs w:val="21"/>
        </w:rPr>
        <w:t>招标代理机构。</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报价表（格式6）</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技术规格（格式7）</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交付进度（格式8）</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售后服务和质量承诺（格式9）</w:t>
      </w:r>
    </w:p>
    <w:p>
      <w:pPr>
        <w:numPr>
          <w:ilvl w:val="0"/>
          <w:numId w:val="4"/>
        </w:numPr>
        <w:adjustRightInd w:val="0"/>
        <w:spacing w:line="360" w:lineRule="auto"/>
        <w:rPr>
          <w:rFonts w:ascii="宋体" w:hAnsi="宋体"/>
          <w:snapToGrid w:val="0"/>
          <w:kern w:val="0"/>
          <w:szCs w:val="21"/>
        </w:rPr>
      </w:pPr>
      <w:r>
        <w:rPr>
          <w:rFonts w:ascii="宋体" w:hAnsi="宋体"/>
          <w:snapToGrid w:val="0"/>
          <w:kern w:val="0"/>
        </w:rPr>
        <w:t>投标人资格</w:t>
      </w:r>
      <w:r>
        <w:rPr>
          <w:rFonts w:hint="eastAsia" w:ascii="宋体" w:hAnsi="宋体"/>
          <w:snapToGrid w:val="0"/>
          <w:kern w:val="0"/>
        </w:rPr>
        <w:t>声</w:t>
      </w:r>
      <w:r>
        <w:rPr>
          <w:rFonts w:ascii="宋体" w:hAnsi="宋体"/>
          <w:snapToGrid w:val="0"/>
          <w:kern w:val="0"/>
        </w:rPr>
        <w:t>明</w:t>
      </w:r>
      <w:r>
        <w:rPr>
          <w:rFonts w:hint="eastAsia" w:ascii="宋体" w:hAnsi="宋体"/>
          <w:snapToGrid w:val="0"/>
          <w:kern w:val="0"/>
        </w:rPr>
        <w:t>（</w:t>
      </w:r>
      <w:r>
        <w:rPr>
          <w:rFonts w:ascii="宋体" w:hAnsi="宋体"/>
          <w:snapToGrid w:val="0"/>
          <w:kern w:val="0"/>
        </w:rPr>
        <w:t>格式</w:t>
      </w:r>
      <w:r>
        <w:rPr>
          <w:rFonts w:hint="eastAsia" w:ascii="宋体" w:hAnsi="宋体"/>
          <w:snapToGrid w:val="0"/>
          <w:kern w:val="0"/>
        </w:rPr>
        <w:t>10</w:t>
      </w:r>
      <w:r>
        <w:rPr>
          <w:rFonts w:ascii="宋体" w:hAnsi="宋体"/>
          <w:snapToGrid w:val="0"/>
          <w:kern w:val="0"/>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偏离</w:t>
      </w:r>
      <w:r>
        <w:rPr>
          <w:rFonts w:ascii="宋体" w:hAnsi="宋体"/>
          <w:snapToGrid w:val="0"/>
          <w:kern w:val="0"/>
          <w:szCs w:val="21"/>
        </w:rPr>
        <w:t>表（格式</w:t>
      </w:r>
      <w:r>
        <w:rPr>
          <w:rFonts w:hint="eastAsia" w:ascii="宋体" w:hAnsi="宋体"/>
          <w:snapToGrid w:val="0"/>
          <w:kern w:val="0"/>
          <w:szCs w:val="21"/>
        </w:rPr>
        <w:t>11</w:t>
      </w:r>
      <w:r>
        <w:rPr>
          <w:rFonts w:ascii="宋体" w:hAnsi="宋体"/>
          <w:snapToGrid w:val="0"/>
          <w:kern w:val="0"/>
          <w:szCs w:val="21"/>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rPr>
        <w:t>招标文件要求的其他资料或投标人认为需要补充的资料</w:t>
      </w:r>
      <w:r>
        <w:rPr>
          <w:rFonts w:hint="eastAsia" w:ascii="宋体" w:hAnsi="宋体"/>
          <w:snapToGrid w:val="0"/>
          <w:kern w:val="0"/>
          <w:szCs w:val="21"/>
        </w:rPr>
        <w:t>（格式12）</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50" w:name="_格式1__投标人资格证明文件"/>
      <w:bookmarkEnd w:id="50"/>
      <w:r>
        <w:br w:type="page"/>
      </w:r>
    </w:p>
    <w:p>
      <w:pPr>
        <w:adjustRightInd w:val="0"/>
        <w:snapToGrid w:val="0"/>
        <w:spacing w:line="300" w:lineRule="auto"/>
        <w:jc w:val="center"/>
      </w:pPr>
    </w:p>
    <w:p>
      <w:pPr>
        <w:pStyle w:val="5"/>
        <w:spacing w:line="400" w:lineRule="exact"/>
        <w:rPr>
          <w:rFonts w:ascii="仿宋" w:hAnsi="仿宋" w:eastAsia="仿宋"/>
        </w:rPr>
      </w:pPr>
      <w:bookmarkStart w:id="51" w:name="_Toc73610158"/>
      <w:r>
        <w:rPr>
          <w:rFonts w:hint="eastAsia" w:ascii="仿宋" w:hAnsi="仿宋" w:eastAsia="仿宋"/>
        </w:rPr>
        <w:t>评标指引表</w:t>
      </w:r>
      <w:bookmarkEnd w:id="51"/>
    </w:p>
    <w:p>
      <w:pPr>
        <w:jc w:val="center"/>
        <w:rPr>
          <w:b/>
          <w:szCs w:val="21"/>
        </w:rPr>
      </w:pPr>
    </w:p>
    <w:p>
      <w:pPr>
        <w:spacing w:line="360" w:lineRule="auto"/>
        <w:ind w:firstLine="420" w:firstLineChars="200"/>
        <w:rPr>
          <w:rFonts w:ascii="宋体" w:hAnsi="宋体"/>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auto"/>
        <w:ind w:firstLine="420" w:firstLineChars="200"/>
        <w:rPr>
          <w:rFonts w:ascii="宋体" w:hAnsi="宋体"/>
          <w:szCs w:val="21"/>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评分项目</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zCs w:val="21"/>
              </w:rPr>
              <w:t>《节能产品政府采购品目清单》或《环境标志产品政府采购品目清单》中列示的产品，或</w:t>
            </w: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w:t>
            </w:r>
            <w:r>
              <w:rPr>
                <w:rFonts w:hint="eastAsia" w:asciiTheme="minorEastAsia" w:hAnsiTheme="minorEastAsia" w:eastAsiaTheme="minorEastAsia"/>
                <w:bCs/>
                <w:szCs w:val="21"/>
              </w:rPr>
              <w:t>优惠政策。</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6"/>
        <w:spacing w:line="360" w:lineRule="auto"/>
        <w:ind w:firstLine="424" w:firstLineChars="201"/>
        <w:rPr>
          <w:rFonts w:hAnsi="宋体"/>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4"/>
        <w:jc w:val="center"/>
      </w:pPr>
    </w:p>
    <w:p/>
    <w:p/>
    <w:p/>
    <w:p/>
    <w:p/>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52" w:name="_Toc44691164"/>
      <w:bookmarkStart w:id="53" w:name="_Toc44691396"/>
      <w:bookmarkStart w:id="54" w:name="_Toc44690705"/>
      <w:bookmarkStart w:id="55" w:name="_Toc44690432"/>
      <w:r>
        <w:rPr>
          <w:rFonts w:hint="eastAsia" w:asciiTheme="minorEastAsia" w:hAnsiTheme="minorEastAsia" w:eastAsiaTheme="minorEastAsia"/>
          <w:sz w:val="24"/>
        </w:rPr>
        <w:t>格式1  投标人资格证明文件</w:t>
      </w:r>
      <w:bookmarkEnd w:id="52"/>
      <w:bookmarkEnd w:id="53"/>
      <w:bookmarkEnd w:id="54"/>
      <w:bookmarkEnd w:id="55"/>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3、股东构成审查表</w:t>
      </w:r>
    </w:p>
    <w:p>
      <w:pPr>
        <w:adjustRightInd w:val="0"/>
        <w:snapToGrid w:val="0"/>
        <w:spacing w:line="360" w:lineRule="auto"/>
        <w:ind w:firstLine="424" w:firstLineChars="202"/>
        <w:rPr>
          <w:rFonts w:ascii="宋体" w:hAnsi="宋体"/>
        </w:rPr>
      </w:pPr>
      <w:r>
        <w:rPr>
          <w:rFonts w:hint="eastAsia" w:ascii="宋体" w:hAnsi="宋体"/>
        </w:rPr>
        <w:t>4、其它资格证明材料（按第一章投标邀请“申请人的资格要求”提供）</w:t>
      </w:r>
    </w:p>
    <w:p>
      <w:pPr>
        <w:adjustRightInd w:val="0"/>
        <w:snapToGrid w:val="0"/>
        <w:spacing w:line="360" w:lineRule="auto"/>
        <w:rPr>
          <w:rFonts w:ascii="宋体" w:hAnsi="宋体"/>
          <w:bCs/>
          <w:snapToGrid w:val="0"/>
          <w:kern w:val="0"/>
        </w:rPr>
      </w:pPr>
    </w:p>
    <w:p>
      <w:pPr>
        <w:adjustRightInd w:val="0"/>
        <w:snapToGrid w:val="0"/>
        <w:spacing w:line="360" w:lineRule="auto"/>
        <w:ind w:firstLine="424" w:firstLineChars="201"/>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sz w:val="32"/>
          <w:szCs w:val="32"/>
        </w:rPr>
      </w:pPr>
      <w:r>
        <w:rPr>
          <w:b/>
          <w:snapToGrid w:val="0"/>
          <w:sz w:val="32"/>
          <w:szCs w:val="32"/>
        </w:rPr>
        <w:br w:type="page"/>
      </w:r>
    </w:p>
    <w:p>
      <w:pPr>
        <w:adjustRightInd w:val="0"/>
        <w:snapToGrid w:val="0"/>
        <w:spacing w:line="300" w:lineRule="auto"/>
        <w:jc w:val="center"/>
        <w:rPr>
          <w:b/>
          <w:snapToGrid w:val="0"/>
          <w:sz w:val="32"/>
          <w:szCs w:val="32"/>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r>
        <w:br w:type="page"/>
      </w:r>
    </w:p>
    <w:p>
      <w:pPr>
        <w:adjustRightInd w:val="0"/>
        <w:snapToGrid w:val="0"/>
        <w:spacing w:line="360" w:lineRule="auto"/>
        <w:ind w:firstLine="600"/>
        <w:jc w:val="right"/>
      </w:pPr>
    </w:p>
    <w:p>
      <w:pPr>
        <w:pStyle w:val="4"/>
        <w:spacing w:before="0" w:after="0" w:line="360" w:lineRule="auto"/>
        <w:jc w:val="center"/>
        <w:rPr>
          <w:rFonts w:asciiTheme="minorEastAsia" w:hAnsiTheme="minorEastAsia" w:eastAsiaTheme="minorEastAsia"/>
          <w:kern w:val="0"/>
          <w:sz w:val="28"/>
          <w:szCs w:val="28"/>
        </w:rPr>
      </w:pPr>
      <w:bookmarkStart w:id="56" w:name="_Toc73610159"/>
      <w:r>
        <w:rPr>
          <w:rFonts w:hint="eastAsia" w:asciiTheme="minorEastAsia" w:hAnsiTheme="minorEastAsia" w:eastAsiaTheme="minorEastAsia"/>
          <w:kern w:val="0"/>
          <w:sz w:val="28"/>
          <w:szCs w:val="28"/>
        </w:rPr>
        <w:t>股东构成审查表</w:t>
      </w:r>
      <w:bookmarkEnd w:id="56"/>
    </w:p>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napToGrid w:val="0"/>
          <w:szCs w:val="21"/>
        </w:rPr>
        <w:t>项目</w:t>
      </w:r>
      <w:r>
        <w:rPr>
          <w:rFonts w:hint="eastAsia" w:asciiTheme="minorEastAsia" w:hAnsiTheme="minorEastAsia" w:eastAsiaTheme="minorEastAsia"/>
          <w:szCs w:val="21"/>
        </w:rPr>
        <w:t>名称：</w:t>
      </w:r>
      <w:r>
        <w:rPr>
          <w:rFonts w:hint="eastAsia" w:asciiTheme="minorEastAsia" w:hAnsiTheme="minorEastAsia" w:eastAsiaTheme="minorEastAsia"/>
          <w:szCs w:val="21"/>
          <w:u w:val="single"/>
        </w:rPr>
        <w:t xml:space="preserve">                </w:t>
      </w:r>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项目编号：</w:t>
      </w:r>
      <w:r>
        <w:rPr>
          <w:rFonts w:hint="eastAsia" w:asciiTheme="minorEastAsia" w:hAnsiTheme="minorEastAsia" w:eastAsiaTheme="minorEastAsia"/>
          <w:szCs w:val="21"/>
          <w:u w:val="single"/>
        </w:rPr>
        <w:t xml:space="preserve">                </w:t>
      </w:r>
    </w:p>
    <w:tbl>
      <w:tblPr>
        <w:tblStyle w:val="50"/>
        <w:tblW w:w="10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244"/>
        <w:gridCol w:w="1748"/>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101"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524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投标人股东构成审查内容</w:t>
            </w:r>
          </w:p>
        </w:tc>
        <w:tc>
          <w:tcPr>
            <w:tcW w:w="1748"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投标人响应情况</w:t>
            </w:r>
          </w:p>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（是或否）</w:t>
            </w:r>
          </w:p>
        </w:tc>
        <w:tc>
          <w:tcPr>
            <w:tcW w:w="2222"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是否存在“与投标供应商单位负责人（法定代表人）为同一人的不同单位”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是否存在“与投标供应商存在管理关系的不同单位”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投标供应商是否有控股的子公司</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股东情况：控股投标供应商的股东名单</w:t>
            </w:r>
          </w:p>
        </w:tc>
        <w:tc>
          <w:tcPr>
            <w:tcW w:w="1748"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2222" w:type="dxa"/>
            <w:vAlign w:val="center"/>
          </w:tcPr>
          <w:p>
            <w:pPr>
              <w:spacing w:line="360" w:lineRule="auto"/>
              <w:jc w:val="center"/>
              <w:rPr>
                <w:rFonts w:asciiTheme="minorEastAsia" w:hAnsiTheme="minorEastAsia" w:eastAsiaTheme="minorEastAsia"/>
                <w:szCs w:val="21"/>
              </w:rPr>
            </w:pPr>
          </w:p>
        </w:tc>
      </w:tr>
    </w:tbl>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注：</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1、响应情况为“是”，需在“名单”栏中提供相应的单位、子公司和股东的名单；响应情况为“否”，在“名单”栏填写“无”；第4项“股东情况”无需填写响应情况，仅需列明股东名单即可（如有）。</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2、管理关系是指：投标供应商与特定企业之间因通过间接控股、投资关系、协议或者其他安排，存在实际管理关系。</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spacing w:line="360" w:lineRule="auto"/>
        <w:rPr>
          <w:rFonts w:ascii="仿宋_GB2312" w:eastAsia="仿宋_GB2312" w:hAnsiTheme="minorEastAsia"/>
          <w:b/>
          <w:color w:val="FF0000"/>
          <w:sz w:val="24"/>
        </w:rPr>
      </w:pPr>
      <w:r>
        <w:rPr>
          <w:rFonts w:hint="eastAsia" w:ascii="仿宋_GB2312" w:eastAsia="仿宋_GB2312" w:hAnsiTheme="minorEastAsia"/>
          <w:b/>
          <w:color w:val="FF0000"/>
          <w:sz w:val="24"/>
        </w:rPr>
        <w:t>根据《中华人民共和国政府采购法实施条例》第十八条规定：“单位负责人为同一人或者存在直接控股、管理关系的不同供应商，不得参加同一合同项下的政府采购活动。”</w:t>
      </w:r>
    </w:p>
    <w:p>
      <w:pPr>
        <w:spacing w:line="300" w:lineRule="auto"/>
        <w:rPr>
          <w:rFonts w:asciiTheme="minorEastAsia" w:hAnsiTheme="minorEastAsia" w:eastAsiaTheme="minorEastAsia"/>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投标单位：（盖章）</w:t>
      </w: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授权代表或法定代表人：（签字）</w:t>
      </w:r>
    </w:p>
    <w:p>
      <w:pPr>
        <w:spacing w:line="360" w:lineRule="auto"/>
        <w:ind w:firstLine="600"/>
        <w:jc w:val="right"/>
        <w:rPr>
          <w:b/>
          <w:snapToGrid w:val="0"/>
          <w:sz w:val="32"/>
          <w:szCs w:val="32"/>
        </w:rPr>
      </w:pPr>
      <w:r>
        <w:rPr>
          <w:rFonts w:hint="eastAsia" w:asciiTheme="minorEastAsia" w:hAnsiTheme="minorEastAsia" w:eastAsiaTheme="minorEastAsia"/>
          <w:szCs w:val="21"/>
        </w:rPr>
        <w:t>年     月    日</w:t>
      </w:r>
      <w:r>
        <w:rPr>
          <w:b/>
          <w:snapToGrid w:val="0"/>
          <w:sz w:val="32"/>
          <w:szCs w:val="32"/>
        </w:rPr>
        <w:br w:type="page"/>
      </w:r>
    </w:p>
    <w:p>
      <w:pPr>
        <w:adjustRightInd w:val="0"/>
        <w:snapToGrid w:val="0"/>
        <w:spacing w:line="300" w:lineRule="auto"/>
        <w:jc w:val="center"/>
        <w:rPr>
          <w:b/>
          <w:snapToGrid w:val="0"/>
          <w:sz w:val="32"/>
          <w:szCs w:val="32"/>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法定代表人证明书及授权委托书</w:t>
      </w:r>
    </w:p>
    <w:p>
      <w:pPr>
        <w:adjustRightInd w:val="0"/>
        <w:snapToGrid w:val="0"/>
        <w:spacing w:line="300" w:lineRule="auto"/>
        <w:jc w:val="center"/>
        <w:rPr>
          <w:b/>
          <w:snapToGrid w:val="0"/>
          <w:sz w:val="32"/>
          <w:szCs w:val="32"/>
        </w:rPr>
      </w:pPr>
    </w:p>
    <w:p>
      <w:pPr>
        <w:tabs>
          <w:tab w:val="left" w:pos="450"/>
        </w:tabs>
        <w:jc w:val="center"/>
        <w:rPr>
          <w:rFonts w:ascii="宋体" w:hAnsi="宋体"/>
          <w:b/>
          <w:sz w:val="28"/>
          <w:szCs w:val="28"/>
        </w:rPr>
      </w:pPr>
      <w:r>
        <w:rPr>
          <w:rFonts w:hint="eastAsia" w:ascii="宋体" w:hAnsi="宋体"/>
          <w:b/>
          <w:sz w:val="28"/>
          <w:szCs w:val="28"/>
        </w:rPr>
        <w:t>法定代表人证明书（参考）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Rectangle 5" o:spid="_x0000_s1048" o:spt="1" style="position:absolute;left:0pt;margin-left:250.65pt;margin-top:10.75pt;height:156pt;width:243pt;z-index:251678720;mso-width-relative:page;mso-height-relative:page;" coordsize="21600,21600">
            <v:path/>
            <v:fill focussize="0,0"/>
            <v:stroke/>
            <v:imagedata o:title=""/>
            <o:lock v:ext="edit"/>
            <v:textbo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Rectangle 4" o:spid="_x0000_s1047" o:spt="1" style="position:absolute;left:0pt;margin-left:-11.85pt;margin-top:10.75pt;height:156pt;width:243pt;z-index:251677696;mso-width-relative:page;mso-height-relative:page;" coordsize="21600,21600">
            <v:path/>
            <v:fill focussize="0,0"/>
            <v:stroke/>
            <v:imagedata o:title=""/>
            <o:lock v:ext="edit"/>
            <v:textbo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法定代表人授权委托证明书（参考）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法定代表人：（签字）</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7" w:name="_Toc226217114"/>
      <w:r>
        <w:rPr>
          <w:rFonts w:ascii="宋体"/>
        </w:rPr>
        <w:pict>
          <v:rect id="Rectangle 2" o:spid="_x0000_s1045" o:spt="1" style="position:absolute;left:0pt;margin-left:-10.35pt;margin-top:5.6pt;height:156pt;width:243pt;z-index:251675648;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Rectangle 3" o:spid="_x0000_s1046" o:spt="1" style="position:absolute;left:0pt;margin-left:249.9pt;margin-top:5.6pt;height:156pt;width:243pt;z-index:251676672;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57"/>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pPr>
      <w:r>
        <w:rPr>
          <w:rFonts w:hint="eastAsia" w:asciiTheme="majorEastAsia" w:hAnsiTheme="majorEastAsia" w:eastAsiaTheme="majorEastAsia"/>
          <w:b/>
          <w:sz w:val="24"/>
        </w:rPr>
        <w:t>注：法定代表人证明书和法定代表人授权委托证明书除装订于投标文件中外，还须另置一份按“投标人须知”18.4项要求单独密封。</w:t>
      </w:r>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w:t>
      </w:r>
      <w:r>
        <w:rPr>
          <w:rFonts w:asciiTheme="minorEastAsia" w:hAnsiTheme="minorEastAsia" w:eastAsiaTheme="minorEastAsia"/>
          <w:sz w:val="24"/>
        </w:rPr>
        <w:t xml:space="preserve"> </w:t>
      </w:r>
      <w:r>
        <w:rPr>
          <w:rFonts w:hint="eastAsia" w:asciiTheme="minorEastAsia" w:hAnsiTheme="minorEastAsia" w:eastAsiaTheme="minorEastAsia"/>
          <w:sz w:val="24"/>
        </w:rPr>
        <w:t>标</w:t>
      </w:r>
      <w:r>
        <w:rPr>
          <w:rFonts w:asciiTheme="minorEastAsia" w:hAnsiTheme="minorEastAsia" w:eastAsiaTheme="minorEastAsia"/>
          <w:sz w:val="24"/>
        </w:rPr>
        <w:t xml:space="preserve"> </w:t>
      </w:r>
      <w:r>
        <w:rPr>
          <w:rFonts w:hint="eastAsia" w:asciiTheme="minorEastAsia" w:hAnsiTheme="minorEastAsia" w:eastAsiaTheme="minorEastAsia"/>
          <w:sz w:val="24"/>
        </w:rPr>
        <w:t>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4．我单位愿意提供招标代理机构在招标文件中要求的所有资料，且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6．我单位愿按《中华人民共和国民法典》履行自己的全部责任。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同意中标后向招标代理机构支付招标文件要求数额的中标服务费。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3"/>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p>
    <w:p>
      <w:pPr>
        <w:pStyle w:val="6"/>
        <w:tabs>
          <w:tab w:val="left" w:pos="0"/>
        </w:tabs>
        <w:jc w:val="center"/>
        <w:rPr>
          <w:rFonts w:ascii="宋体" w:hAnsi="宋体" w:eastAsia="宋体"/>
        </w:rPr>
      </w:pPr>
      <w:r>
        <w:rPr>
          <w:rFonts w:hint="eastAsia" w:ascii="宋体" w:hAnsi="宋体" w:eastAsia="宋体"/>
        </w:rPr>
        <w:t>中小企业声明函</w:t>
      </w:r>
    </w:p>
    <w:p>
      <w:pPr>
        <w:pStyle w:val="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pStyle w:val="2"/>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
        <w:spacing w:before="108"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相关规定。如不符合前述相关规定所确定的</w:t>
      </w:r>
      <w:r>
        <w:rPr>
          <w:rFonts w:hint="eastAsia" w:ascii="宋体" w:hAnsi="宋体"/>
          <w:b/>
          <w:szCs w:val="21"/>
        </w:rPr>
        <w:t>小型和微型企业</w:t>
      </w:r>
      <w:r>
        <w:rPr>
          <w:rFonts w:hint="eastAsia" w:ascii="宋体" w:hAnsi="宋体"/>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pStyle w:val="6"/>
        <w:tabs>
          <w:tab w:val="left" w:pos="0"/>
        </w:tabs>
        <w:jc w:val="center"/>
        <w:rPr>
          <w:rFonts w:ascii="宋体" w:hAnsi="宋体" w:eastAsia="宋体"/>
        </w:rPr>
      </w:pPr>
      <w:r>
        <w:rPr>
          <w:rFonts w:hint="eastAsia" w:ascii="宋体" w:hAnsi="宋体" w:eastAsia="宋体"/>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pStyle w:val="6"/>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pStyle w:val="6"/>
        <w:tabs>
          <w:tab w:val="left" w:pos="0"/>
        </w:tabs>
        <w:jc w:val="center"/>
        <w:rPr>
          <w:rFonts w:ascii="宋体" w:hAnsi="宋体" w:eastAsia="宋体"/>
        </w:rPr>
      </w:pPr>
      <w:r>
        <w:rPr>
          <w:rFonts w:hint="eastAsia" w:ascii="宋体" w:hAnsi="宋体" w:eastAsia="宋体"/>
        </w:rPr>
        <w:t>列入政府优先采购清单的投标产品一览表</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989"/>
        <w:gridCol w:w="1080"/>
        <w:gridCol w:w="1464"/>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vAlign w:val="center"/>
          </w:tcPr>
          <w:p>
            <w:pP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4"/>
          </w:tcPr>
          <w:p>
            <w:pPr>
              <w:jc w:val="center"/>
              <w:rPr>
                <w:b/>
                <w:szCs w:val="21"/>
              </w:rPr>
            </w:pPr>
            <w:r>
              <w:rPr>
                <w:rFonts w:hint="eastAsia"/>
                <w:b/>
                <w:szCs w:val="21"/>
              </w:rPr>
              <w:t>该投标产品报价及占投标总价的比例</w:t>
            </w:r>
          </w:p>
        </w:tc>
        <w:tc>
          <w:tcPr>
            <w:tcW w:w="1503" w:type="dxa"/>
            <w:vMerge w:val="restart"/>
            <w:vAlign w:val="center"/>
          </w:tcPr>
          <w:p>
            <w:pPr>
              <w:rPr>
                <w:b/>
                <w:szCs w:val="21"/>
              </w:rPr>
            </w:pPr>
            <w:r>
              <w:rPr>
                <w:rFonts w:hint="eastAsia"/>
                <w:b/>
                <w:szCs w:val="21"/>
              </w:rPr>
              <w:t>属于优先采购清单的类别</w:t>
            </w:r>
          </w:p>
        </w:tc>
        <w:tc>
          <w:tcPr>
            <w:tcW w:w="720" w:type="dxa"/>
            <w:vMerge w:val="restart"/>
            <w:vAlign w:val="center"/>
          </w:tcPr>
          <w:p>
            <w:pP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989" w:type="dxa"/>
            <w:vAlign w:val="center"/>
          </w:tcPr>
          <w:p>
            <w:pPr>
              <w:rPr>
                <w:szCs w:val="21"/>
              </w:rPr>
            </w:pPr>
            <w:r>
              <w:rPr>
                <w:rFonts w:hint="eastAsia"/>
                <w:szCs w:val="21"/>
              </w:rPr>
              <w:t>投标单价（元）</w:t>
            </w:r>
          </w:p>
        </w:tc>
        <w:tc>
          <w:tcPr>
            <w:tcW w:w="1080" w:type="dxa"/>
            <w:vAlign w:val="center"/>
          </w:tcPr>
          <w:p>
            <w:pPr>
              <w:rPr>
                <w:szCs w:val="21"/>
              </w:rPr>
            </w:pPr>
            <w:r>
              <w:rPr>
                <w:rFonts w:hint="eastAsia"/>
                <w:szCs w:val="21"/>
              </w:rPr>
              <w:t>投标合计报价（元）</w:t>
            </w:r>
          </w:p>
        </w:tc>
        <w:tc>
          <w:tcPr>
            <w:tcW w:w="1464" w:type="dxa"/>
            <w:vAlign w:val="center"/>
          </w:tcPr>
          <w:p>
            <w:pPr>
              <w:rPr>
                <w:szCs w:val="21"/>
              </w:rPr>
            </w:pPr>
            <w:r>
              <w:rPr>
                <w:rFonts w:hint="eastAsia"/>
                <w:szCs w:val="21"/>
              </w:rPr>
              <w:t>占投标总价的比例（%）</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1</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2</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szCs w:val="21"/>
        </w:rPr>
        <w:t>投标人的投标产品若不属于招标文件第四章“政府采购</w:t>
      </w:r>
      <w:r>
        <w:rPr>
          <w:rFonts w:hint="eastAsia"/>
          <w:bCs/>
          <w:szCs w:val="21"/>
        </w:rPr>
        <w:t>优惠政策”</w:t>
      </w:r>
      <w:r>
        <w:rPr>
          <w:rFonts w:hint="eastAsia"/>
          <w:szCs w:val="21"/>
        </w:rPr>
        <w:t>中所述清单或目录范围内，则无需填写该表。</w:t>
      </w:r>
    </w:p>
    <w:p>
      <w:pPr>
        <w:spacing w:line="360" w:lineRule="auto"/>
        <w:rPr>
          <w:rFonts w:ascii="宋体" w:hAnsi="宋体"/>
          <w:szCs w:val="21"/>
        </w:rPr>
      </w:pPr>
      <w:r>
        <w:rPr>
          <w:rFonts w:hint="eastAsia" w:ascii="宋体" w:hAnsi="宋体"/>
          <w:szCs w:val="21"/>
        </w:rPr>
        <w:t>2. “该投标产品报价及占投标总价的比例”栏中须准确填报该投标产品的投标单价、数量、投标合计报价及占</w:t>
      </w:r>
      <w:r>
        <w:rPr>
          <w:rFonts w:hint="eastAsia"/>
          <w:szCs w:val="21"/>
        </w:rPr>
        <w:t>投标总</w:t>
      </w:r>
      <w:r>
        <w:rPr>
          <w:rFonts w:hint="eastAsia" w:ascii="宋体" w:hAnsi="宋体"/>
          <w:szCs w:val="21"/>
        </w:rPr>
        <w:t>价的比例。</w:t>
      </w:r>
    </w:p>
    <w:p>
      <w:pPr>
        <w:spacing w:line="360" w:lineRule="auto"/>
        <w:rPr>
          <w:rFonts w:ascii="宋体" w:hAnsi="宋体"/>
          <w:szCs w:val="21"/>
        </w:rPr>
      </w:pPr>
      <w:r>
        <w:rPr>
          <w:rFonts w:hint="eastAsia" w:ascii="宋体" w:hAnsi="宋体"/>
          <w:szCs w:val="21"/>
        </w:rPr>
        <w:t>3. “属于优先采购清单的类别”栏中填写“《节能产品政府采购品目清单》”、“《环境标志产品政府采购品目清单》”（以</w:t>
      </w:r>
      <w:r>
        <w:rPr>
          <w:rFonts w:hint="eastAsia" w:ascii="宋体" w:hAnsi="宋体"/>
          <w:bCs/>
          <w:szCs w:val="21"/>
        </w:rPr>
        <w:t>中国政府采购网（http://www.ccgp.gov.cn/）最新一期查询结果为准</w:t>
      </w:r>
      <w:r>
        <w:rPr>
          <w:rFonts w:hint="eastAsia" w:ascii="宋体" w:hAnsi="宋体"/>
          <w:szCs w:val="21"/>
        </w:rPr>
        <w:t>）。</w:t>
      </w:r>
    </w:p>
    <w:p>
      <w:pPr>
        <w:spacing w:line="360" w:lineRule="auto"/>
        <w:jc w:val="left"/>
      </w:pPr>
      <w:r>
        <w:rPr>
          <w:rFonts w:hint="eastAsia" w:ascii="宋体" w:hAnsi="宋体"/>
          <w:b/>
          <w:szCs w:val="21"/>
        </w:rPr>
        <w:t>4. 对上表所列</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r>
        <w:t xml:space="preserve">                                       </w:t>
      </w:r>
      <w:r>
        <w:rPr>
          <w:b/>
          <w:bCs/>
        </w:rPr>
        <w:t xml:space="preserve">  </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left"/>
      </w:pPr>
    </w:p>
    <w:p>
      <w:pPr>
        <w:adjustRightInd w:val="0"/>
        <w:snapToGrid w:val="0"/>
        <w:spacing w:line="360" w:lineRule="auto"/>
        <w:ind w:firstLine="600"/>
        <w:jc w:val="left"/>
      </w:pPr>
    </w:p>
    <w:p>
      <w:pPr>
        <w:widowControl/>
        <w:jc w:val="left"/>
      </w:pPr>
      <w:r>
        <w:br w:type="page"/>
      </w:r>
    </w:p>
    <w:p>
      <w:pPr>
        <w:adjustRightInd w:val="0"/>
        <w:snapToGrid w:val="0"/>
        <w:spacing w:line="360" w:lineRule="auto"/>
        <w:ind w:firstLine="600"/>
        <w:jc w:val="left"/>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8" w:name="_Toc44690433"/>
      <w:bookmarkStart w:id="59" w:name="_Toc44691165"/>
      <w:bookmarkStart w:id="60" w:name="_Toc44690706"/>
      <w:bookmarkStart w:id="61" w:name="_Toc44691397"/>
      <w:r>
        <w:rPr>
          <w:rFonts w:hint="eastAsia" w:asciiTheme="minorEastAsia" w:hAnsiTheme="minorEastAsia" w:eastAsiaTheme="minorEastAsia"/>
          <w:sz w:val="24"/>
        </w:rPr>
        <w:t>格式5  开标一览表</w:t>
      </w:r>
      <w:bookmarkEnd w:id="58"/>
      <w:bookmarkEnd w:id="59"/>
      <w:bookmarkEnd w:id="60"/>
      <w:bookmarkEnd w:id="61"/>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4999"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0"/>
        <w:gridCol w:w="3285"/>
        <w:gridCol w:w="250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060" w:type="pct"/>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1667" w:type="pct"/>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r>
              <w:rPr>
                <w:rFonts w:hint="eastAsia"/>
                <w:snapToGrid w:val="0"/>
                <w:kern w:val="0"/>
              </w:rPr>
              <w:br w:type="textWrapping"/>
            </w:r>
            <w:r>
              <w:rPr>
                <w:snapToGrid w:val="0"/>
                <w:kern w:val="0"/>
              </w:rPr>
              <w:t>（人民币元）</w:t>
            </w:r>
          </w:p>
        </w:tc>
        <w:tc>
          <w:tcPr>
            <w:tcW w:w="1272" w:type="pct"/>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2060" w:type="pct"/>
            <w:tcBorders>
              <w:top w:val="single" w:color="auto" w:sz="4" w:space="0"/>
            </w:tcBorders>
            <w:vAlign w:val="center"/>
          </w:tcPr>
          <w:p>
            <w:pPr>
              <w:adjustRightInd w:val="0"/>
              <w:snapToGrid w:val="0"/>
              <w:spacing w:line="360" w:lineRule="auto"/>
              <w:jc w:val="center"/>
            </w:pPr>
            <w:r>
              <w:rPr>
                <w:rFonts w:hint="eastAsia"/>
              </w:rPr>
              <w:t>双通道纯音听力计采购项目</w:t>
            </w:r>
          </w:p>
        </w:tc>
        <w:tc>
          <w:tcPr>
            <w:tcW w:w="1667" w:type="pct"/>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r>
              <w:rPr>
                <w:rFonts w:hint="eastAsia"/>
                <w:snapToGrid w:val="0"/>
                <w:kern w:val="0"/>
                <w:u w:val="single"/>
              </w:rPr>
              <w:br w:type="textWrapping"/>
            </w:r>
            <w:r>
              <w:rPr>
                <w:snapToGrid w:val="0"/>
                <w:kern w:val="0"/>
              </w:rPr>
              <w:t>小写：</w:t>
            </w:r>
            <w:r>
              <w:rPr>
                <w:snapToGrid w:val="0"/>
                <w:kern w:val="0"/>
                <w:u w:val="single"/>
              </w:rPr>
              <w:t xml:space="preserve">                   </w:t>
            </w:r>
            <w:r>
              <w:rPr>
                <w:rFonts w:hint="eastAsia"/>
                <w:snapToGrid w:val="0"/>
                <w:kern w:val="0"/>
                <w:u w:val="single"/>
              </w:rPr>
              <w:t xml:space="preserve">             </w:t>
            </w:r>
          </w:p>
        </w:tc>
        <w:tc>
          <w:tcPr>
            <w:tcW w:w="1272" w:type="pct"/>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bCs/>
        </w:rPr>
        <w:t>投标</w:t>
      </w:r>
      <w:r>
        <w:rPr>
          <w:rFonts w:hint="eastAsia"/>
          <w:snapToGrid w:val="0"/>
          <w:kern w:val="0"/>
        </w:rPr>
        <w:t>总</w:t>
      </w:r>
      <w:r>
        <w:rPr>
          <w:rFonts w:hint="eastAsia" w:ascii="宋体" w:hAnsi="宋体"/>
          <w:bCs/>
        </w:rPr>
        <w:t>价必须是完成该项目的一切费用总和，包括设备费、运输费、装卸费、安装费、调试费、</w:t>
      </w:r>
      <w:r>
        <w:rPr>
          <w:rFonts w:hint="eastAsia"/>
        </w:rPr>
        <w:t>接口费、</w:t>
      </w:r>
      <w:r>
        <w:rPr>
          <w:rFonts w:hint="eastAsia" w:ascii="宋体" w:hAnsi="宋体"/>
          <w:bCs/>
        </w:rPr>
        <w:t>保险费、技术培训费、售后服务费、国家规定的各项税费等全部费用。</w:t>
      </w:r>
    </w:p>
    <w:p>
      <w:pPr>
        <w:adjustRightInd w:val="0"/>
        <w:spacing w:line="312" w:lineRule="auto"/>
        <w:ind w:left="2" w:firstLine="424" w:firstLineChars="202"/>
        <w:rPr>
          <w:rFonts w:ascii="宋体" w:hAnsi="宋体"/>
          <w:bCs/>
        </w:rPr>
      </w:pPr>
      <w:r>
        <w:rPr>
          <w:rFonts w:hint="eastAsia" w:ascii="宋体" w:hAnsi="宋体"/>
          <w:szCs w:val="21"/>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8"/>
        <w:adjustRightInd w:val="0"/>
        <w:snapToGrid w:val="0"/>
        <w:spacing w:line="312" w:lineRule="auto"/>
        <w:jc w:val="center"/>
        <w:rPr>
          <w:rFonts w:ascii="Times New Roman" w:hAnsi="Times New Roman"/>
          <w:b/>
          <w:sz w:val="28"/>
        </w:rPr>
      </w:pPr>
    </w:p>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2" w:name="_Toc44690434"/>
      <w:bookmarkStart w:id="63" w:name="_Toc44690707"/>
      <w:bookmarkStart w:id="64" w:name="_Toc44691166"/>
      <w:bookmarkStart w:id="65" w:name="_Toc44691398"/>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格式6  报价表</w:t>
      </w:r>
      <w:bookmarkEnd w:id="62"/>
      <w:bookmarkEnd w:id="63"/>
      <w:bookmarkEnd w:id="64"/>
      <w:bookmarkEnd w:id="65"/>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报价包括</w:t>
      </w:r>
      <w:r>
        <w:rPr>
          <w:rFonts w:hint="eastAsia" w:asciiTheme="minorEastAsia" w:hAnsiTheme="minorEastAsia" w:eastAsiaTheme="minorEastAsia"/>
          <w:bCs/>
        </w:rPr>
        <w:t>设备费、运输费、装卸费、安装费、调试费、</w:t>
      </w:r>
      <w:r>
        <w:rPr>
          <w:rFonts w:hint="eastAsia"/>
        </w:rPr>
        <w:t>接口费、</w:t>
      </w:r>
      <w:r>
        <w:rPr>
          <w:rFonts w:hint="eastAsia" w:asciiTheme="minorEastAsia" w:hAnsiTheme="minorEastAsia" w:eastAsiaTheme="minorEastAsia"/>
          <w:bCs/>
        </w:rPr>
        <w:t>保险费、技术培训费、售后服务费、国家规定的各项税费等全部费用</w:t>
      </w:r>
      <w:r>
        <w:rPr>
          <w:rFonts w:hint="eastAsia" w:asciiTheme="minorEastAsia" w:hAnsiTheme="minorEastAsia" w:eastAsiaTheme="minorEastAsia"/>
          <w:snapToGrid w:val="0"/>
          <w:kern w:val="0"/>
        </w:rPr>
        <w:t>。</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“分项价格表”应将所有设备报价，并分别列出“品牌、型号、产地及制造厂商”。</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1.4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p>
      <w:pPr>
        <w:adjustRightInd w:val="0"/>
        <w:snapToGrid w:val="0"/>
        <w:spacing w:line="300" w:lineRule="auto"/>
        <w:rPr>
          <w:snapToGrid w:val="0"/>
          <w:kern w:val="0"/>
        </w:rPr>
      </w:pPr>
    </w:p>
    <w:p>
      <w:pPr>
        <w:adjustRightInd w:val="0"/>
        <w:snapToGrid w:val="0"/>
        <w:spacing w:line="300" w:lineRule="auto"/>
        <w:jc w:val="center"/>
        <w:rPr>
          <w:rFonts w:asciiTheme="minorEastAsia" w:hAnsiTheme="minorEastAsia" w:eastAsiaTheme="minorEastAsia"/>
          <w:bCs/>
          <w:snapToGrid w:val="0"/>
          <w:kern w:val="0"/>
          <w:sz w:val="24"/>
          <w:u w:val="single"/>
        </w:rPr>
      </w:pPr>
      <w:r>
        <w:rPr>
          <w:rFonts w:hint="eastAsia" w:asciiTheme="minorEastAsia" w:hAnsiTheme="minorEastAsia" w:eastAsiaTheme="minorEastAsia"/>
          <w:snapToGrid w:val="0"/>
          <w:kern w:val="0"/>
          <w:sz w:val="24"/>
        </w:rPr>
        <w:t>（一）</w:t>
      </w:r>
      <w:r>
        <w:rPr>
          <w:rFonts w:hint="eastAsia" w:asciiTheme="minorEastAsia" w:hAnsiTheme="minorEastAsia" w:eastAsiaTheme="minorEastAsia"/>
          <w:bCs/>
          <w:snapToGrid w:val="0"/>
          <w:kern w:val="0"/>
          <w:sz w:val="24"/>
        </w:rPr>
        <w:t>报价总表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bCs/>
          <w:snapToGrid w:val="0"/>
          <w:kern w:val="0"/>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p>
    <w:tbl>
      <w:tblPr>
        <w:tblStyle w:val="50"/>
        <w:tblW w:w="1051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4939"/>
        <w:gridCol w:w="483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序号</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名称</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总价（单位：元）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设备费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运输费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装卸费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安装费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调试费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p>
        </w:tc>
        <w:tc>
          <w:tcPr>
            <w:tcW w:w="4939" w:type="dxa"/>
            <w:vAlign w:val="center"/>
          </w:tcPr>
          <w:p>
            <w:pPr>
              <w:adjustRightInd w:val="0"/>
              <w:snapToGrid w:val="0"/>
              <w:spacing w:line="300" w:lineRule="auto"/>
              <w:jc w:val="center"/>
              <w:rPr>
                <w:rFonts w:asciiTheme="minorEastAsia" w:hAnsiTheme="minorEastAsia" w:eastAsiaTheme="minorEastAsia"/>
                <w:bCs/>
              </w:rPr>
            </w:pPr>
            <w:r>
              <w:rPr>
                <w:rFonts w:hint="eastAsia"/>
              </w:rPr>
              <w:t>接口费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保险费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技术培训费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售后服务费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国家规定的各项税费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其它</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85" w:type="dxa"/>
            <w:gridSpan w:val="2"/>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   计</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bl>
    <w:p>
      <w:pPr>
        <w:rPr>
          <w:rFonts w:asciiTheme="minorEastAsia" w:hAnsiTheme="minorEastAsia" w:eastAsiaTheme="minorEastAsia"/>
          <w:szCs w:val="21"/>
        </w:rPr>
      </w:pPr>
      <w:r>
        <w:rPr>
          <w:rFonts w:hint="eastAsia" w:asciiTheme="minorEastAsia" w:hAnsiTheme="minorEastAsia" w:eastAsiaTheme="minorEastAsia"/>
          <w:szCs w:val="21"/>
        </w:rPr>
        <w:t>备注：1、</w:t>
      </w:r>
      <w:r>
        <w:rPr>
          <w:rFonts w:hint="eastAsia" w:asciiTheme="minorEastAsia" w:hAnsiTheme="minorEastAsia" w:eastAsiaTheme="minorEastAsia"/>
          <w:bCs/>
          <w:szCs w:val="21"/>
        </w:rPr>
        <w:t>本表格仅为指导性范本，供应商可根据项目具体情况对各分项内容进行调整。</w:t>
      </w:r>
    </w:p>
    <w:p>
      <w:pPr>
        <w:adjustRightInd w:val="0"/>
        <w:jc w:val="left"/>
        <w:rPr>
          <w:rFonts w:asciiTheme="minorEastAsia" w:hAnsiTheme="minorEastAsia" w:eastAsiaTheme="minorEastAsia"/>
          <w:snapToGrid w:val="0"/>
          <w:kern w:val="0"/>
          <w:szCs w:val="21"/>
        </w:rPr>
      </w:pPr>
      <w:r>
        <w:rPr>
          <w:rFonts w:hint="eastAsia" w:asciiTheme="minorEastAsia" w:hAnsiTheme="minorEastAsia" w:eastAsiaTheme="minorEastAsia"/>
          <w:szCs w:val="21"/>
        </w:rPr>
        <w:t xml:space="preserve">      2、</w:t>
      </w:r>
      <w:r>
        <w:rPr>
          <w:rFonts w:hint="eastAsia" w:asciiTheme="minorEastAsia" w:hAnsiTheme="minorEastAsia" w:eastAsiaTheme="minorEastAsia"/>
        </w:rPr>
        <w:t>开标一览表中的设备投标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Theme="minorEastAsia" w:hAnsiTheme="minorEastAsia" w:eastAsiaTheme="minorEastAsia"/>
          <w:szCs w:val="21"/>
        </w:rPr>
        <w:t>。</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bCs/>
        </w:rPr>
      </w:pPr>
      <w:r>
        <w:rPr>
          <w:rFonts w:hint="eastAsia" w:asciiTheme="minorEastAsia" w:hAnsiTheme="minorEastAsia" w:eastAsiaTheme="minorEastAsia"/>
          <w:snapToGrid w:val="0"/>
          <w:kern w:val="0"/>
          <w:sz w:val="24"/>
        </w:rPr>
        <w:t>（二）设备</w:t>
      </w:r>
      <w:r>
        <w:rPr>
          <w:rFonts w:asciiTheme="minorEastAsia" w:hAnsiTheme="minorEastAsia" w:eastAsiaTheme="minorEastAsia"/>
          <w:snapToGrid w:val="0"/>
          <w:kern w:val="0"/>
          <w:sz w:val="24"/>
        </w:rPr>
        <w:t>分项价格表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snapToGrid w:val="0"/>
          <w:kern w:val="0"/>
          <w:sz w:val="24"/>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r>
        <w:rPr>
          <w:rFonts w:asciiTheme="minorEastAsia" w:hAnsiTheme="minorEastAsia" w:eastAsiaTheme="minorEastAsia"/>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821"/>
        <w:gridCol w:w="709"/>
        <w:gridCol w:w="851"/>
        <w:gridCol w:w="1417"/>
        <w:gridCol w:w="992"/>
        <w:gridCol w:w="709"/>
        <w:gridCol w:w="873"/>
        <w:gridCol w:w="1276"/>
        <w:gridCol w:w="12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序号</w:t>
            </w:r>
          </w:p>
        </w:tc>
        <w:tc>
          <w:tcPr>
            <w:tcW w:w="182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货物</w:t>
            </w:r>
            <w:r>
              <w:rPr>
                <w:rFonts w:asciiTheme="minorEastAsia" w:hAnsiTheme="minorEastAsia" w:eastAsiaTheme="minorEastAsia"/>
                <w:snapToGrid w:val="0"/>
                <w:kern w:val="0"/>
              </w:rPr>
              <w:t>名称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品牌</w:t>
            </w: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规格/型号</w:t>
            </w: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制造厂商</w:t>
            </w: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原产地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数量</w:t>
            </w: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单价</w:t>
            </w:r>
          </w:p>
        </w:tc>
        <w:tc>
          <w:tcPr>
            <w:tcW w:w="127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w:t>
            </w:r>
            <w:r>
              <w:rPr>
                <w:rFonts w:asciiTheme="minorEastAsia" w:hAnsiTheme="minorEastAsia" w:eastAsiaTheme="minorEastAsia"/>
                <w:snapToGrid w:val="0"/>
                <w:kern w:val="0"/>
              </w:rPr>
              <w:t>价</w:t>
            </w:r>
          </w:p>
        </w:tc>
        <w:tc>
          <w:tcPr>
            <w:tcW w:w="1248" w:type="dxa"/>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是否为进口产品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2</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4</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5</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6</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7</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8</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9</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w:t>
            </w:r>
          </w:p>
        </w:tc>
        <w:tc>
          <w:tcPr>
            <w:tcW w:w="1821" w:type="dxa"/>
            <w:vAlign w:val="center"/>
          </w:tcPr>
          <w:p>
            <w:pPr>
              <w:widowControl/>
              <w:spacing w:line="360" w:lineRule="auto"/>
              <w:jc w:val="center"/>
              <w:rPr>
                <w:rFonts w:cs="Arial"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65" w:type="dxa"/>
            <w:gridSpan w:val="10"/>
            <w:vAlign w:val="center"/>
          </w:tcPr>
          <w:p>
            <w:pPr>
              <w:adjustRightInd w:val="0"/>
              <w:snapToGrid w:val="0"/>
              <w:spacing w:line="300" w:lineRule="auto"/>
              <w:jc w:val="left"/>
              <w:rPr>
                <w:rFonts w:asciiTheme="minorEastAsia" w:hAnsiTheme="minorEastAsia" w:eastAsiaTheme="minorEastAsia"/>
                <w:snapToGrid w:val="0"/>
                <w:kern w:val="0"/>
              </w:rPr>
            </w:pPr>
            <w:r>
              <w:rPr>
                <w:rFonts w:hint="eastAsia" w:asciiTheme="minorEastAsia" w:hAnsiTheme="minorEastAsia" w:eastAsiaTheme="minorEastAsia"/>
                <w:sz w:val="24"/>
              </w:rPr>
              <w:t>总计（即设备投标总价；币种：人民币；单位：元）：</w:t>
            </w:r>
          </w:p>
        </w:tc>
      </w:tr>
    </w:tbl>
    <w:p>
      <w:pPr>
        <w:rPr>
          <w:rFonts w:asciiTheme="minorEastAsia" w:hAnsiTheme="minorEastAsia" w:eastAsiaTheme="minorEastAsia"/>
        </w:rPr>
      </w:pPr>
      <w:r>
        <w:rPr>
          <w:rFonts w:hint="eastAsia" w:asciiTheme="minorEastAsia" w:hAnsiTheme="minorEastAsia" w:eastAsiaTheme="minorEastAsia"/>
          <w:snapToGrid w:val="0"/>
          <w:kern w:val="0"/>
        </w:rPr>
        <w:t>注：</w:t>
      </w:r>
      <w:r>
        <w:rPr>
          <w:rFonts w:hint="eastAsia" w:asciiTheme="minorEastAsia" w:hAnsiTheme="minorEastAsia" w:eastAsiaTheme="minorEastAsia"/>
        </w:rPr>
        <w:t>1. 本表</w:t>
      </w:r>
      <w:r>
        <w:rPr>
          <w:rFonts w:asciiTheme="minorEastAsia" w:hAnsiTheme="minorEastAsia" w:eastAsiaTheme="minorEastAsia"/>
        </w:rPr>
        <w:t>应</w:t>
      </w:r>
      <w:r>
        <w:rPr>
          <w:rFonts w:hint="eastAsia" w:asciiTheme="minorEastAsia" w:hAnsiTheme="minorEastAsia" w:eastAsiaTheme="minorEastAsia"/>
        </w:rPr>
        <w:t>根据</w:t>
      </w:r>
      <w:r>
        <w:rPr>
          <w:rFonts w:hint="eastAsia" w:ascii="宋体" w:hAnsi="宋体" w:cs="Arial"/>
          <w:bCs/>
          <w:szCs w:val="21"/>
        </w:rPr>
        <w:t>招标文件第二章《项目需求》中</w:t>
      </w:r>
      <w:r>
        <w:rPr>
          <w:rFonts w:hint="eastAsia" w:asciiTheme="minorEastAsia" w:hAnsiTheme="minorEastAsia" w:eastAsiaTheme="minorEastAsia"/>
        </w:rPr>
        <w:t>“一、采购范围”的</w:t>
      </w:r>
      <w:r>
        <w:rPr>
          <w:rFonts w:hint="eastAsia" w:asciiTheme="minorEastAsia" w:hAnsiTheme="minorEastAsia" w:eastAsiaTheme="minorEastAsia"/>
          <w:b/>
          <w:szCs w:val="21"/>
        </w:rPr>
        <w:t>“（二）货物清单明细”</w:t>
      </w:r>
      <w:r>
        <w:rPr>
          <w:rFonts w:hint="eastAsia" w:asciiTheme="minorEastAsia" w:hAnsiTheme="minorEastAsia" w:eastAsiaTheme="minorEastAsia"/>
        </w:rPr>
        <w:t>填写</w:t>
      </w:r>
      <w:r>
        <w:rPr>
          <w:rFonts w:asciiTheme="minorEastAsia" w:hAnsiTheme="minorEastAsia" w:eastAsiaTheme="minorEastAsia"/>
        </w:rPr>
        <w:t>，</w:t>
      </w:r>
      <w:r>
        <w:rPr>
          <w:rFonts w:hint="eastAsia" w:asciiTheme="minorEastAsia" w:hAnsiTheme="minorEastAsia" w:eastAsiaTheme="minorEastAsia"/>
          <w:b/>
        </w:rPr>
        <w:t>本表格式不得修改</w:t>
      </w:r>
      <w:r>
        <w:rPr>
          <w:rFonts w:hint="eastAsia" w:asciiTheme="minorEastAsia" w:hAnsiTheme="minorEastAsia" w:eastAsiaTheme="minorEastAsia"/>
        </w:rPr>
        <w:t>（续行除外）。</w:t>
      </w:r>
      <w:r>
        <w:rPr>
          <w:rFonts w:hint="eastAsia" w:asciiTheme="minorEastAsia" w:hAnsiTheme="minorEastAsia" w:eastAsiaTheme="minorEastAsia"/>
          <w:b/>
        </w:rPr>
        <w:t>对于定制类产品，可以不填写品牌、型号等信息，但必须注明“定制”，否则该产品技术参数按负偏离处理</w:t>
      </w:r>
      <w:r>
        <w:rPr>
          <w:rFonts w:asciiTheme="minorEastAsia" w:hAnsiTheme="minorEastAsia" w:eastAsiaTheme="minorEastAsia"/>
          <w:b/>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2、投标人必须对照进口产品的规定明确其投标产品是否为进口产品。</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3、</w:t>
      </w:r>
      <w:r>
        <w:rPr>
          <w:rFonts w:hint="eastAsia"/>
          <w:snapToGrid w:val="0"/>
          <w:kern w:val="0"/>
        </w:rPr>
        <w:t>设备</w:t>
      </w:r>
      <w:r>
        <w:rPr>
          <w:rFonts w:hint="eastAsia" w:asciiTheme="minorEastAsia" w:hAnsiTheme="minorEastAsia" w:eastAsiaTheme="minorEastAsia"/>
        </w:rPr>
        <w:t>投标总价应为以上各分项价格之和；</w:t>
      </w:r>
      <w:r>
        <w:rPr>
          <w:rFonts w:hint="eastAsia"/>
          <w:snapToGrid w:val="0"/>
          <w:kern w:val="0"/>
        </w:rPr>
        <w:t>设备</w:t>
      </w:r>
      <w:r>
        <w:rPr>
          <w:rFonts w:hint="eastAsia" w:asciiTheme="minorEastAsia" w:hAnsiTheme="minorEastAsia" w:eastAsiaTheme="minorEastAsia"/>
        </w:rPr>
        <w:t>投标总价和表中单个采购条目报价均不得超过对应的财政预算限额，否则将导致无效投标。</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4、开标一览表中的</w:t>
      </w:r>
      <w:r>
        <w:rPr>
          <w:rFonts w:hint="eastAsia"/>
          <w:snapToGrid w:val="0"/>
          <w:kern w:val="0"/>
        </w:rPr>
        <w:t>设备</w:t>
      </w:r>
      <w:r>
        <w:rPr>
          <w:rFonts w:hint="eastAsia" w:asciiTheme="minorEastAsia" w:hAnsiTheme="minorEastAsia" w:eastAsiaTheme="minorEastAsia"/>
        </w:rPr>
        <w:t>投标</w:t>
      </w:r>
      <w:r>
        <w:rPr>
          <w:rFonts w:hint="eastAsia"/>
          <w:snapToGrid w:val="0"/>
          <w:kern w:val="0"/>
        </w:rPr>
        <w:t>总</w:t>
      </w:r>
      <w:r>
        <w:rPr>
          <w:rFonts w:hint="eastAsia" w:asciiTheme="minorEastAsia" w:hAnsiTheme="minorEastAsia" w:eastAsiaTheme="minorEastAsia"/>
        </w:rPr>
        <w:t>价应与本表中的</w:t>
      </w:r>
      <w:r>
        <w:rPr>
          <w:rFonts w:hint="eastAsia"/>
          <w:snapToGrid w:val="0"/>
          <w:kern w:val="0"/>
        </w:rPr>
        <w:t>设备</w:t>
      </w:r>
      <w:r>
        <w:rPr>
          <w:rFonts w:hint="eastAsia" w:asciiTheme="minorEastAsia" w:hAnsiTheme="minorEastAsia" w:eastAsiaTheme="minorEastAsia"/>
        </w:rPr>
        <w:t>投标总计金额一致。</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5、“原产地”是指该产品的实际生产加工地，而非品牌总公司所在地。</w:t>
      </w:r>
      <w:r>
        <w:rPr>
          <w:rFonts w:asciiTheme="minorEastAsia" w:hAnsiTheme="minorEastAsia" w:eastAsiaTheme="minorEastAsia"/>
        </w:rPr>
        <w:br w:type="textWrapping"/>
      </w:r>
    </w:p>
    <w:p>
      <w:pPr>
        <w:adjustRightInd w:val="0"/>
        <w:snapToGrid w:val="0"/>
        <w:spacing w:line="300" w:lineRule="auto"/>
        <w:jc w:val="center"/>
        <w:rPr>
          <w:rFonts w:asciiTheme="minorEastAsia" w:hAnsiTheme="minorEastAsia" w:eastAsiaTheme="minorEastAsia"/>
          <w:snapToGrid w:val="0"/>
          <w:kern w:val="0"/>
        </w:rPr>
      </w:pP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（三）</w:t>
      </w:r>
      <w:r>
        <w:rPr>
          <w:rFonts w:ascii="宋体" w:hAnsi="宋体" w:cs="宋体"/>
          <w:color w:val="000000"/>
          <w:kern w:val="0"/>
          <w:sz w:val="24"/>
        </w:rPr>
        <w:t>主要零配件价格表</w:t>
      </w:r>
      <w:r>
        <w:rPr>
          <w:rFonts w:hint="eastAsia" w:ascii="宋体" w:hAnsi="宋体" w:cs="宋体"/>
          <w:color w:val="000000"/>
          <w:kern w:val="0"/>
          <w:sz w:val="24"/>
        </w:rPr>
        <w:t>（该部分报价不包括在投标总价内）</w:t>
      </w:r>
    </w:p>
    <w:tbl>
      <w:tblPr>
        <w:tblStyle w:val="50"/>
        <w:tblpPr w:leftFromText="180" w:rightFromText="180" w:vertAnchor="text" w:horzAnchor="margin" w:tblpXSpec="center" w:tblpY="205"/>
        <w:tblW w:w="9606"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1596"/>
        <w:gridCol w:w="1464"/>
        <w:gridCol w:w="900"/>
        <w:gridCol w:w="720"/>
        <w:gridCol w:w="761"/>
        <w:gridCol w:w="1248"/>
        <w:gridCol w:w="16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1287" w:type="dxa"/>
            <w:tcBorders>
              <w:top w:val="double" w:color="auto" w:sz="4" w:space="0"/>
              <w:left w:val="doub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snapToGrid w:val="0"/>
                <w:kern w:val="0"/>
                <w:szCs w:val="21"/>
              </w:rPr>
            </w:pPr>
            <w:r>
              <w:rPr>
                <w:rFonts w:hint="eastAsia" w:ascii="宋体" w:hAnsi="宋体"/>
                <w:snapToGrid w:val="0"/>
                <w:kern w:val="0"/>
                <w:szCs w:val="21"/>
              </w:rPr>
              <w:t>序号</w:t>
            </w:r>
          </w:p>
        </w:tc>
        <w:tc>
          <w:tcPr>
            <w:tcW w:w="1596" w:type="dxa"/>
            <w:tcBorders>
              <w:top w:val="doub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snapToGrid w:val="0"/>
                <w:kern w:val="0"/>
                <w:szCs w:val="21"/>
              </w:rPr>
            </w:pPr>
            <w:r>
              <w:rPr>
                <w:rFonts w:hint="eastAsia" w:ascii="宋体" w:hAnsi="宋体"/>
                <w:snapToGrid w:val="0"/>
                <w:kern w:val="0"/>
                <w:szCs w:val="21"/>
              </w:rPr>
              <w:t>零配件名称</w:t>
            </w:r>
          </w:p>
        </w:tc>
        <w:tc>
          <w:tcPr>
            <w:tcW w:w="1464" w:type="dxa"/>
            <w:tcBorders>
              <w:top w:val="doub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snapToGrid w:val="0"/>
                <w:kern w:val="0"/>
                <w:szCs w:val="21"/>
              </w:rPr>
            </w:pPr>
            <w:r>
              <w:rPr>
                <w:rFonts w:hint="eastAsia" w:ascii="宋体" w:hAnsi="宋体"/>
                <w:snapToGrid w:val="0"/>
                <w:kern w:val="0"/>
                <w:szCs w:val="21"/>
              </w:rPr>
              <w:t>规格及型号</w:t>
            </w:r>
          </w:p>
        </w:tc>
        <w:tc>
          <w:tcPr>
            <w:tcW w:w="900" w:type="dxa"/>
            <w:tcBorders>
              <w:top w:val="doub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snapToGrid w:val="0"/>
                <w:kern w:val="0"/>
                <w:szCs w:val="21"/>
              </w:rPr>
            </w:pPr>
            <w:r>
              <w:rPr>
                <w:rFonts w:hint="eastAsia" w:ascii="宋体" w:hAnsi="宋体"/>
                <w:snapToGrid w:val="0"/>
                <w:kern w:val="0"/>
                <w:szCs w:val="21"/>
              </w:rPr>
              <w:t>品牌</w:t>
            </w:r>
          </w:p>
        </w:tc>
        <w:tc>
          <w:tcPr>
            <w:tcW w:w="720" w:type="dxa"/>
            <w:tcBorders>
              <w:top w:val="doub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snapToGrid w:val="0"/>
                <w:kern w:val="0"/>
                <w:szCs w:val="21"/>
              </w:rPr>
            </w:pPr>
            <w:r>
              <w:rPr>
                <w:rFonts w:hint="eastAsia" w:ascii="宋体" w:hAnsi="宋体"/>
                <w:snapToGrid w:val="0"/>
                <w:kern w:val="0"/>
                <w:szCs w:val="21"/>
              </w:rPr>
              <w:t>产地</w:t>
            </w:r>
          </w:p>
        </w:tc>
        <w:tc>
          <w:tcPr>
            <w:tcW w:w="761" w:type="dxa"/>
            <w:tcBorders>
              <w:top w:val="doub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snapToGrid w:val="0"/>
                <w:kern w:val="0"/>
                <w:szCs w:val="21"/>
              </w:rPr>
            </w:pPr>
            <w:r>
              <w:rPr>
                <w:rFonts w:hint="eastAsia" w:ascii="宋体" w:hAnsi="宋体"/>
                <w:snapToGrid w:val="0"/>
                <w:kern w:val="0"/>
                <w:szCs w:val="21"/>
              </w:rPr>
              <w:t>单位</w:t>
            </w:r>
          </w:p>
        </w:tc>
        <w:tc>
          <w:tcPr>
            <w:tcW w:w="1248" w:type="dxa"/>
            <w:tcBorders>
              <w:top w:val="doub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snapToGrid w:val="0"/>
                <w:kern w:val="0"/>
                <w:szCs w:val="21"/>
              </w:rPr>
            </w:pPr>
            <w:r>
              <w:rPr>
                <w:rFonts w:hint="eastAsia" w:ascii="宋体" w:hAnsi="宋体"/>
                <w:snapToGrid w:val="0"/>
                <w:kern w:val="0"/>
                <w:szCs w:val="21"/>
              </w:rPr>
              <w:t>折扣率</w:t>
            </w:r>
          </w:p>
        </w:tc>
        <w:tc>
          <w:tcPr>
            <w:tcW w:w="1630" w:type="dxa"/>
            <w:tcBorders>
              <w:top w:val="double" w:color="auto" w:sz="4" w:space="0"/>
              <w:left w:val="single" w:color="auto" w:sz="4" w:space="0"/>
              <w:bottom w:val="single" w:color="auto" w:sz="4" w:space="0"/>
              <w:right w:val="double" w:color="auto" w:sz="4" w:space="0"/>
            </w:tcBorders>
          </w:tcPr>
          <w:p>
            <w:pPr>
              <w:adjustRightInd w:val="0"/>
              <w:snapToGrid w:val="0"/>
              <w:spacing w:line="300" w:lineRule="auto"/>
              <w:jc w:val="center"/>
              <w:rPr>
                <w:rFonts w:ascii="宋体" w:hAnsi="宋体"/>
                <w:snapToGrid w:val="0"/>
                <w:kern w:val="0"/>
                <w:szCs w:val="21"/>
              </w:rPr>
            </w:pPr>
            <w:r>
              <w:rPr>
                <w:rFonts w:hint="eastAsia" w:ascii="宋体" w:hAnsi="宋体"/>
                <w:snapToGrid w:val="0"/>
                <w:kern w:val="0"/>
                <w:szCs w:val="21"/>
              </w:rPr>
              <w:t>专用/通用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1287"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snapToGrid w:val="0"/>
                <w:kern w:val="0"/>
                <w:szCs w:val="21"/>
              </w:rPr>
            </w:pPr>
          </w:p>
        </w:tc>
        <w:tc>
          <w:tcPr>
            <w:tcW w:w="1596"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ascii="宋体" w:hAnsi="宋体"/>
                <w:snapToGrid w:val="0"/>
                <w:kern w:val="0"/>
                <w:szCs w:val="21"/>
              </w:rPr>
            </w:pPr>
          </w:p>
        </w:tc>
        <w:tc>
          <w:tcPr>
            <w:tcW w:w="1464"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ascii="宋体" w:hAnsi="宋体"/>
                <w:snapToGrid w:val="0"/>
                <w:kern w:val="0"/>
                <w:szCs w:val="21"/>
              </w:rPr>
            </w:pPr>
          </w:p>
        </w:tc>
        <w:tc>
          <w:tcPr>
            <w:tcW w:w="90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ascii="宋体" w:hAnsi="宋体"/>
                <w:snapToGrid w:val="0"/>
                <w:kern w:val="0"/>
                <w:szCs w:val="21"/>
              </w:rPr>
            </w:pP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ascii="宋体" w:hAnsi="宋体"/>
                <w:snapToGrid w:val="0"/>
                <w:kern w:val="0"/>
                <w:szCs w:val="21"/>
              </w:rPr>
            </w:pPr>
          </w:p>
        </w:tc>
        <w:tc>
          <w:tcPr>
            <w:tcW w:w="7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snapToGrid w:val="0"/>
                <w:kern w:val="0"/>
                <w:szCs w:val="21"/>
              </w:rPr>
            </w:pPr>
          </w:p>
        </w:tc>
        <w:tc>
          <w:tcPr>
            <w:tcW w:w="1248"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ascii="宋体" w:hAnsi="宋体"/>
                <w:snapToGrid w:val="0"/>
                <w:kern w:val="0"/>
                <w:szCs w:val="21"/>
              </w:rPr>
            </w:pPr>
          </w:p>
        </w:tc>
        <w:tc>
          <w:tcPr>
            <w:tcW w:w="1630" w:type="dxa"/>
            <w:tcBorders>
              <w:top w:val="single" w:color="auto" w:sz="4" w:space="0"/>
              <w:left w:val="single" w:color="auto" w:sz="4" w:space="0"/>
              <w:bottom w:val="single" w:color="auto" w:sz="4" w:space="0"/>
              <w:right w:val="double" w:color="auto" w:sz="4" w:space="0"/>
            </w:tcBorders>
          </w:tcPr>
          <w:p>
            <w:pPr>
              <w:adjustRightInd w:val="0"/>
              <w:snapToGrid w:val="0"/>
              <w:spacing w:line="300" w:lineRule="auto"/>
              <w:jc w:val="center"/>
              <w:rPr>
                <w:rFonts w:ascii="宋体" w:hAnsi="宋体"/>
                <w:snapToGrid w:val="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trPr>
        <w:tc>
          <w:tcPr>
            <w:tcW w:w="1287"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snapToGrid w:val="0"/>
                <w:kern w:val="0"/>
                <w:szCs w:val="21"/>
              </w:rPr>
            </w:pPr>
          </w:p>
        </w:tc>
        <w:tc>
          <w:tcPr>
            <w:tcW w:w="1596"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ascii="宋体" w:hAnsi="宋体"/>
                <w:snapToGrid w:val="0"/>
                <w:kern w:val="0"/>
                <w:szCs w:val="21"/>
              </w:rPr>
            </w:pPr>
          </w:p>
        </w:tc>
        <w:tc>
          <w:tcPr>
            <w:tcW w:w="1464"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ascii="宋体" w:hAnsi="宋体"/>
                <w:snapToGrid w:val="0"/>
                <w:kern w:val="0"/>
                <w:szCs w:val="21"/>
              </w:rPr>
            </w:pPr>
          </w:p>
        </w:tc>
        <w:tc>
          <w:tcPr>
            <w:tcW w:w="90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ascii="宋体" w:hAnsi="宋体"/>
                <w:snapToGrid w:val="0"/>
                <w:kern w:val="0"/>
                <w:szCs w:val="21"/>
              </w:rPr>
            </w:pP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ascii="宋体" w:hAnsi="宋体"/>
                <w:snapToGrid w:val="0"/>
                <w:kern w:val="0"/>
                <w:szCs w:val="21"/>
              </w:rPr>
            </w:pPr>
          </w:p>
        </w:tc>
        <w:tc>
          <w:tcPr>
            <w:tcW w:w="7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snapToGrid w:val="0"/>
                <w:kern w:val="0"/>
                <w:szCs w:val="21"/>
              </w:rPr>
            </w:pPr>
          </w:p>
        </w:tc>
        <w:tc>
          <w:tcPr>
            <w:tcW w:w="1248"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ascii="宋体" w:hAnsi="宋体"/>
                <w:snapToGrid w:val="0"/>
                <w:kern w:val="0"/>
                <w:szCs w:val="21"/>
              </w:rPr>
            </w:pPr>
          </w:p>
        </w:tc>
        <w:tc>
          <w:tcPr>
            <w:tcW w:w="1630" w:type="dxa"/>
            <w:tcBorders>
              <w:top w:val="single" w:color="auto" w:sz="4" w:space="0"/>
              <w:left w:val="single" w:color="auto" w:sz="4" w:space="0"/>
              <w:bottom w:val="single" w:color="auto" w:sz="4" w:space="0"/>
              <w:right w:val="double" w:color="auto" w:sz="4" w:space="0"/>
            </w:tcBorders>
          </w:tcPr>
          <w:p>
            <w:pPr>
              <w:adjustRightInd w:val="0"/>
              <w:snapToGrid w:val="0"/>
              <w:spacing w:line="300" w:lineRule="auto"/>
              <w:jc w:val="center"/>
              <w:rPr>
                <w:rFonts w:ascii="宋体" w:hAnsi="宋体"/>
                <w:snapToGrid w:val="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trPr>
        <w:tc>
          <w:tcPr>
            <w:tcW w:w="1287"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snapToGrid w:val="0"/>
                <w:kern w:val="0"/>
                <w:szCs w:val="21"/>
              </w:rPr>
            </w:pPr>
          </w:p>
        </w:tc>
        <w:tc>
          <w:tcPr>
            <w:tcW w:w="1596"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ascii="宋体" w:hAnsi="宋体"/>
                <w:snapToGrid w:val="0"/>
                <w:kern w:val="0"/>
                <w:szCs w:val="21"/>
              </w:rPr>
            </w:pPr>
          </w:p>
        </w:tc>
        <w:tc>
          <w:tcPr>
            <w:tcW w:w="1464"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ascii="宋体" w:hAnsi="宋体"/>
                <w:snapToGrid w:val="0"/>
                <w:kern w:val="0"/>
                <w:szCs w:val="21"/>
              </w:rPr>
            </w:pPr>
          </w:p>
        </w:tc>
        <w:tc>
          <w:tcPr>
            <w:tcW w:w="90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ascii="宋体" w:hAnsi="宋体"/>
                <w:snapToGrid w:val="0"/>
                <w:kern w:val="0"/>
                <w:szCs w:val="21"/>
              </w:rPr>
            </w:pP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ascii="宋体" w:hAnsi="宋体"/>
                <w:snapToGrid w:val="0"/>
                <w:kern w:val="0"/>
                <w:szCs w:val="21"/>
              </w:rPr>
            </w:pPr>
          </w:p>
        </w:tc>
        <w:tc>
          <w:tcPr>
            <w:tcW w:w="7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snapToGrid w:val="0"/>
                <w:kern w:val="0"/>
                <w:szCs w:val="21"/>
              </w:rPr>
            </w:pPr>
          </w:p>
        </w:tc>
        <w:tc>
          <w:tcPr>
            <w:tcW w:w="1248"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ascii="宋体" w:hAnsi="宋体"/>
                <w:snapToGrid w:val="0"/>
                <w:kern w:val="0"/>
                <w:szCs w:val="21"/>
              </w:rPr>
            </w:pPr>
          </w:p>
        </w:tc>
        <w:tc>
          <w:tcPr>
            <w:tcW w:w="1630" w:type="dxa"/>
            <w:tcBorders>
              <w:top w:val="single" w:color="auto" w:sz="4" w:space="0"/>
              <w:left w:val="single" w:color="auto" w:sz="4" w:space="0"/>
              <w:bottom w:val="single" w:color="auto" w:sz="4" w:space="0"/>
              <w:right w:val="double" w:color="auto" w:sz="4" w:space="0"/>
            </w:tcBorders>
          </w:tcPr>
          <w:p>
            <w:pPr>
              <w:adjustRightInd w:val="0"/>
              <w:snapToGrid w:val="0"/>
              <w:spacing w:line="300" w:lineRule="auto"/>
              <w:jc w:val="center"/>
              <w:rPr>
                <w:rFonts w:ascii="宋体" w:hAnsi="宋体"/>
                <w:snapToGrid w:val="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trPr>
        <w:tc>
          <w:tcPr>
            <w:tcW w:w="1287"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snapToGrid w:val="0"/>
                <w:kern w:val="0"/>
                <w:szCs w:val="21"/>
              </w:rPr>
            </w:pPr>
          </w:p>
        </w:tc>
        <w:tc>
          <w:tcPr>
            <w:tcW w:w="1596"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ascii="宋体" w:hAnsi="宋体"/>
                <w:snapToGrid w:val="0"/>
                <w:kern w:val="0"/>
                <w:szCs w:val="21"/>
              </w:rPr>
            </w:pPr>
          </w:p>
        </w:tc>
        <w:tc>
          <w:tcPr>
            <w:tcW w:w="1464"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ascii="宋体" w:hAnsi="宋体"/>
                <w:snapToGrid w:val="0"/>
                <w:kern w:val="0"/>
                <w:szCs w:val="21"/>
              </w:rPr>
            </w:pPr>
          </w:p>
        </w:tc>
        <w:tc>
          <w:tcPr>
            <w:tcW w:w="90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ascii="宋体" w:hAnsi="宋体"/>
                <w:snapToGrid w:val="0"/>
                <w:kern w:val="0"/>
                <w:szCs w:val="21"/>
              </w:rPr>
            </w:pP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ascii="宋体" w:hAnsi="宋体"/>
                <w:snapToGrid w:val="0"/>
                <w:kern w:val="0"/>
                <w:szCs w:val="21"/>
              </w:rPr>
            </w:pPr>
          </w:p>
        </w:tc>
        <w:tc>
          <w:tcPr>
            <w:tcW w:w="7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snapToGrid w:val="0"/>
                <w:kern w:val="0"/>
                <w:szCs w:val="21"/>
              </w:rPr>
            </w:pPr>
          </w:p>
        </w:tc>
        <w:tc>
          <w:tcPr>
            <w:tcW w:w="1248"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ascii="宋体" w:hAnsi="宋体"/>
                <w:snapToGrid w:val="0"/>
                <w:kern w:val="0"/>
                <w:szCs w:val="21"/>
              </w:rPr>
            </w:pPr>
          </w:p>
        </w:tc>
        <w:tc>
          <w:tcPr>
            <w:tcW w:w="1630" w:type="dxa"/>
            <w:tcBorders>
              <w:top w:val="single" w:color="auto" w:sz="4" w:space="0"/>
              <w:left w:val="single" w:color="auto" w:sz="4" w:space="0"/>
              <w:bottom w:val="single" w:color="auto" w:sz="4" w:space="0"/>
              <w:right w:val="double" w:color="auto" w:sz="4" w:space="0"/>
            </w:tcBorders>
          </w:tcPr>
          <w:p>
            <w:pPr>
              <w:adjustRightInd w:val="0"/>
              <w:snapToGrid w:val="0"/>
              <w:spacing w:line="300" w:lineRule="auto"/>
              <w:jc w:val="center"/>
              <w:rPr>
                <w:rFonts w:ascii="宋体" w:hAnsi="宋体"/>
                <w:snapToGrid w:val="0"/>
                <w:kern w:val="0"/>
                <w:szCs w:val="21"/>
              </w:rPr>
            </w:pPr>
          </w:p>
        </w:tc>
      </w:tr>
    </w:tbl>
    <w:p>
      <w:pPr>
        <w:adjustRightInd w:val="0"/>
        <w:snapToGrid w:val="0"/>
        <w:spacing w:line="300" w:lineRule="auto"/>
        <w:rPr>
          <w:snapToGrid w:val="0"/>
          <w:color w:val="000000"/>
          <w:kern w:val="0"/>
        </w:rPr>
      </w:pPr>
    </w:p>
    <w:p>
      <w:pPr>
        <w:adjustRightInd w:val="0"/>
        <w:snapToGrid w:val="0"/>
        <w:spacing w:line="300" w:lineRule="auto"/>
        <w:jc w:val="left"/>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br w:type="textWrapping"/>
      </w:r>
      <w:r>
        <w:rPr>
          <w:rFonts w:hint="eastAsia" w:asciiTheme="minorEastAsia" w:hAnsiTheme="minorEastAsia" w:eastAsiaTheme="minorEastAsia"/>
          <w:snapToGrid w:val="0"/>
          <w:kern w:val="0"/>
        </w:rPr>
        <w:t>（四）</w:t>
      </w:r>
      <w:r>
        <w:rPr>
          <w:rFonts w:hint="eastAsia" w:asciiTheme="minorEastAsia" w:hAnsiTheme="minorEastAsia" w:eastAsiaTheme="minorEastAsia"/>
          <w:bCs/>
          <w:sz w:val="24"/>
        </w:rPr>
        <w:t>供应商认为需要涉及的其他内容报价清单</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6" w:name="_Toc44690435"/>
      <w:bookmarkStart w:id="67" w:name="_Toc44691399"/>
      <w:bookmarkStart w:id="68" w:name="_Toc44690708"/>
      <w:bookmarkStart w:id="69" w:name="_Toc44691167"/>
      <w:r>
        <w:rPr>
          <w:rFonts w:hint="eastAsia" w:asciiTheme="minorEastAsia" w:hAnsiTheme="minorEastAsia" w:eastAsiaTheme="minorEastAsia"/>
          <w:sz w:val="24"/>
        </w:rPr>
        <w:t>格式7  技术规格</w:t>
      </w:r>
      <w:bookmarkEnd w:id="66"/>
      <w:bookmarkEnd w:id="67"/>
      <w:bookmarkEnd w:id="68"/>
      <w:bookmarkEnd w:id="69"/>
    </w:p>
    <w:p>
      <w:pPr>
        <w:pStyle w:val="8"/>
      </w:pPr>
    </w:p>
    <w:p>
      <w:pPr>
        <w:spacing w:line="360" w:lineRule="auto"/>
        <w:ind w:left="420"/>
        <w:rPr>
          <w:rFonts w:ascii="宋体" w:hAnsi="宋体"/>
        </w:rPr>
      </w:pPr>
      <w:r>
        <w:rPr>
          <w:rFonts w:hint="eastAsia" w:ascii="宋体" w:hAnsi="宋体"/>
        </w:rPr>
        <w:t>1、对投标产品的整体描述（包括采用文字、表格等形式）</w:t>
      </w:r>
    </w:p>
    <w:p>
      <w:pPr>
        <w:spacing w:line="360" w:lineRule="auto"/>
        <w:ind w:left="420"/>
        <w:rPr>
          <w:rFonts w:ascii="宋体" w:hAnsi="宋体"/>
        </w:rPr>
      </w:pPr>
      <w:r>
        <w:rPr>
          <w:rFonts w:hint="eastAsia" w:ascii="宋体" w:hAnsi="宋体"/>
        </w:rPr>
        <w:t>2、投标产品采用的技术标准</w:t>
      </w:r>
    </w:p>
    <w:p>
      <w:pPr>
        <w:spacing w:line="360" w:lineRule="auto"/>
        <w:ind w:left="420"/>
        <w:rPr>
          <w:rFonts w:ascii="宋体" w:hAnsi="宋体"/>
        </w:rPr>
      </w:pPr>
      <w:r>
        <w:rPr>
          <w:rFonts w:hint="eastAsia" w:ascii="宋体" w:hAnsi="宋体"/>
        </w:rPr>
        <w:t>3、投标产品的性能特点（包括新技术、新工艺、新材料的应用等）</w:t>
      </w:r>
    </w:p>
    <w:p>
      <w:pPr>
        <w:spacing w:line="360" w:lineRule="auto"/>
        <w:ind w:left="420"/>
        <w:rPr>
          <w:rFonts w:ascii="宋体" w:hAnsi="宋体"/>
        </w:rPr>
      </w:pPr>
      <w:r>
        <w:rPr>
          <w:rFonts w:hint="eastAsia" w:ascii="宋体" w:hAnsi="宋体"/>
        </w:rPr>
        <w:t>4、投标产品的外形尺寸图、成品的彩色图样等</w:t>
      </w:r>
    </w:p>
    <w:p>
      <w:pPr>
        <w:spacing w:line="360" w:lineRule="auto"/>
        <w:ind w:left="420"/>
        <w:rPr>
          <w:rFonts w:ascii="宋体" w:hAnsi="宋体"/>
        </w:rPr>
      </w:pPr>
      <w:r>
        <w:rPr>
          <w:rFonts w:hint="eastAsia" w:ascii="宋体" w:hAnsi="宋体"/>
        </w:rPr>
        <w:t>5、投标产品的说明书等</w:t>
      </w:r>
    </w:p>
    <w:p>
      <w:pPr>
        <w:spacing w:line="360" w:lineRule="auto"/>
        <w:ind w:left="420"/>
        <w:rPr>
          <w:rFonts w:ascii="宋体" w:hAnsi="宋体"/>
        </w:rPr>
      </w:pPr>
      <w:r>
        <w:rPr>
          <w:rFonts w:hint="eastAsia" w:ascii="宋体" w:hAnsi="宋体"/>
        </w:rPr>
        <w:t>6、其它</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widowControl/>
        <w:jc w:val="left"/>
        <w:rPr>
          <w:b/>
          <w:szCs w:val="21"/>
        </w:rPr>
      </w:pPr>
    </w:p>
    <w:p>
      <w:pPr>
        <w:pStyle w:val="28"/>
        <w:adjustRightInd w:val="0"/>
        <w:snapToGrid w:val="0"/>
        <w:spacing w:line="312" w:lineRule="auto"/>
        <w:jc w:val="left"/>
        <w:rPr>
          <w:rFonts w:ascii="Times New Roman" w:hAnsi="Times New Roman"/>
          <w:b/>
          <w:sz w:val="21"/>
          <w:szCs w:val="21"/>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交付进度</w:t>
      </w:r>
    </w:p>
    <w:p/>
    <w:p>
      <w:pPr>
        <w:jc w:val="center"/>
      </w:pPr>
      <w:r>
        <w:t>货物交付进度表</w:t>
      </w:r>
    </w:p>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530"/>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bl>
    <w:p/>
    <w:p/>
    <w:p>
      <w:pPr>
        <w:jc w:val="center"/>
      </w:pPr>
      <w:r>
        <w:t>安装调试进度表</w:t>
      </w:r>
    </w:p>
    <w:p>
      <w:pPr>
        <w:jc w:val="center"/>
      </w:pP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851"/>
        <w:gridCol w:w="12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bl>
    <w:p>
      <w:pPr>
        <w:jc w:val="cente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firstLine="6195" w:firstLineChars="2950"/>
        <w:rPr>
          <w:snapToGrid w:val="0"/>
          <w:kern w:val="0"/>
        </w:rPr>
      </w:pPr>
      <w:r>
        <w:rPr>
          <w:rFonts w:hint="eastAsia"/>
          <w:snapToGrid w:val="0"/>
          <w:kern w:val="0"/>
        </w:rPr>
        <w:t>年       月      日</w:t>
      </w:r>
    </w:p>
    <w:p>
      <w:pPr>
        <w:pStyle w:val="4"/>
        <w:spacing w:before="0"/>
        <w:rPr>
          <w:rFonts w:ascii="宋体" w:hAnsi="宋体"/>
          <w:sz w:val="28"/>
        </w:rPr>
      </w:pPr>
    </w:p>
    <w:p/>
    <w:p/>
    <w:p/>
    <w:p/>
    <w:p/>
    <w:p/>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0" w:name="_Toc44690436"/>
      <w:bookmarkStart w:id="71" w:name="_Toc44691400"/>
      <w:bookmarkStart w:id="72" w:name="_Toc44690709"/>
      <w:bookmarkStart w:id="73" w:name="_Toc44691168"/>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格式9  售后服务和质量承诺</w:t>
      </w:r>
      <w:bookmarkEnd w:id="70"/>
      <w:bookmarkEnd w:id="71"/>
      <w:bookmarkEnd w:id="72"/>
      <w:bookmarkEnd w:id="73"/>
    </w:p>
    <w:p>
      <w:pPr>
        <w:adjustRightInd w:val="0"/>
        <w:snapToGrid w:val="0"/>
        <w:spacing w:line="360" w:lineRule="auto"/>
        <w:rPr>
          <w:rFonts w:ascii="宋体" w:hAnsi="宋体"/>
        </w:rPr>
      </w:pPr>
    </w:p>
    <w:p>
      <w:pPr>
        <w:adjustRightInd w:val="0"/>
        <w:snapToGrid w:val="0"/>
        <w:spacing w:line="360" w:lineRule="auto"/>
        <w:rPr>
          <w:rFonts w:ascii="宋体" w:hAnsi="宋体"/>
        </w:rPr>
      </w:pPr>
      <w:r>
        <w:rPr>
          <w:rFonts w:hint="eastAsia" w:ascii="宋体" w:hAnsi="宋体"/>
        </w:rPr>
        <w:t>1、</w:t>
      </w:r>
      <w:r>
        <w:rPr>
          <w:rFonts w:hint="eastAsia"/>
        </w:rPr>
        <w:t>质保期和保修期服务承诺</w:t>
      </w:r>
    </w:p>
    <w:p>
      <w:pPr>
        <w:adjustRightInd w:val="0"/>
        <w:snapToGrid w:val="0"/>
        <w:spacing w:line="360" w:lineRule="auto"/>
        <w:rPr>
          <w:rFonts w:ascii="宋体" w:hAnsi="宋体"/>
        </w:rPr>
      </w:pPr>
      <w:r>
        <w:rPr>
          <w:rFonts w:hint="eastAsia" w:ascii="宋体" w:hAnsi="宋体"/>
        </w:rPr>
        <w:t>2、</w:t>
      </w:r>
      <w:r>
        <w:rPr>
          <w:rFonts w:hint="eastAsia"/>
        </w:rPr>
        <w:t>售后服务机构及维护人员配置</w:t>
      </w:r>
    </w:p>
    <w:p>
      <w:pPr>
        <w:adjustRightInd w:val="0"/>
        <w:snapToGrid w:val="0"/>
        <w:spacing w:line="360" w:lineRule="auto"/>
        <w:rPr>
          <w:rFonts w:ascii="宋体" w:hAnsi="宋体"/>
        </w:rPr>
      </w:pPr>
      <w:r>
        <w:rPr>
          <w:rFonts w:hint="eastAsia" w:ascii="宋体" w:hAnsi="宋体"/>
        </w:rPr>
        <w:t>3、</w:t>
      </w:r>
      <w:r>
        <w:rPr>
          <w:rFonts w:hint="eastAsia"/>
        </w:rPr>
        <w:t>售后服务应急措施</w:t>
      </w:r>
    </w:p>
    <w:p>
      <w:pPr>
        <w:adjustRightInd w:val="0"/>
        <w:snapToGrid w:val="0"/>
        <w:spacing w:line="360" w:lineRule="auto"/>
        <w:rPr>
          <w:rFonts w:ascii="宋体" w:hAnsi="宋体"/>
        </w:rPr>
      </w:pPr>
      <w:r>
        <w:rPr>
          <w:rFonts w:hint="eastAsia" w:ascii="宋体" w:hAnsi="宋体"/>
        </w:rPr>
        <w:t>4、</w:t>
      </w:r>
      <w:r>
        <w:rPr>
          <w:rFonts w:hint="eastAsia"/>
        </w:rPr>
        <w:t>故障或技术支持响应时间</w:t>
      </w:r>
    </w:p>
    <w:p>
      <w:pPr>
        <w:adjustRightInd w:val="0"/>
        <w:snapToGrid w:val="0"/>
        <w:spacing w:line="360" w:lineRule="auto"/>
        <w:rPr>
          <w:rFonts w:ascii="宋体" w:hAnsi="宋体"/>
        </w:rPr>
      </w:pPr>
      <w:r>
        <w:rPr>
          <w:rFonts w:hint="eastAsia" w:ascii="宋体" w:hAnsi="宋体"/>
        </w:rPr>
        <w:t>5、技术培训计划</w:t>
      </w:r>
    </w:p>
    <w:p>
      <w:pPr>
        <w:adjustRightInd w:val="0"/>
        <w:snapToGrid w:val="0"/>
        <w:spacing w:line="360" w:lineRule="auto"/>
        <w:rPr>
          <w:rFonts w:ascii="宋体" w:hAnsi="宋体"/>
        </w:rPr>
      </w:pPr>
      <w:r>
        <w:rPr>
          <w:rFonts w:hint="eastAsia" w:ascii="宋体" w:hAnsi="宋体"/>
        </w:rPr>
        <w:t>6、备/配件支持计划</w:t>
      </w:r>
    </w:p>
    <w:p>
      <w:pPr>
        <w:adjustRightInd w:val="0"/>
        <w:snapToGrid w:val="0"/>
        <w:spacing w:line="360" w:lineRule="auto"/>
        <w:rPr>
          <w:rFonts w:ascii="宋体" w:hAnsi="宋体"/>
          <w:bCs/>
        </w:rPr>
      </w:pPr>
      <w:r>
        <w:rPr>
          <w:rFonts w:hint="eastAsia" w:ascii="宋体" w:hAnsi="宋体"/>
        </w:rPr>
        <w:t>7、非</w:t>
      </w:r>
      <w:r>
        <w:rPr>
          <w:rFonts w:hint="eastAsia" w:ascii="宋体" w:hAnsi="宋体"/>
          <w:bCs/>
        </w:rPr>
        <w:t>保修期维修费用收取标准</w:t>
      </w:r>
    </w:p>
    <w:p>
      <w:pPr>
        <w:adjustRightInd w:val="0"/>
        <w:snapToGrid w:val="0"/>
        <w:spacing w:line="300" w:lineRule="auto"/>
        <w:rPr>
          <w:rFonts w:ascii="宋体" w:hAnsi="宋体"/>
          <w:bCs/>
        </w:rPr>
      </w:pPr>
      <w:r>
        <w:rPr>
          <w:rFonts w:hint="eastAsia" w:ascii="宋体" w:hAnsi="宋体"/>
          <w:bCs/>
        </w:rPr>
        <w:t>8、其它</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480"/>
        </w:tabs>
        <w:adjustRightInd w:val="0"/>
        <w:snapToGrid w:val="0"/>
        <w:spacing w:line="300" w:lineRule="auto"/>
        <w:rPr>
          <w:snapToGrid w:val="0"/>
          <w:kern w:val="0"/>
        </w:rPr>
      </w:pPr>
      <w:r>
        <w:rPr>
          <w:snapToGrid w:val="0"/>
          <w:kern w:val="0"/>
        </w:rPr>
        <w:tab/>
      </w: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r>
        <w:rPr>
          <w:snapToGrid w:val="0"/>
          <w:kern w:val="0"/>
        </w:rPr>
        <w:br w:type="page"/>
      </w:r>
    </w:p>
    <w:p>
      <w:pPr>
        <w:tabs>
          <w:tab w:val="left" w:pos="1200"/>
        </w:tabs>
        <w:adjustRightInd w:val="0"/>
        <w:snapToGrid w:val="0"/>
        <w:spacing w:line="300" w:lineRule="auto"/>
        <w:rPr>
          <w:snapToGrid w:val="0"/>
          <w:kern w:val="0"/>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4" w:name="q16"/>
      <w:bookmarkEnd w:id="74"/>
      <w:bookmarkStart w:id="75" w:name="q17"/>
      <w:bookmarkEnd w:id="75"/>
      <w:bookmarkStart w:id="76" w:name="_格式3__"/>
      <w:bookmarkEnd w:id="76"/>
      <w:bookmarkStart w:id="77" w:name="q15"/>
      <w:bookmarkEnd w:id="77"/>
      <w:bookmarkStart w:id="78" w:name="_格式2__投标保证金凭证"/>
      <w:bookmarkEnd w:id="78"/>
      <w:bookmarkStart w:id="79" w:name="_格式5__"/>
      <w:bookmarkEnd w:id="79"/>
      <w:bookmarkStart w:id="80" w:name="_格式4__"/>
      <w:bookmarkEnd w:id="80"/>
      <w:r>
        <w:rPr>
          <w:rFonts w:asciiTheme="minorEastAsia" w:hAnsiTheme="minorEastAsia" w:eastAsiaTheme="minorEastAsia"/>
          <w:sz w:val="24"/>
        </w:rPr>
        <w:tab/>
      </w:r>
      <w:bookmarkStart w:id="81" w:name="_Toc44691401"/>
      <w:bookmarkStart w:id="82" w:name="_Toc44691169"/>
      <w:bookmarkStart w:id="83" w:name="_Toc44690437"/>
      <w:bookmarkStart w:id="84" w:name="_Toc44690710"/>
      <w:r>
        <w:rPr>
          <w:rFonts w:hint="eastAsia" w:asciiTheme="minorEastAsia" w:hAnsiTheme="minorEastAsia" w:eastAsiaTheme="minorEastAsia"/>
          <w:sz w:val="24"/>
        </w:rPr>
        <w:t>格式10  投标人资格声明</w:t>
      </w:r>
      <w:bookmarkEnd w:id="81"/>
      <w:bookmarkEnd w:id="82"/>
      <w:bookmarkEnd w:id="83"/>
      <w:bookmarkEnd w:id="84"/>
    </w:p>
    <w:p>
      <w:pPr>
        <w:snapToGrid w:val="0"/>
        <w:spacing w:line="300" w:lineRule="auto"/>
        <w:rPr>
          <w:rFonts w:ascii="宋体" w:hAnsi="宋体"/>
        </w:rPr>
      </w:pPr>
    </w:p>
    <w:p>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hint="eastAsia" w:ascii="宋体" w:hAnsi="宋体"/>
          <w:bCs/>
          <w:snapToGrid w:val="0"/>
          <w:kern w:val="0"/>
        </w:rPr>
        <w:t>；</w:t>
      </w:r>
    </w:p>
    <w:p>
      <w:pPr>
        <w:adjustRightInd w:val="0"/>
        <w:snapToGrid w:val="0"/>
        <w:spacing w:line="360" w:lineRule="auto"/>
        <w:rPr>
          <w:rFonts w:ascii="宋体" w:hAnsi="宋体"/>
          <w:bCs/>
          <w:snapToGrid w:val="0"/>
          <w:kern w:val="0"/>
        </w:rPr>
      </w:pPr>
      <w:r>
        <w:rPr>
          <w:rFonts w:hint="eastAsia" w:ascii="宋体" w:hAnsi="宋体"/>
          <w:bCs/>
          <w:snapToGrid w:val="0"/>
          <w:kern w:val="0"/>
        </w:rPr>
        <w:t>2、投标人基本情况简介，格式自拟，包括但不限于经营范围、依法纳税记录等；</w:t>
      </w: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3、</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adjustRightInd w:val="0"/>
        <w:snapToGrid w:val="0"/>
        <w:spacing w:line="360" w:lineRule="auto"/>
        <w:rPr>
          <w:bCs/>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widowControl/>
        <w:jc w:val="left"/>
        <w:rPr>
          <w:snapToGrid w:val="0"/>
          <w:kern w:val="0"/>
        </w:rPr>
      </w:pPr>
      <w:r>
        <w:rPr>
          <w:snapToGrid w:val="0"/>
          <w:kern w:val="0"/>
        </w:rPr>
        <w:br w:type="page"/>
      </w:r>
    </w:p>
    <w:p>
      <w:pPr>
        <w:jc w:val="center"/>
        <w:rPr>
          <w:snapToGrid w:val="0"/>
          <w:kern w:val="0"/>
        </w:rPr>
      </w:pPr>
    </w:p>
    <w:p>
      <w:pPr>
        <w:jc w:val="center"/>
        <w:rPr>
          <w:b/>
          <w:bCs/>
          <w:sz w:val="28"/>
        </w:rPr>
      </w:pPr>
      <w:bookmarkStart w:id="85" w:name="_格式7__投标人资格声明"/>
      <w:bookmarkEnd w:id="85"/>
      <w:bookmarkStart w:id="86" w:name="q40"/>
      <w:r>
        <w:rPr>
          <w:rFonts w:hint="eastAsia"/>
          <w:b/>
          <w:bCs/>
          <w:sz w:val="28"/>
        </w:rPr>
        <w:t>投标人资格声明</w:t>
      </w:r>
    </w:p>
    <w:p>
      <w:pPr>
        <w:snapToGrid w:val="0"/>
        <w:spacing w:line="300" w:lineRule="auto"/>
        <w:rPr>
          <w:rFonts w:ascii="宋体" w:hAnsi="宋体"/>
        </w:rPr>
      </w:pPr>
    </w:p>
    <w:p>
      <w:pPr>
        <w:snapToGrid w:val="0"/>
        <w:spacing w:line="300" w:lineRule="auto"/>
        <w:rPr>
          <w:rFonts w:ascii="宋体" w:hAnsi="宋体"/>
        </w:rPr>
      </w:pPr>
      <w:r>
        <w:rPr>
          <w:rFonts w:hint="eastAsia" w:ascii="宋体" w:hAnsi="宋体"/>
        </w:rPr>
        <w:t>1、名称及其它情况：</w:t>
      </w:r>
    </w:p>
    <w:p>
      <w:pPr>
        <w:snapToGrid w:val="0"/>
        <w:spacing w:line="300" w:lineRule="auto"/>
        <w:ind w:left="420"/>
        <w:rPr>
          <w:rFonts w:ascii="宋体" w:hAnsi="宋体"/>
          <w:u w:val="single"/>
        </w:rPr>
      </w:pPr>
      <w:r>
        <w:rPr>
          <w:rFonts w:hint="eastAsia" w:ascii="宋体" w:hAnsi="宋体"/>
        </w:rPr>
        <w:t>⑴、名称：</w:t>
      </w:r>
      <w:r>
        <w:rPr>
          <w:rFonts w:hint="eastAsia" w:ascii="宋体" w:hAnsi="宋体"/>
          <w:u w:val="single"/>
        </w:rPr>
        <w:t xml:space="preserve">                                 </w:t>
      </w:r>
    </w:p>
    <w:p>
      <w:pPr>
        <w:snapToGrid w:val="0"/>
        <w:spacing w:line="300" w:lineRule="auto"/>
        <w:ind w:left="420"/>
        <w:rPr>
          <w:rFonts w:ascii="宋体" w:hAnsi="宋体"/>
          <w:bCs/>
        </w:rPr>
      </w:pPr>
      <w:r>
        <w:rPr>
          <w:rFonts w:hint="eastAsia" w:ascii="宋体" w:hAnsi="宋体"/>
          <w:bCs/>
        </w:rPr>
        <w:t>⑵、地址：</w:t>
      </w:r>
      <w:r>
        <w:rPr>
          <w:rFonts w:hint="eastAsia" w:ascii="宋体" w:hAnsi="宋体"/>
          <w:b/>
          <w:u w:val="single"/>
        </w:rPr>
        <w:t xml:space="preserve">                                        </w:t>
      </w:r>
      <w:r>
        <w:rPr>
          <w:rFonts w:hint="eastAsia" w:ascii="宋体" w:hAnsi="宋体"/>
          <w:bCs/>
          <w:u w:val="single"/>
        </w:rPr>
        <w:t xml:space="preserve"> </w:t>
      </w:r>
    </w:p>
    <w:p>
      <w:pPr>
        <w:snapToGrid w:val="0"/>
        <w:spacing w:line="300" w:lineRule="auto"/>
        <w:ind w:left="420"/>
        <w:rPr>
          <w:rFonts w:ascii="宋体" w:hAnsi="宋体"/>
          <w:b/>
          <w:u w:val="single"/>
        </w:rPr>
      </w:pPr>
      <w:r>
        <w:rPr>
          <w:rFonts w:hint="eastAsia" w:ascii="宋体" w:hAnsi="宋体"/>
          <w:bCs/>
        </w:rPr>
        <w:t>⑶、成立和/或注册日期：</w:t>
      </w:r>
      <w:r>
        <w:rPr>
          <w:rFonts w:hint="eastAsia" w:ascii="宋体" w:hAnsi="宋体"/>
          <w:b/>
          <w:u w:val="single"/>
        </w:rPr>
        <w:t xml:space="preserve">                            </w:t>
      </w:r>
    </w:p>
    <w:p>
      <w:pPr>
        <w:snapToGrid w:val="0"/>
        <w:spacing w:line="300" w:lineRule="auto"/>
        <w:ind w:left="420"/>
        <w:rPr>
          <w:rFonts w:ascii="宋体" w:hAnsi="宋体"/>
          <w:b/>
          <w:u w:val="single"/>
        </w:rPr>
      </w:pPr>
      <w:r>
        <w:rPr>
          <w:rFonts w:ascii="宋体" w:hAnsi="宋体"/>
          <w:bCs/>
        </w:rPr>
        <w:fldChar w:fldCharType="begin"/>
      </w:r>
      <w:r>
        <w:rPr>
          <w:rFonts w:ascii="宋体" w:hAnsi="宋体"/>
          <w:bCs/>
        </w:rPr>
        <w:instrText xml:space="preserve"> </w:instrText>
      </w:r>
      <w:r>
        <w:rPr>
          <w:rFonts w:hint="eastAsia" w:ascii="宋体" w:hAnsi="宋体"/>
          <w:bCs/>
        </w:rPr>
        <w:instrText xml:space="preserve">= 4 \* GB2</w:instrText>
      </w:r>
      <w:r>
        <w:rPr>
          <w:rFonts w:ascii="宋体" w:hAnsi="宋体"/>
          <w:bCs/>
        </w:rPr>
        <w:instrText xml:space="preserve"> </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、企业性质：</w:t>
      </w:r>
      <w:r>
        <w:rPr>
          <w:rFonts w:hint="eastAsia" w:ascii="宋体" w:hAnsi="宋体"/>
          <w:b/>
          <w:u w:val="single"/>
        </w:rPr>
        <w:t xml:space="preserve">                                     </w:t>
      </w:r>
    </w:p>
    <w:p>
      <w:pPr>
        <w:snapToGrid w:val="0"/>
        <w:spacing w:line="300" w:lineRule="auto"/>
        <w:ind w:left="708" w:hanging="707" w:hangingChars="337"/>
        <w:rPr>
          <w:rFonts w:ascii="宋体" w:hAnsi="宋体"/>
          <w:bCs/>
        </w:rPr>
      </w:pPr>
      <w:r>
        <w:rPr>
          <w:rFonts w:hint="eastAsia" w:ascii="宋体" w:hAnsi="宋体"/>
          <w:bCs/>
        </w:rPr>
        <w:t>2、近三年主要客户的名称和地址：</w:t>
      </w:r>
    </w:p>
    <w:p>
      <w:pPr>
        <w:snapToGrid w:val="0"/>
        <w:spacing w:line="300" w:lineRule="auto"/>
        <w:ind w:left="990"/>
        <w:rPr>
          <w:rFonts w:ascii="宋体" w:hAnsi="宋体"/>
          <w:bCs/>
        </w:rPr>
      </w:pPr>
      <w:r>
        <w:rPr>
          <w:rFonts w:hint="eastAsia" w:ascii="宋体" w:hAnsi="宋体"/>
          <w:bCs/>
        </w:rPr>
        <w:t>名称和地址                          项目名称</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rPr>
        <w:t xml:space="preserve">   </w:t>
      </w:r>
      <w:r>
        <w:rPr>
          <w:rFonts w:hint="eastAsia" w:ascii="宋体" w:hAnsi="宋体"/>
          <w:b/>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3、近三年的营业额：</w:t>
      </w:r>
    </w:p>
    <w:p>
      <w:pPr>
        <w:snapToGrid w:val="0"/>
        <w:spacing w:line="300" w:lineRule="auto"/>
        <w:ind w:firstLine="420" w:firstLineChars="200"/>
        <w:rPr>
          <w:rFonts w:ascii="宋体" w:hAnsi="宋体"/>
          <w:bCs/>
        </w:rPr>
      </w:pPr>
      <w:r>
        <w:rPr>
          <w:rFonts w:hint="eastAsia" w:ascii="宋体" w:hAnsi="宋体"/>
          <w:bCs/>
        </w:rPr>
        <w:t>年份                国内                    国外                  总额</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4、有关开户银行的名称和地址：</w:t>
      </w:r>
      <w:r>
        <w:rPr>
          <w:rFonts w:hint="eastAsia" w:ascii="宋体" w:hAnsi="宋体"/>
          <w:bCs/>
          <w:u w:val="single"/>
        </w:rPr>
        <w:t xml:space="preserve">                                                    </w:t>
      </w:r>
      <w:r>
        <w:rPr>
          <w:rFonts w:hint="eastAsia" w:ascii="宋体" w:hAnsi="宋体"/>
          <w:bCs/>
        </w:rPr>
        <w:t xml:space="preserve"> </w:t>
      </w:r>
    </w:p>
    <w:p>
      <w:pPr>
        <w:snapToGrid w:val="0"/>
        <w:spacing w:line="300" w:lineRule="auto"/>
        <w:rPr>
          <w:rFonts w:ascii="宋体" w:hAnsi="宋体"/>
          <w:b/>
          <w:u w:val="single"/>
        </w:rPr>
      </w:pPr>
      <w:r>
        <w:rPr>
          <w:rFonts w:hint="eastAsia" w:ascii="宋体" w:hAnsi="宋体"/>
          <w:bCs/>
        </w:rPr>
        <w:t>5、其他情况：</w:t>
      </w:r>
      <w:r>
        <w:rPr>
          <w:rFonts w:hint="eastAsia" w:ascii="宋体" w:hAnsi="宋体"/>
          <w:bCs/>
          <w:u w:val="single"/>
        </w:rPr>
        <w:t xml:space="preserve">                                                                    </w:t>
      </w:r>
    </w:p>
    <w:p>
      <w:pPr>
        <w:snapToGrid w:val="0"/>
        <w:spacing w:line="300" w:lineRule="auto"/>
        <w:ind w:left="105" w:leftChars="50" w:firstLine="472" w:firstLineChars="225"/>
        <w:rPr>
          <w:rFonts w:ascii="宋体" w:hAnsi="宋体"/>
          <w:bCs/>
        </w:rPr>
      </w:pPr>
      <w:r>
        <w:rPr>
          <w:rFonts w:hint="eastAsia" w:ascii="宋体" w:hAnsi="宋体"/>
          <w:bCs/>
        </w:rPr>
        <w:t>兹证明上述声明是真实、正确的，并提供了全部能提供的资料和数据，我愿遵照贵方要求出示有关证明文件。</w:t>
      </w:r>
    </w:p>
    <w:p>
      <w:pPr>
        <w:snapToGrid w:val="0"/>
        <w:spacing w:line="300" w:lineRule="auto"/>
        <w:ind w:left="560"/>
        <w:rPr>
          <w:rFonts w:ascii="宋体" w:hAnsi="宋体"/>
          <w:bCs/>
        </w:rPr>
      </w:pPr>
    </w:p>
    <w:p>
      <w:pPr>
        <w:snapToGrid w:val="0"/>
        <w:spacing w:line="300" w:lineRule="auto"/>
        <w:ind w:left="560"/>
        <w:rPr>
          <w:rFonts w:ascii="宋体" w:hAnsi="宋体"/>
          <w:bCs/>
          <w:u w:val="single"/>
        </w:rPr>
      </w:pPr>
      <w:r>
        <w:rPr>
          <w:rFonts w:hint="eastAsia" w:ascii="宋体" w:hAnsi="宋体"/>
        </w:rPr>
        <w:t>投标单位</w:t>
      </w:r>
      <w:r>
        <w:rPr>
          <w:rFonts w:hint="eastAsia" w:ascii="宋体" w:hAnsi="宋体"/>
          <w:bCs/>
        </w:rPr>
        <w:t>名称（加盖公章）：</w:t>
      </w:r>
      <w:r>
        <w:rPr>
          <w:rFonts w:hint="eastAsia" w:ascii="宋体" w:hAnsi="宋体"/>
          <w:b/>
          <w:u w:val="single"/>
        </w:rPr>
        <w:t xml:space="preserve">                     </w:t>
      </w:r>
    </w:p>
    <w:p>
      <w:pPr>
        <w:snapToGrid w:val="0"/>
        <w:spacing w:line="300" w:lineRule="auto"/>
        <w:ind w:left="560"/>
        <w:rPr>
          <w:rFonts w:ascii="宋体" w:hAnsi="宋体"/>
          <w:bCs/>
          <w:u w:val="single"/>
        </w:rPr>
      </w:pPr>
      <w:r>
        <w:rPr>
          <w:rFonts w:hint="eastAsia" w:ascii="宋体" w:hAnsi="宋体"/>
          <w:bCs/>
        </w:rPr>
        <w:t>授权代表或法定代表人签字：</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授权代表的职务：</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电话：</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传真：</w:t>
      </w:r>
      <w:r>
        <w:rPr>
          <w:rFonts w:hint="eastAsia" w:ascii="宋体" w:hAnsi="宋体"/>
          <w:bCs/>
          <w:u w:val="single"/>
        </w:rPr>
        <w:t xml:space="preserve">                             </w:t>
      </w:r>
    </w:p>
    <w:p>
      <w:pPr>
        <w:snapToGrid w:val="0"/>
        <w:spacing w:line="300" w:lineRule="auto"/>
        <w:ind w:left="560"/>
        <w:rPr>
          <w:rFonts w:ascii="宋体" w:hAnsi="宋体"/>
          <w:bCs/>
        </w:rPr>
      </w:pPr>
      <w:r>
        <w:rPr>
          <w:rFonts w:hint="eastAsia" w:ascii="宋体" w:hAnsi="宋体"/>
          <w:bCs/>
        </w:rPr>
        <w:t>日期：</w:t>
      </w:r>
      <w:r>
        <w:rPr>
          <w:rFonts w:hint="eastAsia"/>
          <w:snapToGrid w:val="0"/>
          <w:kern w:val="0"/>
          <w:u w:val="single"/>
        </w:rPr>
        <w:t>　　　　　　　　　　　　　　　</w:t>
      </w:r>
      <w:r>
        <w:rPr>
          <w:rFonts w:hint="eastAsia" w:ascii="宋体" w:hAnsi="宋体"/>
          <w:bCs/>
        </w:rPr>
        <w:t xml:space="preserve"> </w:t>
      </w: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widowControl/>
        <w:jc w:val="left"/>
        <w:rPr>
          <w:b/>
          <w:szCs w:val="21"/>
        </w:rPr>
      </w:pPr>
      <w:r>
        <w:rPr>
          <w:b/>
          <w:szCs w:val="21"/>
        </w:rPr>
        <w:br w:type="page"/>
      </w:r>
    </w:p>
    <w:p>
      <w:pPr>
        <w:spacing w:line="360" w:lineRule="auto"/>
        <w:jc w:val="center"/>
        <w:rPr>
          <w:b/>
          <w:szCs w:val="21"/>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格式11  偏离表</w:t>
      </w:r>
    </w:p>
    <w:bookmarkEnd w:id="86"/>
    <w:p>
      <w:pPr>
        <w:spacing w:line="360" w:lineRule="auto"/>
        <w:jc w:val="center"/>
      </w:pPr>
    </w:p>
    <w:p>
      <w:pPr>
        <w:snapToGrid w:val="0"/>
        <w:spacing w:line="360" w:lineRule="auto"/>
        <w:jc w:val="center"/>
        <w:rPr>
          <w:b/>
        </w:rPr>
      </w:pPr>
      <w:r>
        <w:rPr>
          <w:rFonts w:hint="eastAsia"/>
          <w:b/>
        </w:rPr>
        <w:t>技术规格偏离表</w:t>
      </w:r>
    </w:p>
    <w:tbl>
      <w:tblPr>
        <w:tblStyle w:val="50"/>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482"/>
        <w:gridCol w:w="1701"/>
        <w:gridCol w:w="127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r>
              <w:rPr>
                <w:rFonts w:hint="eastAsia" w:ascii="宋体" w:hAnsi="宋体"/>
                <w:szCs w:val="21"/>
              </w:rPr>
              <w:t>序号</w:t>
            </w:r>
          </w:p>
        </w:tc>
        <w:tc>
          <w:tcPr>
            <w:tcW w:w="1418" w:type="dxa"/>
            <w:vAlign w:val="center"/>
          </w:tcPr>
          <w:p>
            <w:pPr>
              <w:spacing w:line="360" w:lineRule="auto"/>
              <w:jc w:val="center"/>
              <w:rPr>
                <w:rFonts w:ascii="宋体" w:hAnsi="宋体"/>
                <w:szCs w:val="21"/>
              </w:rPr>
            </w:pPr>
            <w:r>
              <w:rPr>
                <w:rFonts w:hint="eastAsia" w:ascii="宋体" w:hAnsi="宋体"/>
                <w:szCs w:val="21"/>
              </w:rPr>
              <w:t>货物名称</w:t>
            </w:r>
          </w:p>
        </w:tc>
        <w:tc>
          <w:tcPr>
            <w:tcW w:w="2482" w:type="dxa"/>
            <w:vAlign w:val="center"/>
          </w:tcPr>
          <w:p>
            <w:pPr>
              <w:spacing w:line="360" w:lineRule="auto"/>
              <w:jc w:val="center"/>
              <w:rPr>
                <w:rFonts w:ascii="宋体" w:hAnsi="宋体"/>
                <w:szCs w:val="21"/>
              </w:rPr>
            </w:pPr>
            <w:r>
              <w:rPr>
                <w:rFonts w:hint="eastAsia" w:ascii="宋体" w:hAnsi="宋体"/>
                <w:szCs w:val="21"/>
              </w:rPr>
              <w:t>招标技术要求</w:t>
            </w:r>
          </w:p>
        </w:tc>
        <w:tc>
          <w:tcPr>
            <w:tcW w:w="1701" w:type="dxa"/>
            <w:vAlign w:val="center"/>
          </w:tcPr>
          <w:p>
            <w:pPr>
              <w:spacing w:line="360" w:lineRule="auto"/>
              <w:jc w:val="center"/>
              <w:rPr>
                <w:rFonts w:ascii="宋体" w:hAnsi="宋体"/>
                <w:szCs w:val="21"/>
              </w:rPr>
            </w:pPr>
            <w:r>
              <w:rPr>
                <w:rFonts w:hint="eastAsia" w:ascii="宋体" w:hAnsi="宋体"/>
                <w:szCs w:val="21"/>
              </w:rPr>
              <w:t>投标技术响应</w:t>
            </w:r>
          </w:p>
        </w:tc>
        <w:tc>
          <w:tcPr>
            <w:tcW w:w="1275" w:type="dxa"/>
            <w:vAlign w:val="center"/>
          </w:tcPr>
          <w:p>
            <w:pPr>
              <w:spacing w:line="360" w:lineRule="auto"/>
              <w:jc w:val="center"/>
              <w:rPr>
                <w:rFonts w:ascii="宋体" w:hAnsi="宋体"/>
                <w:szCs w:val="21"/>
              </w:rPr>
            </w:pPr>
            <w:r>
              <w:rPr>
                <w:rFonts w:hint="eastAsia" w:ascii="宋体" w:hAnsi="宋体"/>
                <w:szCs w:val="21"/>
              </w:rPr>
              <w:t>偏离情况</w:t>
            </w:r>
          </w:p>
        </w:tc>
        <w:tc>
          <w:tcPr>
            <w:tcW w:w="2304"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招标技术要求</w:t>
      </w:r>
      <w:r>
        <w:rPr>
          <w:rFonts w:hint="eastAsia" w:ascii="宋体" w:hAnsi="宋体" w:cs="Arial"/>
          <w:bCs/>
          <w:szCs w:val="21"/>
        </w:rPr>
        <w:t>”一栏逐一列出招标文件第二章《项目需求》中“</w:t>
      </w:r>
      <w:r>
        <w:rPr>
          <w:rFonts w:hint="eastAsia" w:ascii="宋体" w:hAnsi="宋体" w:cs="Arial"/>
          <w:b/>
          <w:bCs/>
          <w:szCs w:val="21"/>
        </w:rPr>
        <w:t>二、</w:t>
      </w:r>
      <w:r>
        <w:rPr>
          <w:rFonts w:hint="eastAsia" w:ascii="宋体" w:hAnsi="宋体"/>
          <w:b/>
          <w:bCs/>
          <w:snapToGrid w:val="0"/>
          <w:szCs w:val="21"/>
        </w:rPr>
        <w:t>技术要求</w:t>
      </w:r>
      <w:r>
        <w:rPr>
          <w:rFonts w:hint="eastAsia" w:ascii="宋体" w:hAnsi="宋体" w:cs="Arial"/>
          <w:bCs/>
          <w:szCs w:val="21"/>
        </w:rPr>
        <w:t>”的内容；“</w:t>
      </w:r>
      <w:r>
        <w:rPr>
          <w:rFonts w:hint="eastAsia" w:ascii="宋体" w:hAnsi="宋体"/>
          <w:szCs w:val="21"/>
        </w:rPr>
        <w:t>投标技术响应</w:t>
      </w:r>
      <w:r>
        <w:rPr>
          <w:rFonts w:hint="eastAsia" w:ascii="宋体" w:hAnsi="宋体" w:cs="Arial"/>
          <w:bCs/>
          <w:szCs w:val="21"/>
        </w:rPr>
        <w:t>”一栏应详细填写投标产品的具体参数响应情况。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4" w:firstLineChars="202"/>
        <w:rPr>
          <w:rFonts w:asciiTheme="minorEastAsia" w:hAnsiTheme="minorEastAsia" w:eastAsiaTheme="minorEastAsia"/>
          <w:szCs w:val="21"/>
        </w:rPr>
      </w:pPr>
      <w:r>
        <w:rPr>
          <w:rFonts w:hint="eastAsia" w:ascii="宋体" w:hAnsi="宋体" w:cs="Arial"/>
          <w:bCs/>
          <w:szCs w:val="21"/>
        </w:rPr>
        <w:t>3、</w:t>
      </w:r>
      <w:r>
        <w:rPr>
          <w:rFonts w:hint="eastAsia" w:asciiTheme="minorEastAsia" w:hAnsiTheme="minorEastAsia" w:eastAsiaTheme="minorEastAsia"/>
          <w:b/>
          <w:szCs w:val="21"/>
        </w:rPr>
        <w:t>投标产品的技术参数应按</w:t>
      </w:r>
      <w:r>
        <w:rPr>
          <w:rFonts w:hint="eastAsia" w:ascii="宋体" w:hAnsi="宋体" w:cs="Arial"/>
          <w:b/>
          <w:bCs/>
          <w:szCs w:val="21"/>
        </w:rPr>
        <w:t>招标文件第二章《项目需求》中“二、</w:t>
      </w:r>
      <w:r>
        <w:rPr>
          <w:rFonts w:hint="eastAsia" w:ascii="宋体" w:hAnsi="宋体"/>
          <w:b/>
          <w:bCs/>
          <w:snapToGrid w:val="0"/>
          <w:szCs w:val="21"/>
        </w:rPr>
        <w:t>技术要求</w:t>
      </w:r>
      <w:r>
        <w:rPr>
          <w:rFonts w:hint="eastAsia" w:ascii="宋体" w:hAnsi="宋体" w:cs="Arial"/>
          <w:b/>
          <w:bCs/>
          <w:szCs w:val="21"/>
        </w:rPr>
        <w:t>”</w:t>
      </w:r>
      <w:r>
        <w:rPr>
          <w:rFonts w:hint="eastAsia" w:asciiTheme="minorEastAsia" w:hAnsiTheme="minorEastAsia" w:eastAsiaTheme="minorEastAsia"/>
          <w:b/>
          <w:szCs w:val="21"/>
        </w:rPr>
        <w:t>中的要求提供相应的证明资料，以证明投标人响应的真实性。</w:t>
      </w:r>
      <w:r>
        <w:rPr>
          <w:rFonts w:hint="eastAsia" w:asciiTheme="minorEastAsia" w:hAnsiTheme="minorEastAsia" w:eastAsiaTheme="minor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4、证明资料（均为复印件或扫描件）的提供要求：</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pPr>
        <w:spacing w:line="400" w:lineRule="exact"/>
        <w:ind w:firstLine="424" w:firstLineChars="202"/>
        <w:rPr>
          <w:rFonts w:ascii="宋体" w:hAnsi="宋体" w:cs="Arial"/>
          <w:b/>
          <w:bCs/>
          <w:szCs w:val="21"/>
        </w:rPr>
      </w:pPr>
      <w:r>
        <w:rPr>
          <w:rFonts w:hint="eastAsia" w:asciiTheme="minorEastAsia" w:hAnsiTheme="minorEastAsia" w:eastAsiaTheme="minorEastAsia"/>
          <w:szCs w:val="21"/>
        </w:rPr>
        <w:t>（2）我国政府机构出具的产品检验和核准证件应为证件正面、背面和附件标注的全部具体内容</w:t>
      </w:r>
      <w:r>
        <w:rPr>
          <w:rFonts w:hint="eastAsia" w:ascii="宋体" w:hAnsi="宋体" w:cs="Arial"/>
          <w:bCs/>
          <w:szCs w:val="21"/>
        </w:rPr>
        <w:t>。</w:t>
      </w:r>
    </w:p>
    <w:p>
      <w:pPr>
        <w:adjustRightInd w:val="0"/>
        <w:snapToGrid w:val="0"/>
        <w:spacing w:line="360" w:lineRule="auto"/>
        <w:rPr>
          <w:bCs/>
          <w:snapToGrid w:val="0"/>
        </w:rPr>
      </w:pPr>
    </w:p>
    <w:p>
      <w:pPr>
        <w:snapToGrid w:val="0"/>
        <w:spacing w:line="360" w:lineRule="auto"/>
        <w:jc w:val="center"/>
        <w:rPr>
          <w:b/>
        </w:rPr>
      </w:pPr>
      <w:r>
        <w:rPr>
          <w:rFonts w:hint="eastAsia"/>
          <w:b/>
        </w:rPr>
        <w:t>商务条款偏离表</w:t>
      </w:r>
    </w:p>
    <w:tbl>
      <w:tblPr>
        <w:tblStyle w:val="50"/>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招标商务需求</w:t>
            </w:r>
          </w:p>
        </w:tc>
        <w:tc>
          <w:tcPr>
            <w:tcW w:w="2735" w:type="dxa"/>
            <w:vAlign w:val="center"/>
          </w:tcPr>
          <w:p>
            <w:pPr>
              <w:spacing w:line="360" w:lineRule="auto"/>
              <w:jc w:val="center"/>
              <w:rPr>
                <w:rFonts w:ascii="宋体" w:hAnsi="宋体"/>
                <w:szCs w:val="21"/>
              </w:rPr>
            </w:pPr>
            <w:r>
              <w:rPr>
                <w:rFonts w:hint="eastAsia" w:ascii="宋体" w:hAnsi="宋体"/>
                <w:szCs w:val="21"/>
              </w:rPr>
              <w:t>投标商务响应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招标商务需求</w:t>
      </w:r>
      <w:r>
        <w:rPr>
          <w:rFonts w:hint="eastAsia" w:ascii="宋体" w:hAnsi="宋体" w:cs="Arial"/>
          <w:bCs/>
          <w:szCs w:val="21"/>
        </w:rPr>
        <w:t>”一栏逐一列出招标文件第二章《项目需求》中“</w:t>
      </w:r>
      <w:r>
        <w:rPr>
          <w:rFonts w:hint="eastAsia" w:ascii="宋体" w:hAnsi="宋体" w:cs="Arial"/>
          <w:b/>
          <w:bCs/>
          <w:szCs w:val="21"/>
        </w:rPr>
        <w:t>三、商务要求</w:t>
      </w:r>
      <w:r>
        <w:rPr>
          <w:rFonts w:hint="eastAsia" w:ascii="宋体" w:hAnsi="宋体" w:cs="Arial"/>
          <w:bCs/>
          <w:szCs w:val="21"/>
        </w:rPr>
        <w:t>”的内容；“</w:t>
      </w:r>
      <w:r>
        <w:rPr>
          <w:rFonts w:hint="eastAsia" w:ascii="宋体" w:hAnsi="宋体"/>
          <w:szCs w:val="21"/>
        </w:rPr>
        <w:t>投标商务响应</w:t>
      </w:r>
      <w:r>
        <w:rPr>
          <w:rFonts w:hint="eastAsia" w:ascii="宋体" w:hAnsi="宋体" w:cs="Arial"/>
          <w:bCs/>
          <w:szCs w:val="21"/>
        </w:rPr>
        <w:t>”一栏应详细填写投标商务条款的响应内容。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0" w:firstLineChars="200"/>
      </w:pPr>
      <w:r>
        <w:rPr>
          <w:rFonts w:hint="eastAsia" w:asciiTheme="minorEastAsia" w:hAnsiTheme="minorEastAsia" w:eastAsiaTheme="minor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rPr>
          <w:snapToGrid w:val="0"/>
          <w:kern w:val="0"/>
        </w:rPr>
      </w:pPr>
    </w:p>
    <w:p>
      <w:pPr>
        <w:adjustRightInd w:val="0"/>
        <w:snapToGrid w:val="0"/>
        <w:spacing w:line="300" w:lineRule="auto"/>
        <w:ind w:right="420"/>
        <w:jc w:val="center"/>
      </w:pPr>
      <w:r>
        <w:rPr>
          <w:rFonts w:hint="eastAsia"/>
          <w:snapToGrid w:val="0"/>
          <w:kern w:val="0"/>
        </w:rPr>
        <w:t xml:space="preserve">                                                            年    月    日</w:t>
      </w:r>
      <w:r>
        <w:br w:type="page"/>
      </w:r>
    </w:p>
    <w:p>
      <w:pPr>
        <w:adjustRightInd w:val="0"/>
        <w:snapToGrid w:val="0"/>
        <w:spacing w:line="300" w:lineRule="auto"/>
        <w:ind w:right="420"/>
        <w:jc w:val="cente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格式12  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3"/>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tabs>
          <w:tab w:val="left" w:pos="1875"/>
        </w:tabs>
      </w:pPr>
    </w:p>
    <w:p>
      <w:pPr>
        <w:pStyle w:val="3"/>
        <w:spacing w:before="0" w:after="0"/>
      </w:pPr>
      <w:bookmarkStart w:id="87" w:name="_Toc73610160"/>
      <w:r>
        <w:rPr>
          <w:rFonts w:hint="eastAsia"/>
        </w:rPr>
        <w:t>第八章  合同条款</w:t>
      </w:r>
      <w:bookmarkEnd w:id="87"/>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w:t>
      </w:r>
      <w:r>
        <w:rPr>
          <w:rFonts w:asciiTheme="minorEastAsia" w:hAnsiTheme="minorEastAsia"/>
          <w:b/>
          <w:szCs w:val="21"/>
        </w:rPr>
        <w:t xml:space="preserve">  </w:t>
      </w:r>
      <w:r>
        <w:rPr>
          <w:rFonts w:hint="eastAsia" w:asciiTheme="minorEastAsia" w:hAnsiTheme="minorEastAsia"/>
          <w:b/>
          <w:szCs w:val="21"/>
        </w:rPr>
        <w:t>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r>
        <w:rPr>
          <w:rFonts w:asciiTheme="minorEastAsia" w:hAnsiTheme="minorEastAsia"/>
          <w:b/>
          <w:szCs w:val="21"/>
          <w:u w:val="single"/>
        </w:rPr>
        <w:t xml:space="preserve">                  </w:t>
      </w:r>
      <w:r>
        <w:rPr>
          <w:rFonts w:hint="eastAsia" w:asciiTheme="minorEastAsia" w:hAnsiTheme="minorEastAsia"/>
          <w:szCs w:val="21"/>
        </w:rPr>
        <w:t>。</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w:t>
      </w:r>
      <w:r>
        <w:rPr>
          <w:rFonts w:asciiTheme="minorEastAsia" w:hAnsiTheme="minorEastAsia"/>
          <w:b/>
          <w:szCs w:val="21"/>
        </w:rPr>
        <w:t xml:space="preserve">  </w:t>
      </w:r>
      <w:r>
        <w:rPr>
          <w:rFonts w:hint="eastAsia" w:asciiTheme="minorEastAsia" w:hAnsiTheme="minorEastAsia"/>
          <w:b/>
          <w:szCs w:val="21"/>
        </w:rPr>
        <w:t>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w:t>
      </w:r>
      <w:r>
        <w:rPr>
          <w:rFonts w:asciiTheme="minorEastAsia" w:hAnsiTheme="minorEastAsia"/>
          <w:szCs w:val="21"/>
          <w:u w:val="single"/>
        </w:rPr>
        <w:t xml:space="preserve">              </w:t>
      </w:r>
      <w:r>
        <w:rPr>
          <w:rFonts w:hint="eastAsia" w:asciiTheme="minorEastAsia" w:hAnsiTheme="minorEastAsia"/>
          <w:szCs w:val="21"/>
        </w:rPr>
        <w:t>（大写）人民币，分项价款详见</w:t>
      </w:r>
      <w:r>
        <w:rPr>
          <w:rFonts w:asciiTheme="minorEastAsia" w:hAnsiTheme="minorEastAsia"/>
          <w:b/>
          <w:szCs w:val="21"/>
          <w:u w:val="single"/>
        </w:rPr>
        <w:t xml:space="preserve">          </w:t>
      </w:r>
      <w:r>
        <w:rPr>
          <w:rFonts w:hint="eastAsia" w:asciiTheme="minorEastAsia" w:hAnsiTheme="minorEastAsia"/>
          <w:szCs w:val="21"/>
        </w:rPr>
        <w:t>。本合同总价款已包括乙方为履行本合同义务所发生的一切费用，系固定不变价格，且不随通货膨胀的影响而波动。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w:t>
      </w:r>
      <w:r>
        <w:rPr>
          <w:rFonts w:asciiTheme="minorEastAsia" w:hAnsiTheme="minorEastAsia"/>
          <w:b/>
          <w:szCs w:val="21"/>
        </w:rPr>
        <w:t xml:space="preserve">  </w:t>
      </w:r>
      <w:r>
        <w:rPr>
          <w:rFonts w:hint="eastAsia" w:asciiTheme="minorEastAsia" w:hAnsiTheme="minorEastAsia"/>
          <w:b/>
          <w:szCs w:val="21"/>
        </w:rPr>
        <w:t>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w:t>
      </w:r>
      <w:r>
        <w:rPr>
          <w:rFonts w:asciiTheme="minorEastAsia" w:hAnsiTheme="minorEastAsia"/>
          <w:b/>
          <w:szCs w:val="21"/>
        </w:rPr>
        <w:t xml:space="preserve">  </w:t>
      </w:r>
      <w:r>
        <w:rPr>
          <w:rFonts w:hint="eastAsia" w:asciiTheme="minorEastAsia" w:hAnsiTheme="minorEastAsia"/>
          <w:b/>
          <w:szCs w:val="21"/>
        </w:rPr>
        <w:t>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w:t>
      </w:r>
      <w:r>
        <w:rPr>
          <w:rFonts w:asciiTheme="minorEastAsia" w:hAnsiTheme="minorEastAsia"/>
          <w:b/>
          <w:szCs w:val="21"/>
        </w:rPr>
        <w:t xml:space="preserve">  </w:t>
      </w:r>
      <w:r>
        <w:rPr>
          <w:rFonts w:hint="eastAsia" w:asciiTheme="minorEastAsia" w:hAnsiTheme="minorEastAsia"/>
          <w:b/>
          <w:szCs w:val="21"/>
        </w:rPr>
        <w:t>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w:t>
      </w:r>
      <w:r>
        <w:rPr>
          <w:rFonts w:asciiTheme="minorEastAsia" w:hAnsiTheme="minorEastAsia"/>
          <w:b/>
          <w:szCs w:val="21"/>
        </w:rPr>
        <w:t xml:space="preserve">  </w:t>
      </w:r>
      <w:r>
        <w:rPr>
          <w:rFonts w:hint="eastAsia" w:asciiTheme="minorEastAsia" w:hAnsiTheme="minorEastAsia"/>
          <w:b/>
          <w:szCs w:val="21"/>
        </w:rPr>
        <w:t>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6.3质量保证金：乙方应向甲方交纳</w:t>
      </w:r>
      <w:r>
        <w:rPr>
          <w:rFonts w:asciiTheme="minorEastAsia" w:hAnsiTheme="minorEastAsia"/>
          <w:szCs w:val="21"/>
          <w:u w:val="single"/>
        </w:rPr>
        <w:t xml:space="preserve">     </w:t>
      </w:r>
      <w:r>
        <w:rPr>
          <w:rFonts w:hint="eastAsia" w:asciiTheme="minorEastAsia" w:hAnsiTheme="minorEastAsia"/>
          <w:szCs w:val="21"/>
        </w:rPr>
        <w:t>元质量保证金，也可以采用支票或者甲方认可的银行出具的保函。质量保证金应在合同签订之日起</w:t>
      </w:r>
      <w:r>
        <w:rPr>
          <w:rFonts w:asciiTheme="minorEastAsia" w:hAnsiTheme="minorEastAsia"/>
          <w:szCs w:val="21"/>
          <w:u w:val="single"/>
        </w:rPr>
        <w:t xml:space="preserve">   </w:t>
      </w:r>
      <w:r>
        <w:rPr>
          <w:rFonts w:hint="eastAsia" w:asciiTheme="minorEastAsia" w:hAnsiTheme="minorEastAsia"/>
          <w:szCs w:val="21"/>
        </w:rPr>
        <w:t>日内一次性支付给甲方。验收合格后</w:t>
      </w:r>
      <w:r>
        <w:rPr>
          <w:rFonts w:asciiTheme="minorEastAsia" w:hAnsiTheme="minorEastAsia"/>
          <w:szCs w:val="21"/>
          <w:u w:val="single"/>
        </w:rPr>
        <w:t xml:space="preserve">   </w:t>
      </w:r>
      <w:r>
        <w:rPr>
          <w:rFonts w:hint="eastAsia" w:asciiTheme="minorEastAsia" w:hAnsiTheme="minorEastAsia"/>
          <w:szCs w:val="21"/>
        </w:rPr>
        <w:t>日内，甲方一次性将质量保证金无息退还给乙方。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w:t>
      </w:r>
      <w:r>
        <w:rPr>
          <w:rFonts w:asciiTheme="minorEastAsia" w:hAnsiTheme="minorEastAsia"/>
          <w:b/>
          <w:szCs w:val="21"/>
        </w:rPr>
        <w:t xml:space="preserve">  </w:t>
      </w:r>
      <w:r>
        <w:rPr>
          <w:rFonts w:hint="eastAsia" w:asciiTheme="minorEastAsia" w:hAnsiTheme="minorEastAsia"/>
          <w:b/>
          <w:szCs w:val="21"/>
        </w:rPr>
        <w:t>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szCs w:val="21"/>
          <w:u w:val="single"/>
        </w:rPr>
        <w:t xml:space="preserve">       </w:t>
      </w:r>
      <w:r>
        <w:rPr>
          <w:rFonts w:hint="eastAsia" w:asciiTheme="minorEastAsia" w:hAnsiTheme="minorEastAsia"/>
          <w:szCs w:val="21"/>
        </w:rPr>
        <w:t>个工作日内对货物进行验收；需要乙方对货物或系统进行安装调试的，甲方应在货物安装调试完毕后的</w:t>
      </w:r>
      <w:r>
        <w:rPr>
          <w:rFonts w:asciiTheme="minorEastAsia" w:hAnsiTheme="minorEastAsia"/>
          <w:szCs w:val="21"/>
          <w:u w:val="single"/>
        </w:rPr>
        <w:t xml:space="preserve">       </w:t>
      </w:r>
      <w:r>
        <w:rPr>
          <w:rFonts w:hint="eastAsia" w:asciiTheme="minorEastAsia" w:hAnsiTheme="minorEastAsia"/>
          <w:szCs w:val="21"/>
        </w:rPr>
        <w:t>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w:t>
      </w:r>
      <w:r>
        <w:rPr>
          <w:rFonts w:asciiTheme="minorEastAsia" w:hAnsiTheme="minorEastAsia"/>
          <w:b/>
          <w:szCs w:val="21"/>
        </w:rPr>
        <w:t xml:space="preserve">  </w:t>
      </w:r>
      <w:r>
        <w:rPr>
          <w:rFonts w:hint="eastAsia" w:asciiTheme="minorEastAsia" w:hAnsiTheme="minorEastAsia"/>
          <w:b/>
          <w:szCs w:val="21"/>
        </w:rPr>
        <w:t>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w:t>
      </w:r>
      <w:r>
        <w:rPr>
          <w:rFonts w:asciiTheme="minorEastAsia" w:hAnsiTheme="minorEastAsia"/>
          <w:b/>
          <w:szCs w:val="21"/>
        </w:rPr>
        <w:t xml:space="preserve">  </w:t>
      </w:r>
      <w:r>
        <w:rPr>
          <w:rFonts w:hint="eastAsia" w:asciiTheme="minorEastAsia" w:hAnsiTheme="minorEastAsia"/>
          <w:b/>
          <w:szCs w:val="21"/>
        </w:rPr>
        <w:t>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w:t>
      </w:r>
      <w:r>
        <w:rPr>
          <w:rFonts w:asciiTheme="minorEastAsia" w:hAnsiTheme="minorEastAsia"/>
          <w:b/>
          <w:szCs w:val="21"/>
        </w:rPr>
        <w:t xml:space="preserve">  </w:t>
      </w:r>
      <w:r>
        <w:rPr>
          <w:rFonts w:hint="eastAsia" w:asciiTheme="minorEastAsia" w:hAnsiTheme="minorEastAsia"/>
          <w:b/>
          <w:szCs w:val="21"/>
        </w:rPr>
        <w:t>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w:t>
      </w:r>
      <w:r>
        <w:rPr>
          <w:rFonts w:asciiTheme="minorEastAsia" w:hAnsiTheme="minorEastAsia"/>
          <w:b/>
          <w:szCs w:val="21"/>
        </w:rPr>
        <w:t xml:space="preserve">  </w:t>
      </w:r>
      <w:r>
        <w:rPr>
          <w:rFonts w:hint="eastAsia" w:asciiTheme="minorEastAsia" w:hAnsiTheme="minorEastAsia"/>
          <w:b/>
          <w:szCs w:val="21"/>
        </w:rPr>
        <w:t>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w:t>
      </w:r>
      <w:r>
        <w:rPr>
          <w:rFonts w:asciiTheme="minorEastAsia" w:hAnsiTheme="minorEastAsia"/>
          <w:szCs w:val="21"/>
          <w:u w:val="single"/>
        </w:rPr>
        <w:t xml:space="preserve">    </w:t>
      </w:r>
      <w:r>
        <w:rPr>
          <w:rFonts w:hint="eastAsia" w:asciiTheme="minorEastAsia" w:hAnsiTheme="minorEastAsia"/>
          <w:szCs w:val="21"/>
        </w:rPr>
        <w:t>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w:t>
      </w:r>
      <w:r>
        <w:rPr>
          <w:rFonts w:asciiTheme="minorEastAsia" w:hAnsiTheme="minorEastAsia"/>
          <w:b/>
          <w:szCs w:val="21"/>
        </w:rPr>
        <w:t xml:space="preserve">  </w:t>
      </w:r>
      <w:r>
        <w:rPr>
          <w:rFonts w:hint="eastAsia" w:asciiTheme="minorEastAsia" w:hAnsiTheme="minorEastAsia"/>
          <w:b/>
          <w:szCs w:val="21"/>
        </w:rPr>
        <w:t>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w:t>
      </w:r>
      <w:r>
        <w:rPr>
          <w:rFonts w:asciiTheme="minorEastAsia" w:hAnsiTheme="minorEastAsia"/>
          <w:b/>
          <w:szCs w:val="21"/>
        </w:rPr>
        <w:t xml:space="preserve">  </w:t>
      </w:r>
      <w:r>
        <w:rPr>
          <w:rFonts w:hint="eastAsia" w:asciiTheme="minorEastAsia" w:hAnsiTheme="minorEastAsia"/>
          <w:b/>
          <w:szCs w:val="21"/>
        </w:rPr>
        <w:t>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w:t>
      </w:r>
      <w:r>
        <w:rPr>
          <w:rFonts w:asciiTheme="minorEastAsia" w:hAnsiTheme="minorEastAsia"/>
          <w:b/>
          <w:szCs w:val="21"/>
        </w:rPr>
        <w:t xml:space="preserve">  </w:t>
      </w:r>
      <w:r>
        <w:rPr>
          <w:rFonts w:hint="eastAsia" w:asciiTheme="minorEastAsia" w:hAnsiTheme="minorEastAsia"/>
          <w:b/>
          <w:szCs w:val="21"/>
        </w:rPr>
        <w:t>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asciiTheme="minorEastAsia" w:hAnsiTheme="minorEastAsia"/>
          <w:szCs w:val="21"/>
          <w:u w:val="single"/>
        </w:rPr>
        <w:t xml:space="preserve">     </w:t>
      </w:r>
      <w:r>
        <w:rPr>
          <w:rFonts w:hint="eastAsia" w:asciiTheme="minorEastAsia" w:hAnsiTheme="minorEastAsia"/>
          <w:szCs w:val="21"/>
        </w:rPr>
        <w:t>份，甲、乙方双方各执</w:t>
      </w:r>
      <w:r>
        <w:rPr>
          <w:rFonts w:asciiTheme="minorEastAsia" w:hAnsiTheme="minorEastAsia"/>
          <w:szCs w:val="21"/>
          <w:u w:val="single"/>
        </w:rPr>
        <w:t xml:space="preserve">     </w:t>
      </w:r>
      <w:r>
        <w:rPr>
          <w:rFonts w:hint="eastAsia" w:asciiTheme="minorEastAsia" w:hAnsiTheme="minorEastAsia"/>
          <w:szCs w:val="21"/>
        </w:rPr>
        <w:t>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26"/>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3"/>
      </w:pPr>
      <w:bookmarkStart w:id="88" w:name="_Toc73610161"/>
      <w:r>
        <w:rPr>
          <w:rFonts w:hint="eastAsia"/>
        </w:rPr>
        <w:t>第九章  附件</w:t>
      </w:r>
      <w:bookmarkEnd w:id="88"/>
    </w:p>
    <w:p>
      <w:pPr>
        <w:pStyle w:val="4"/>
        <w:spacing w:before="0" w:after="0"/>
        <w:jc w:val="center"/>
      </w:pPr>
      <w:bookmarkStart w:id="89" w:name="_Toc73610162"/>
      <w:r>
        <w:rPr>
          <w:rFonts w:hint="eastAsia"/>
        </w:rPr>
        <w:t>一、财政部 工业和信息化部关于印发《政府采购促进中小企业发展管理办法》的通知</w:t>
      </w:r>
      <w:bookmarkEnd w:id="89"/>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4"/>
        <w:spacing w:before="0" w:after="0"/>
        <w:jc w:val="center"/>
      </w:pPr>
      <w:bookmarkStart w:id="90" w:name="_Toc73610163"/>
      <w:r>
        <w:rPr>
          <w:rFonts w:hint="eastAsia"/>
        </w:rPr>
        <w:t>二、关于印发中小企业划型标准规定的通知</w:t>
      </w:r>
      <w:bookmarkEnd w:id="90"/>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5"/>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工业和信息化部　国家统计局</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国家发展和改革委员会　财政部</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二○一一年六月十八日</w:t>
      </w:r>
    </w:p>
    <w:p>
      <w:pPr>
        <w:pStyle w:val="45"/>
        <w:shd w:val="clear" w:color="auto" w:fill="FFFFFF"/>
        <w:spacing w:line="360" w:lineRule="auto"/>
        <w:jc w:val="center"/>
        <w:rPr>
          <w:rFonts w:asciiTheme="minorEastAsia" w:hAnsiTheme="minorEastAsia" w:eastAsiaTheme="minorEastAsia"/>
          <w:color w:val="000000"/>
          <w:sz w:val="21"/>
          <w:szCs w:val="21"/>
        </w:rPr>
      </w:pPr>
      <w:r>
        <w:rPr>
          <w:rStyle w:val="53"/>
          <w:rFonts w:hint="eastAsia" w:asciiTheme="minorEastAsia" w:hAnsiTheme="minorEastAsia" w:eastAsiaTheme="minorEastAsia"/>
          <w:color w:val="000000"/>
          <w:sz w:val="21"/>
          <w:szCs w:val="21"/>
        </w:rPr>
        <w:t>中小企业划型标准规定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四、各行业划型标准为：</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五、企业类型的划分以统计部门的统计数据为依据。</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九、本规定由工业和信息化部、国家统计局会同有关部门负责解释。</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5"/>
        <w:shd w:val="clear" w:color="auto" w:fill="FFFFFF"/>
        <w:spacing w:line="360" w:lineRule="auto"/>
        <w:rPr>
          <w:rFonts w:asciiTheme="minorEastAsia" w:hAnsiTheme="minorEastAsia" w:eastAsiaTheme="minorEastAsia"/>
          <w:color w:val="000000"/>
          <w:sz w:val="21"/>
          <w:szCs w:val="21"/>
        </w:rPr>
      </w:pPr>
    </w:p>
    <w:p>
      <w:pPr>
        <w:pStyle w:val="4"/>
        <w:spacing w:before="0" w:after="0"/>
        <w:jc w:val="center"/>
        <w:rPr>
          <w:rFonts w:asciiTheme="minorEastAsia" w:hAnsiTheme="minorEastAsia" w:eastAsiaTheme="minorEastAsia"/>
        </w:rPr>
      </w:pPr>
      <w:bookmarkStart w:id="91" w:name="_Toc73610164"/>
      <w:r>
        <w:rPr>
          <w:rFonts w:hint="eastAsia" w:asciiTheme="minorEastAsia" w:hAnsiTheme="minorEastAsia" w:eastAsiaTheme="minorEastAsia"/>
          <w:bCs w:val="0"/>
        </w:rPr>
        <w:t>三、</w:t>
      </w:r>
      <w:r>
        <w:rPr>
          <w:rFonts w:asciiTheme="minorEastAsia" w:hAnsiTheme="minorEastAsia" w:eastAsiaTheme="minorEastAsia"/>
          <w:bCs w:val="0"/>
        </w:rPr>
        <w:t>国家统计局关于印发《统计上大中小微型企业划分办法 （2017）》的通知</w:t>
      </w:r>
      <w:bookmarkEnd w:id="91"/>
      <w:r>
        <w:rPr>
          <w:rFonts w:asciiTheme="minorEastAsia" w:hAnsiTheme="minorEastAsia" w:eastAsiaTheme="minorEastAsia"/>
          <w:bCs w:val="0"/>
        </w:rPr>
        <w:t> </w:t>
      </w:r>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4"/>
        <w:spacing w:before="0" w:after="0"/>
        <w:jc w:val="center"/>
      </w:pPr>
      <w:bookmarkStart w:id="92" w:name="_Toc73610165"/>
      <w:r>
        <w:rPr>
          <w:rFonts w:hint="eastAsia"/>
        </w:rPr>
        <w:t>四、</w:t>
      </w:r>
      <w:r>
        <w:t>财政部 民政部 中国残疾人联合会关于促进残疾人就业 政府采购政策的通知</w:t>
      </w:r>
      <w:bookmarkEnd w:id="92"/>
      <w:r>
        <w:t xml:space="preserve"> </w:t>
      </w:r>
    </w:p>
    <w:p>
      <w:pPr>
        <w:pStyle w:val="45"/>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asciiTheme="minorEastAsia" w:hAnsiTheme="minorEastAsia" w:eastAsiaTheme="minorEastAsia"/>
          <w:szCs w:val="21"/>
        </w:rPr>
      </w:pPr>
      <w:r>
        <w:rPr>
          <w:rFonts w:hint="eastAsia" w:cs="宋体" w:asciiTheme="minorEastAsia" w:hAnsiTheme="minorEastAsia" w:eastAsiaTheme="minorEastAsia"/>
          <w:kern w:val="0"/>
          <w:szCs w:val="21"/>
        </w:rPr>
        <w:t>  2017年8月22日</w:t>
      </w: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ˎ̥">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MS Mincho">
    <w:panose1 w:val="020206090402050803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2</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rPr>
        <w:rFonts w:asciiTheme="minorEastAsia" w:hAnsiTheme="minorEastAsia" w:eastAsiaTheme="minorEastAsia"/>
      </w:rPr>
    </w:pPr>
    <w:r>
      <w:tab/>
    </w:r>
    <w:r>
      <w:rPr>
        <w:rFonts w:hint="eastAsia" w:asciiTheme="minorEastAsia" w:hAnsiTheme="minorEastAsia" w:eastAsiaTheme="minorEastAsia"/>
      </w:rPr>
      <w:t>项目名称：</w:t>
    </w:r>
    <w:r>
      <w:rPr>
        <w:rFonts w:hint="eastAsia" w:ascii="宋体" w:hAnsi="宋体" w:eastAsiaTheme="minorEastAsia"/>
      </w:rPr>
      <w:t>双通道纯音听力计</w:t>
    </w:r>
    <w:r>
      <w:rPr>
        <w:rFonts w:hint="eastAsia" w:asciiTheme="minorEastAsia" w:hAnsiTheme="minorEastAsia" w:eastAsiaTheme="minorEastAsia"/>
      </w:rPr>
      <w:t>采购项目                                                项目编号：SZZZ2022-QA0134</w:t>
    </w:r>
  </w:p>
  <w:p>
    <w:pPr>
      <w:pStyle w:val="32"/>
      <w:tabs>
        <w:tab w:val="center" w:pos="4819"/>
        <w:tab w:val="right" w:pos="9638"/>
      </w:tabs>
      <w:jc w:val="left"/>
      <w:rPr>
        <w:u w:val="single"/>
      </w:rPr>
    </w:pPr>
    <w:r>
      <w:rPr>
        <w:rFonts w:hint="eastAsia"/>
        <w:u w:val="single"/>
      </w:rPr>
      <w:t xml:space="preserve">                                                                                                       </w:t>
    </w:r>
    <w:r>
      <w:rPr>
        <w:u w:val="single"/>
      </w:rPr>
      <w:tab/>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7"/>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7"/>
      <w:lvlText w:val="%5)"/>
      <w:lvlJc w:val="left"/>
      <w:pPr>
        <w:tabs>
          <w:tab w:val="left" w:pos="2111"/>
        </w:tabs>
        <w:ind w:left="2111" w:hanging="420"/>
      </w:pPr>
    </w:lvl>
    <w:lvl w:ilvl="5" w:tentative="0">
      <w:start w:val="1"/>
      <w:numFmt w:val="lowerRoman"/>
      <w:pStyle w:val="9"/>
      <w:lvlText w:val="%6."/>
      <w:lvlJc w:val="right"/>
      <w:pPr>
        <w:tabs>
          <w:tab w:val="left" w:pos="2531"/>
        </w:tabs>
        <w:ind w:left="2531" w:hanging="420"/>
      </w:pPr>
    </w:lvl>
    <w:lvl w:ilvl="6" w:tentative="0">
      <w:start w:val="1"/>
      <w:numFmt w:val="decimal"/>
      <w:pStyle w:val="10"/>
      <w:lvlText w:val="%7."/>
      <w:lvlJc w:val="left"/>
      <w:pPr>
        <w:tabs>
          <w:tab w:val="left" w:pos="2951"/>
        </w:tabs>
        <w:ind w:left="2951" w:hanging="420"/>
      </w:pPr>
    </w:lvl>
    <w:lvl w:ilvl="7" w:tentative="0">
      <w:start w:val="1"/>
      <w:numFmt w:val="lowerLetter"/>
      <w:pStyle w:val="11"/>
      <w:lvlText w:val="%8)"/>
      <w:lvlJc w:val="left"/>
      <w:pPr>
        <w:tabs>
          <w:tab w:val="left" w:pos="3371"/>
        </w:tabs>
        <w:ind w:left="3371" w:hanging="420"/>
      </w:pPr>
    </w:lvl>
    <w:lvl w:ilvl="8" w:tentative="0">
      <w:start w:val="1"/>
      <w:numFmt w:val="lowerRoman"/>
      <w:pStyle w:val="12"/>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VkZGVkYTNiOTU2NTQ1Nzc0OTI5NDMzOTUxZDg0ZWIifQ=="/>
  </w:docVars>
  <w:rsids>
    <w:rsidRoot w:val="00172A27"/>
    <w:rsid w:val="0000124D"/>
    <w:rsid w:val="0000134D"/>
    <w:rsid w:val="000035D6"/>
    <w:rsid w:val="000036D6"/>
    <w:rsid w:val="00003921"/>
    <w:rsid w:val="000039AF"/>
    <w:rsid w:val="00003A46"/>
    <w:rsid w:val="000042A3"/>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3B05"/>
    <w:rsid w:val="00014515"/>
    <w:rsid w:val="00014625"/>
    <w:rsid w:val="00015940"/>
    <w:rsid w:val="00015AF5"/>
    <w:rsid w:val="00016458"/>
    <w:rsid w:val="000165EF"/>
    <w:rsid w:val="00016FC3"/>
    <w:rsid w:val="000208F8"/>
    <w:rsid w:val="00021304"/>
    <w:rsid w:val="0002197F"/>
    <w:rsid w:val="00022C27"/>
    <w:rsid w:val="00022F4F"/>
    <w:rsid w:val="00022FA9"/>
    <w:rsid w:val="000250AF"/>
    <w:rsid w:val="00025B21"/>
    <w:rsid w:val="00025D5B"/>
    <w:rsid w:val="00026249"/>
    <w:rsid w:val="00026BDD"/>
    <w:rsid w:val="00027415"/>
    <w:rsid w:val="000274F7"/>
    <w:rsid w:val="000307C5"/>
    <w:rsid w:val="00030D77"/>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4E5"/>
    <w:rsid w:val="0003762A"/>
    <w:rsid w:val="0003795A"/>
    <w:rsid w:val="0004022A"/>
    <w:rsid w:val="00040784"/>
    <w:rsid w:val="000414AB"/>
    <w:rsid w:val="00042758"/>
    <w:rsid w:val="00043926"/>
    <w:rsid w:val="00043D2B"/>
    <w:rsid w:val="000447F6"/>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0F2"/>
    <w:rsid w:val="000878FF"/>
    <w:rsid w:val="00087F07"/>
    <w:rsid w:val="0009127F"/>
    <w:rsid w:val="0009133A"/>
    <w:rsid w:val="0009145A"/>
    <w:rsid w:val="00091526"/>
    <w:rsid w:val="00091CAC"/>
    <w:rsid w:val="00092BD5"/>
    <w:rsid w:val="00094366"/>
    <w:rsid w:val="00095198"/>
    <w:rsid w:val="00095806"/>
    <w:rsid w:val="00095F61"/>
    <w:rsid w:val="00096CE6"/>
    <w:rsid w:val="00097B04"/>
    <w:rsid w:val="000A0947"/>
    <w:rsid w:val="000A0ABE"/>
    <w:rsid w:val="000A0DC0"/>
    <w:rsid w:val="000A1DEB"/>
    <w:rsid w:val="000A24AF"/>
    <w:rsid w:val="000A274D"/>
    <w:rsid w:val="000A2C52"/>
    <w:rsid w:val="000A2D5C"/>
    <w:rsid w:val="000A2D79"/>
    <w:rsid w:val="000A3358"/>
    <w:rsid w:val="000A43D6"/>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080D"/>
    <w:rsid w:val="000C0BD8"/>
    <w:rsid w:val="000C0D7D"/>
    <w:rsid w:val="000C1B95"/>
    <w:rsid w:val="000C299D"/>
    <w:rsid w:val="000C3B21"/>
    <w:rsid w:val="000C428C"/>
    <w:rsid w:val="000C4328"/>
    <w:rsid w:val="000C48DA"/>
    <w:rsid w:val="000C605A"/>
    <w:rsid w:val="000C63AE"/>
    <w:rsid w:val="000C6BB0"/>
    <w:rsid w:val="000C7685"/>
    <w:rsid w:val="000D0C86"/>
    <w:rsid w:val="000D0C91"/>
    <w:rsid w:val="000D11F6"/>
    <w:rsid w:val="000D1EAF"/>
    <w:rsid w:val="000D2C8E"/>
    <w:rsid w:val="000D2CA8"/>
    <w:rsid w:val="000D3909"/>
    <w:rsid w:val="000D39D7"/>
    <w:rsid w:val="000D3DAF"/>
    <w:rsid w:val="000D41F9"/>
    <w:rsid w:val="000D45D6"/>
    <w:rsid w:val="000D4816"/>
    <w:rsid w:val="000D48D5"/>
    <w:rsid w:val="000D5E0E"/>
    <w:rsid w:val="000D5E7D"/>
    <w:rsid w:val="000D6088"/>
    <w:rsid w:val="000D6CFF"/>
    <w:rsid w:val="000D6D74"/>
    <w:rsid w:val="000D6F21"/>
    <w:rsid w:val="000D7803"/>
    <w:rsid w:val="000D7D8E"/>
    <w:rsid w:val="000D7DC6"/>
    <w:rsid w:val="000E18B0"/>
    <w:rsid w:val="000E1BD5"/>
    <w:rsid w:val="000E1C6E"/>
    <w:rsid w:val="000E214A"/>
    <w:rsid w:val="000E21D9"/>
    <w:rsid w:val="000E2823"/>
    <w:rsid w:val="000E3219"/>
    <w:rsid w:val="000E321B"/>
    <w:rsid w:val="000E3D76"/>
    <w:rsid w:val="000E52FA"/>
    <w:rsid w:val="000E6437"/>
    <w:rsid w:val="000E671E"/>
    <w:rsid w:val="000F0426"/>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18E6"/>
    <w:rsid w:val="00101DFC"/>
    <w:rsid w:val="00102684"/>
    <w:rsid w:val="00102A12"/>
    <w:rsid w:val="00102CC6"/>
    <w:rsid w:val="00102F0D"/>
    <w:rsid w:val="001048BE"/>
    <w:rsid w:val="0010529C"/>
    <w:rsid w:val="001072EB"/>
    <w:rsid w:val="001075C1"/>
    <w:rsid w:val="00107924"/>
    <w:rsid w:val="001079CD"/>
    <w:rsid w:val="0011014B"/>
    <w:rsid w:val="00111274"/>
    <w:rsid w:val="001117B9"/>
    <w:rsid w:val="0011317D"/>
    <w:rsid w:val="001134EF"/>
    <w:rsid w:val="00114386"/>
    <w:rsid w:val="001148BD"/>
    <w:rsid w:val="001151A9"/>
    <w:rsid w:val="00115CCC"/>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31C"/>
    <w:rsid w:val="00130801"/>
    <w:rsid w:val="00130A8C"/>
    <w:rsid w:val="001310AA"/>
    <w:rsid w:val="001312DF"/>
    <w:rsid w:val="00132670"/>
    <w:rsid w:val="001328E9"/>
    <w:rsid w:val="00133AF2"/>
    <w:rsid w:val="00133E88"/>
    <w:rsid w:val="0013411A"/>
    <w:rsid w:val="001349F3"/>
    <w:rsid w:val="001356AB"/>
    <w:rsid w:val="0013581C"/>
    <w:rsid w:val="00136615"/>
    <w:rsid w:val="00136BA5"/>
    <w:rsid w:val="00137077"/>
    <w:rsid w:val="00137241"/>
    <w:rsid w:val="00137B1E"/>
    <w:rsid w:val="00140047"/>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17"/>
    <w:rsid w:val="0015247A"/>
    <w:rsid w:val="00152F39"/>
    <w:rsid w:val="00153226"/>
    <w:rsid w:val="00153918"/>
    <w:rsid w:val="001547E1"/>
    <w:rsid w:val="00154F74"/>
    <w:rsid w:val="00155368"/>
    <w:rsid w:val="00156320"/>
    <w:rsid w:val="00156E27"/>
    <w:rsid w:val="001570A5"/>
    <w:rsid w:val="001571E8"/>
    <w:rsid w:val="0015749F"/>
    <w:rsid w:val="00160375"/>
    <w:rsid w:val="00160D4E"/>
    <w:rsid w:val="00160F50"/>
    <w:rsid w:val="00161522"/>
    <w:rsid w:val="001617AE"/>
    <w:rsid w:val="00161E4F"/>
    <w:rsid w:val="0016263C"/>
    <w:rsid w:val="001628C8"/>
    <w:rsid w:val="00162AE8"/>
    <w:rsid w:val="00162C56"/>
    <w:rsid w:val="00162DB2"/>
    <w:rsid w:val="00163EA0"/>
    <w:rsid w:val="00164626"/>
    <w:rsid w:val="00164924"/>
    <w:rsid w:val="00164A55"/>
    <w:rsid w:val="001657B1"/>
    <w:rsid w:val="00166620"/>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42DD"/>
    <w:rsid w:val="00175A5E"/>
    <w:rsid w:val="00177212"/>
    <w:rsid w:val="001774D4"/>
    <w:rsid w:val="00177549"/>
    <w:rsid w:val="00177744"/>
    <w:rsid w:val="001778BE"/>
    <w:rsid w:val="00177F89"/>
    <w:rsid w:val="001805F5"/>
    <w:rsid w:val="00180B0D"/>
    <w:rsid w:val="00181389"/>
    <w:rsid w:val="00181FEA"/>
    <w:rsid w:val="00182706"/>
    <w:rsid w:val="0018284B"/>
    <w:rsid w:val="00183600"/>
    <w:rsid w:val="00183836"/>
    <w:rsid w:val="00183DB4"/>
    <w:rsid w:val="001845E9"/>
    <w:rsid w:val="00184630"/>
    <w:rsid w:val="001846D7"/>
    <w:rsid w:val="00184815"/>
    <w:rsid w:val="001856C0"/>
    <w:rsid w:val="00185CB5"/>
    <w:rsid w:val="001864FF"/>
    <w:rsid w:val="00186D2F"/>
    <w:rsid w:val="00187B3E"/>
    <w:rsid w:val="0019140A"/>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347"/>
    <w:rsid w:val="001A040A"/>
    <w:rsid w:val="001A10F7"/>
    <w:rsid w:val="001A173C"/>
    <w:rsid w:val="001A1844"/>
    <w:rsid w:val="001A1998"/>
    <w:rsid w:val="001A1BE9"/>
    <w:rsid w:val="001A20CA"/>
    <w:rsid w:val="001A29AF"/>
    <w:rsid w:val="001A2B9F"/>
    <w:rsid w:val="001A2DA7"/>
    <w:rsid w:val="001A3B13"/>
    <w:rsid w:val="001A3CF6"/>
    <w:rsid w:val="001A3EE7"/>
    <w:rsid w:val="001A4420"/>
    <w:rsid w:val="001A68EC"/>
    <w:rsid w:val="001A6C49"/>
    <w:rsid w:val="001A7C91"/>
    <w:rsid w:val="001B0220"/>
    <w:rsid w:val="001B0850"/>
    <w:rsid w:val="001B0AEB"/>
    <w:rsid w:val="001B1281"/>
    <w:rsid w:val="001B12A2"/>
    <w:rsid w:val="001B1712"/>
    <w:rsid w:val="001B1D39"/>
    <w:rsid w:val="001B2126"/>
    <w:rsid w:val="001B238D"/>
    <w:rsid w:val="001B23F5"/>
    <w:rsid w:val="001B2A31"/>
    <w:rsid w:val="001B2BC4"/>
    <w:rsid w:val="001B2D49"/>
    <w:rsid w:val="001B3D9D"/>
    <w:rsid w:val="001B57AB"/>
    <w:rsid w:val="001B5B42"/>
    <w:rsid w:val="001B5C76"/>
    <w:rsid w:val="001B6DDB"/>
    <w:rsid w:val="001B7078"/>
    <w:rsid w:val="001B7491"/>
    <w:rsid w:val="001B75CF"/>
    <w:rsid w:val="001B7A8D"/>
    <w:rsid w:val="001B7EBE"/>
    <w:rsid w:val="001C05F6"/>
    <w:rsid w:val="001C06C0"/>
    <w:rsid w:val="001C0924"/>
    <w:rsid w:val="001C10E5"/>
    <w:rsid w:val="001C1A12"/>
    <w:rsid w:val="001C1D46"/>
    <w:rsid w:val="001C1F6C"/>
    <w:rsid w:val="001C21BB"/>
    <w:rsid w:val="001C2792"/>
    <w:rsid w:val="001C3041"/>
    <w:rsid w:val="001C30D1"/>
    <w:rsid w:val="001C33D6"/>
    <w:rsid w:val="001C35B7"/>
    <w:rsid w:val="001C36F7"/>
    <w:rsid w:val="001C3AE0"/>
    <w:rsid w:val="001C3BAD"/>
    <w:rsid w:val="001C5B25"/>
    <w:rsid w:val="001C5F9A"/>
    <w:rsid w:val="001C7E49"/>
    <w:rsid w:val="001D012D"/>
    <w:rsid w:val="001D0702"/>
    <w:rsid w:val="001D0A25"/>
    <w:rsid w:val="001D1659"/>
    <w:rsid w:val="001D296C"/>
    <w:rsid w:val="001D2F3D"/>
    <w:rsid w:val="001D33C3"/>
    <w:rsid w:val="001D3C8D"/>
    <w:rsid w:val="001D3DED"/>
    <w:rsid w:val="001D3DF8"/>
    <w:rsid w:val="001D4078"/>
    <w:rsid w:val="001D4E6F"/>
    <w:rsid w:val="001D5573"/>
    <w:rsid w:val="001D5E80"/>
    <w:rsid w:val="001D6157"/>
    <w:rsid w:val="001D6356"/>
    <w:rsid w:val="001D6A56"/>
    <w:rsid w:val="001D6EC3"/>
    <w:rsid w:val="001D710C"/>
    <w:rsid w:val="001E11B1"/>
    <w:rsid w:val="001E1AC3"/>
    <w:rsid w:val="001E208F"/>
    <w:rsid w:val="001E233C"/>
    <w:rsid w:val="001E4950"/>
    <w:rsid w:val="001E5014"/>
    <w:rsid w:val="001E630A"/>
    <w:rsid w:val="001E7838"/>
    <w:rsid w:val="001E7A22"/>
    <w:rsid w:val="001E7D19"/>
    <w:rsid w:val="001F015A"/>
    <w:rsid w:val="001F03A2"/>
    <w:rsid w:val="001F0A63"/>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64C1"/>
    <w:rsid w:val="001F7746"/>
    <w:rsid w:val="002001F1"/>
    <w:rsid w:val="00201348"/>
    <w:rsid w:val="002014D7"/>
    <w:rsid w:val="00201A4E"/>
    <w:rsid w:val="00201B09"/>
    <w:rsid w:val="00201C8A"/>
    <w:rsid w:val="00202525"/>
    <w:rsid w:val="002035A2"/>
    <w:rsid w:val="00203887"/>
    <w:rsid w:val="002046D6"/>
    <w:rsid w:val="00204D09"/>
    <w:rsid w:val="00205003"/>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647A"/>
    <w:rsid w:val="002170FD"/>
    <w:rsid w:val="002175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6BE"/>
    <w:rsid w:val="0023316C"/>
    <w:rsid w:val="002333EF"/>
    <w:rsid w:val="002337DC"/>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2A5"/>
    <w:rsid w:val="00244AF3"/>
    <w:rsid w:val="00244CB3"/>
    <w:rsid w:val="00244D42"/>
    <w:rsid w:val="00244EFB"/>
    <w:rsid w:val="00245008"/>
    <w:rsid w:val="002451ED"/>
    <w:rsid w:val="0024561B"/>
    <w:rsid w:val="002458E4"/>
    <w:rsid w:val="00245DD8"/>
    <w:rsid w:val="002506EE"/>
    <w:rsid w:val="00250E89"/>
    <w:rsid w:val="00251490"/>
    <w:rsid w:val="00252912"/>
    <w:rsid w:val="00252D49"/>
    <w:rsid w:val="00253C51"/>
    <w:rsid w:val="00254079"/>
    <w:rsid w:val="002548D3"/>
    <w:rsid w:val="0025568B"/>
    <w:rsid w:val="002561B7"/>
    <w:rsid w:val="00257054"/>
    <w:rsid w:val="00257131"/>
    <w:rsid w:val="002572D1"/>
    <w:rsid w:val="0025733E"/>
    <w:rsid w:val="00257F6B"/>
    <w:rsid w:val="002600E9"/>
    <w:rsid w:val="00260DC9"/>
    <w:rsid w:val="00261B4C"/>
    <w:rsid w:val="00261C50"/>
    <w:rsid w:val="00261DE4"/>
    <w:rsid w:val="00261E06"/>
    <w:rsid w:val="0026249A"/>
    <w:rsid w:val="002625B4"/>
    <w:rsid w:val="00263090"/>
    <w:rsid w:val="002640AD"/>
    <w:rsid w:val="0026452A"/>
    <w:rsid w:val="00264570"/>
    <w:rsid w:val="00264D98"/>
    <w:rsid w:val="00265054"/>
    <w:rsid w:val="0026523F"/>
    <w:rsid w:val="002659F4"/>
    <w:rsid w:val="0026696D"/>
    <w:rsid w:val="00266A00"/>
    <w:rsid w:val="00266BE6"/>
    <w:rsid w:val="00267127"/>
    <w:rsid w:val="00267325"/>
    <w:rsid w:val="00267935"/>
    <w:rsid w:val="002703AB"/>
    <w:rsid w:val="00270B8F"/>
    <w:rsid w:val="00271B39"/>
    <w:rsid w:val="00271CD9"/>
    <w:rsid w:val="0027313B"/>
    <w:rsid w:val="002731CD"/>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DFC"/>
    <w:rsid w:val="00287102"/>
    <w:rsid w:val="00290002"/>
    <w:rsid w:val="0029069C"/>
    <w:rsid w:val="002913B8"/>
    <w:rsid w:val="0029244F"/>
    <w:rsid w:val="00293B82"/>
    <w:rsid w:val="00293DA4"/>
    <w:rsid w:val="002965D8"/>
    <w:rsid w:val="002A0381"/>
    <w:rsid w:val="002A0425"/>
    <w:rsid w:val="002A0651"/>
    <w:rsid w:val="002A06BD"/>
    <w:rsid w:val="002A11FB"/>
    <w:rsid w:val="002A120C"/>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99"/>
    <w:rsid w:val="002B08F6"/>
    <w:rsid w:val="002B2CF6"/>
    <w:rsid w:val="002B2E09"/>
    <w:rsid w:val="002B366D"/>
    <w:rsid w:val="002B3C7C"/>
    <w:rsid w:val="002B4B5E"/>
    <w:rsid w:val="002B4F70"/>
    <w:rsid w:val="002B5BF4"/>
    <w:rsid w:val="002B6528"/>
    <w:rsid w:val="002B6DB3"/>
    <w:rsid w:val="002C065B"/>
    <w:rsid w:val="002C08AB"/>
    <w:rsid w:val="002C0DA0"/>
    <w:rsid w:val="002C1380"/>
    <w:rsid w:val="002C183E"/>
    <w:rsid w:val="002C1AA0"/>
    <w:rsid w:val="002C1D83"/>
    <w:rsid w:val="002C237E"/>
    <w:rsid w:val="002C24DC"/>
    <w:rsid w:val="002C3057"/>
    <w:rsid w:val="002C365A"/>
    <w:rsid w:val="002C44A2"/>
    <w:rsid w:val="002C467A"/>
    <w:rsid w:val="002C4AC6"/>
    <w:rsid w:val="002C526F"/>
    <w:rsid w:val="002C55AB"/>
    <w:rsid w:val="002C588A"/>
    <w:rsid w:val="002C5B4B"/>
    <w:rsid w:val="002C5EEF"/>
    <w:rsid w:val="002C6527"/>
    <w:rsid w:val="002D13DF"/>
    <w:rsid w:val="002D3B6B"/>
    <w:rsid w:val="002D41A4"/>
    <w:rsid w:val="002D48D1"/>
    <w:rsid w:val="002D603D"/>
    <w:rsid w:val="002D6332"/>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A58"/>
    <w:rsid w:val="002E6D98"/>
    <w:rsid w:val="002E7881"/>
    <w:rsid w:val="002E792E"/>
    <w:rsid w:val="002E7975"/>
    <w:rsid w:val="002E7A31"/>
    <w:rsid w:val="002F01F2"/>
    <w:rsid w:val="002F0F57"/>
    <w:rsid w:val="002F11D5"/>
    <w:rsid w:val="002F2B63"/>
    <w:rsid w:val="002F3765"/>
    <w:rsid w:val="002F44A0"/>
    <w:rsid w:val="002F4F44"/>
    <w:rsid w:val="002F50DA"/>
    <w:rsid w:val="002F56B1"/>
    <w:rsid w:val="002F584B"/>
    <w:rsid w:val="002F5B43"/>
    <w:rsid w:val="002F5EEE"/>
    <w:rsid w:val="002F5FC3"/>
    <w:rsid w:val="002F6B55"/>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C1F"/>
    <w:rsid w:val="00305D1D"/>
    <w:rsid w:val="00306B5E"/>
    <w:rsid w:val="00306CA4"/>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33E2"/>
    <w:rsid w:val="003242E5"/>
    <w:rsid w:val="00324DD8"/>
    <w:rsid w:val="00324F38"/>
    <w:rsid w:val="003256E0"/>
    <w:rsid w:val="00325E6C"/>
    <w:rsid w:val="00327114"/>
    <w:rsid w:val="003278F8"/>
    <w:rsid w:val="00327B3E"/>
    <w:rsid w:val="00327D2C"/>
    <w:rsid w:val="00327EA3"/>
    <w:rsid w:val="00330181"/>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9AD"/>
    <w:rsid w:val="00335EFB"/>
    <w:rsid w:val="003364EB"/>
    <w:rsid w:val="003374CB"/>
    <w:rsid w:val="00337D7C"/>
    <w:rsid w:val="00340405"/>
    <w:rsid w:val="00340445"/>
    <w:rsid w:val="00342098"/>
    <w:rsid w:val="00342BAE"/>
    <w:rsid w:val="003431F0"/>
    <w:rsid w:val="00344388"/>
    <w:rsid w:val="00345387"/>
    <w:rsid w:val="00345AD6"/>
    <w:rsid w:val="00345E2A"/>
    <w:rsid w:val="00345F25"/>
    <w:rsid w:val="00346772"/>
    <w:rsid w:val="00346E05"/>
    <w:rsid w:val="00350C97"/>
    <w:rsid w:val="00351F42"/>
    <w:rsid w:val="00352BC1"/>
    <w:rsid w:val="00352EE5"/>
    <w:rsid w:val="003536EE"/>
    <w:rsid w:val="00353939"/>
    <w:rsid w:val="00354E1D"/>
    <w:rsid w:val="00354FA4"/>
    <w:rsid w:val="00355855"/>
    <w:rsid w:val="00356B21"/>
    <w:rsid w:val="003571E8"/>
    <w:rsid w:val="00357CBA"/>
    <w:rsid w:val="003602AF"/>
    <w:rsid w:val="003619E8"/>
    <w:rsid w:val="00361FC9"/>
    <w:rsid w:val="00362A91"/>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4D58"/>
    <w:rsid w:val="003750DD"/>
    <w:rsid w:val="003756AA"/>
    <w:rsid w:val="00376309"/>
    <w:rsid w:val="003773D2"/>
    <w:rsid w:val="00377B2A"/>
    <w:rsid w:val="00377D0B"/>
    <w:rsid w:val="003805AC"/>
    <w:rsid w:val="00380AE6"/>
    <w:rsid w:val="00381308"/>
    <w:rsid w:val="00381408"/>
    <w:rsid w:val="003814E4"/>
    <w:rsid w:val="00381578"/>
    <w:rsid w:val="003821F6"/>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1591"/>
    <w:rsid w:val="00392CF1"/>
    <w:rsid w:val="00393028"/>
    <w:rsid w:val="0039313E"/>
    <w:rsid w:val="003934F9"/>
    <w:rsid w:val="00393CB5"/>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94A"/>
    <w:rsid w:val="003A3C39"/>
    <w:rsid w:val="003A3CAC"/>
    <w:rsid w:val="003A3EFB"/>
    <w:rsid w:val="003A407A"/>
    <w:rsid w:val="003A44F3"/>
    <w:rsid w:val="003A4EBC"/>
    <w:rsid w:val="003A574F"/>
    <w:rsid w:val="003A58D0"/>
    <w:rsid w:val="003A6FDB"/>
    <w:rsid w:val="003B01FA"/>
    <w:rsid w:val="003B0A1B"/>
    <w:rsid w:val="003B1B85"/>
    <w:rsid w:val="003B23AD"/>
    <w:rsid w:val="003B246D"/>
    <w:rsid w:val="003B2926"/>
    <w:rsid w:val="003B3713"/>
    <w:rsid w:val="003B3AA5"/>
    <w:rsid w:val="003B445F"/>
    <w:rsid w:val="003B495A"/>
    <w:rsid w:val="003B4982"/>
    <w:rsid w:val="003B4B46"/>
    <w:rsid w:val="003B5C4E"/>
    <w:rsid w:val="003B65AB"/>
    <w:rsid w:val="003B6CFD"/>
    <w:rsid w:val="003B7115"/>
    <w:rsid w:val="003B77CE"/>
    <w:rsid w:val="003B7B4E"/>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16D0"/>
    <w:rsid w:val="003D27FB"/>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CC4"/>
    <w:rsid w:val="003F179E"/>
    <w:rsid w:val="003F1823"/>
    <w:rsid w:val="003F1DDF"/>
    <w:rsid w:val="003F1F28"/>
    <w:rsid w:val="003F253B"/>
    <w:rsid w:val="003F3ED0"/>
    <w:rsid w:val="003F447B"/>
    <w:rsid w:val="003F4F4B"/>
    <w:rsid w:val="003F50A1"/>
    <w:rsid w:val="003F5132"/>
    <w:rsid w:val="003F65B3"/>
    <w:rsid w:val="003F6B1B"/>
    <w:rsid w:val="003F6BA8"/>
    <w:rsid w:val="003F7D12"/>
    <w:rsid w:val="003F7F24"/>
    <w:rsid w:val="00400133"/>
    <w:rsid w:val="004004F2"/>
    <w:rsid w:val="0040061D"/>
    <w:rsid w:val="004009A7"/>
    <w:rsid w:val="00400A0B"/>
    <w:rsid w:val="00400A9F"/>
    <w:rsid w:val="00400D1B"/>
    <w:rsid w:val="004015AD"/>
    <w:rsid w:val="00401E65"/>
    <w:rsid w:val="00402593"/>
    <w:rsid w:val="004025F3"/>
    <w:rsid w:val="00402AB6"/>
    <w:rsid w:val="00402FEE"/>
    <w:rsid w:val="004030E9"/>
    <w:rsid w:val="00403343"/>
    <w:rsid w:val="004035B9"/>
    <w:rsid w:val="00403DA9"/>
    <w:rsid w:val="00404F25"/>
    <w:rsid w:val="0040534C"/>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24E8"/>
    <w:rsid w:val="00413625"/>
    <w:rsid w:val="00413661"/>
    <w:rsid w:val="00413BFD"/>
    <w:rsid w:val="004146C1"/>
    <w:rsid w:val="00414A4F"/>
    <w:rsid w:val="00415756"/>
    <w:rsid w:val="00415B9C"/>
    <w:rsid w:val="00415FC6"/>
    <w:rsid w:val="0041688D"/>
    <w:rsid w:val="004168DB"/>
    <w:rsid w:val="00416907"/>
    <w:rsid w:val="00416A9F"/>
    <w:rsid w:val="004170BB"/>
    <w:rsid w:val="00417D63"/>
    <w:rsid w:val="004201B7"/>
    <w:rsid w:val="00421D51"/>
    <w:rsid w:val="00421FC0"/>
    <w:rsid w:val="00422A18"/>
    <w:rsid w:val="00422B01"/>
    <w:rsid w:val="00423668"/>
    <w:rsid w:val="00423C36"/>
    <w:rsid w:val="004242E7"/>
    <w:rsid w:val="00424697"/>
    <w:rsid w:val="00424B8A"/>
    <w:rsid w:val="00424DD1"/>
    <w:rsid w:val="00425A62"/>
    <w:rsid w:val="00426433"/>
    <w:rsid w:val="004274CF"/>
    <w:rsid w:val="00427A7F"/>
    <w:rsid w:val="00427BF1"/>
    <w:rsid w:val="00430051"/>
    <w:rsid w:val="004304D3"/>
    <w:rsid w:val="00430640"/>
    <w:rsid w:val="00430E30"/>
    <w:rsid w:val="00432AF7"/>
    <w:rsid w:val="004342A5"/>
    <w:rsid w:val="0043621F"/>
    <w:rsid w:val="0043640F"/>
    <w:rsid w:val="00436AF4"/>
    <w:rsid w:val="00436D58"/>
    <w:rsid w:val="00437066"/>
    <w:rsid w:val="004376ED"/>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27D"/>
    <w:rsid w:val="0044493B"/>
    <w:rsid w:val="00444C0A"/>
    <w:rsid w:val="00444CD2"/>
    <w:rsid w:val="0044510F"/>
    <w:rsid w:val="00445E9A"/>
    <w:rsid w:val="00446573"/>
    <w:rsid w:val="0044696A"/>
    <w:rsid w:val="004469FF"/>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561"/>
    <w:rsid w:val="0049059F"/>
    <w:rsid w:val="0049283C"/>
    <w:rsid w:val="00492CA8"/>
    <w:rsid w:val="0049301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3A4"/>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73C9"/>
    <w:rsid w:val="004A7475"/>
    <w:rsid w:val="004A7F95"/>
    <w:rsid w:val="004B261D"/>
    <w:rsid w:val="004B35DD"/>
    <w:rsid w:val="004B6062"/>
    <w:rsid w:val="004B7F2B"/>
    <w:rsid w:val="004C067A"/>
    <w:rsid w:val="004C1447"/>
    <w:rsid w:val="004C262D"/>
    <w:rsid w:val="004C2758"/>
    <w:rsid w:val="004C3CB6"/>
    <w:rsid w:val="004C54EE"/>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36B7"/>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345A"/>
    <w:rsid w:val="004E3F06"/>
    <w:rsid w:val="004E4394"/>
    <w:rsid w:val="004E52D5"/>
    <w:rsid w:val="004E59C7"/>
    <w:rsid w:val="004E5C61"/>
    <w:rsid w:val="004E5E9F"/>
    <w:rsid w:val="004E67CC"/>
    <w:rsid w:val="004E6BED"/>
    <w:rsid w:val="004F0090"/>
    <w:rsid w:val="004F0094"/>
    <w:rsid w:val="004F091C"/>
    <w:rsid w:val="004F10DF"/>
    <w:rsid w:val="004F1279"/>
    <w:rsid w:val="004F14F5"/>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11A8"/>
    <w:rsid w:val="0050193A"/>
    <w:rsid w:val="00501956"/>
    <w:rsid w:val="00501E03"/>
    <w:rsid w:val="00501E5A"/>
    <w:rsid w:val="00501EB7"/>
    <w:rsid w:val="00502668"/>
    <w:rsid w:val="0050276C"/>
    <w:rsid w:val="005027F7"/>
    <w:rsid w:val="0050367F"/>
    <w:rsid w:val="00503E1C"/>
    <w:rsid w:val="00503E7A"/>
    <w:rsid w:val="00503FE5"/>
    <w:rsid w:val="00504068"/>
    <w:rsid w:val="00504889"/>
    <w:rsid w:val="005049EE"/>
    <w:rsid w:val="00504F17"/>
    <w:rsid w:val="00505297"/>
    <w:rsid w:val="0050563F"/>
    <w:rsid w:val="0050650A"/>
    <w:rsid w:val="00507045"/>
    <w:rsid w:val="00507643"/>
    <w:rsid w:val="00507FA4"/>
    <w:rsid w:val="005100BF"/>
    <w:rsid w:val="00510424"/>
    <w:rsid w:val="005109F7"/>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A3B"/>
    <w:rsid w:val="00545B7C"/>
    <w:rsid w:val="00545D4C"/>
    <w:rsid w:val="00545FC1"/>
    <w:rsid w:val="00546C0C"/>
    <w:rsid w:val="00547260"/>
    <w:rsid w:val="00547A02"/>
    <w:rsid w:val="00547A8E"/>
    <w:rsid w:val="00547D3F"/>
    <w:rsid w:val="00550163"/>
    <w:rsid w:val="00550FF4"/>
    <w:rsid w:val="00551A35"/>
    <w:rsid w:val="00552287"/>
    <w:rsid w:val="005531EF"/>
    <w:rsid w:val="0055408C"/>
    <w:rsid w:val="00555146"/>
    <w:rsid w:val="00555289"/>
    <w:rsid w:val="00555AEF"/>
    <w:rsid w:val="00556DFE"/>
    <w:rsid w:val="00557BE8"/>
    <w:rsid w:val="00560452"/>
    <w:rsid w:val="0056097F"/>
    <w:rsid w:val="00560E39"/>
    <w:rsid w:val="005622CB"/>
    <w:rsid w:val="005622D6"/>
    <w:rsid w:val="00562AD4"/>
    <w:rsid w:val="00563583"/>
    <w:rsid w:val="005635DB"/>
    <w:rsid w:val="00563722"/>
    <w:rsid w:val="00563E78"/>
    <w:rsid w:val="00564CC4"/>
    <w:rsid w:val="00565126"/>
    <w:rsid w:val="0056554D"/>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C96"/>
    <w:rsid w:val="00574200"/>
    <w:rsid w:val="00574266"/>
    <w:rsid w:val="00574539"/>
    <w:rsid w:val="00574776"/>
    <w:rsid w:val="00574ADD"/>
    <w:rsid w:val="00574BF4"/>
    <w:rsid w:val="00575FD0"/>
    <w:rsid w:val="00576547"/>
    <w:rsid w:val="005766D7"/>
    <w:rsid w:val="00576ED0"/>
    <w:rsid w:val="00576F87"/>
    <w:rsid w:val="005800A3"/>
    <w:rsid w:val="00580E5C"/>
    <w:rsid w:val="00581587"/>
    <w:rsid w:val="00581F5A"/>
    <w:rsid w:val="00582B82"/>
    <w:rsid w:val="00582EF6"/>
    <w:rsid w:val="00583464"/>
    <w:rsid w:val="00583A9B"/>
    <w:rsid w:val="00585D80"/>
    <w:rsid w:val="00586A60"/>
    <w:rsid w:val="0058774E"/>
    <w:rsid w:val="00587847"/>
    <w:rsid w:val="00587868"/>
    <w:rsid w:val="00587E0C"/>
    <w:rsid w:val="00591025"/>
    <w:rsid w:val="00591555"/>
    <w:rsid w:val="00592E85"/>
    <w:rsid w:val="00592F69"/>
    <w:rsid w:val="00593557"/>
    <w:rsid w:val="005935DB"/>
    <w:rsid w:val="0059385F"/>
    <w:rsid w:val="005946F1"/>
    <w:rsid w:val="00595194"/>
    <w:rsid w:val="00595BF2"/>
    <w:rsid w:val="00597E2F"/>
    <w:rsid w:val="005A02B7"/>
    <w:rsid w:val="005A07C9"/>
    <w:rsid w:val="005A10EF"/>
    <w:rsid w:val="005A12C1"/>
    <w:rsid w:val="005A12E3"/>
    <w:rsid w:val="005A1307"/>
    <w:rsid w:val="005A1548"/>
    <w:rsid w:val="005A1D55"/>
    <w:rsid w:val="005A371D"/>
    <w:rsid w:val="005A385F"/>
    <w:rsid w:val="005A3D0C"/>
    <w:rsid w:val="005A4642"/>
    <w:rsid w:val="005A4851"/>
    <w:rsid w:val="005A4B6B"/>
    <w:rsid w:val="005A5344"/>
    <w:rsid w:val="005A573B"/>
    <w:rsid w:val="005A579A"/>
    <w:rsid w:val="005A5C02"/>
    <w:rsid w:val="005A6614"/>
    <w:rsid w:val="005A66D1"/>
    <w:rsid w:val="005A708D"/>
    <w:rsid w:val="005A7559"/>
    <w:rsid w:val="005A7587"/>
    <w:rsid w:val="005A7A5A"/>
    <w:rsid w:val="005B1ADB"/>
    <w:rsid w:val="005B1C58"/>
    <w:rsid w:val="005B2A88"/>
    <w:rsid w:val="005B342A"/>
    <w:rsid w:val="005B37AA"/>
    <w:rsid w:val="005B4418"/>
    <w:rsid w:val="005B4B65"/>
    <w:rsid w:val="005B5529"/>
    <w:rsid w:val="005B645D"/>
    <w:rsid w:val="005B663F"/>
    <w:rsid w:val="005B6B95"/>
    <w:rsid w:val="005B6F4F"/>
    <w:rsid w:val="005B707A"/>
    <w:rsid w:val="005B7160"/>
    <w:rsid w:val="005B73A6"/>
    <w:rsid w:val="005B768C"/>
    <w:rsid w:val="005C0EE2"/>
    <w:rsid w:val="005C160D"/>
    <w:rsid w:val="005C1691"/>
    <w:rsid w:val="005C283A"/>
    <w:rsid w:val="005C33DE"/>
    <w:rsid w:val="005C3571"/>
    <w:rsid w:val="005C3DAD"/>
    <w:rsid w:val="005C403A"/>
    <w:rsid w:val="005C4C1F"/>
    <w:rsid w:val="005C5F97"/>
    <w:rsid w:val="005C6799"/>
    <w:rsid w:val="005C7036"/>
    <w:rsid w:val="005C7053"/>
    <w:rsid w:val="005D0181"/>
    <w:rsid w:val="005D1B22"/>
    <w:rsid w:val="005D1F87"/>
    <w:rsid w:val="005D247E"/>
    <w:rsid w:val="005D2797"/>
    <w:rsid w:val="005D2821"/>
    <w:rsid w:val="005D29AB"/>
    <w:rsid w:val="005D2AD9"/>
    <w:rsid w:val="005D383B"/>
    <w:rsid w:val="005D487B"/>
    <w:rsid w:val="005D569E"/>
    <w:rsid w:val="005D6A20"/>
    <w:rsid w:val="005D75A8"/>
    <w:rsid w:val="005D7F63"/>
    <w:rsid w:val="005D7FD7"/>
    <w:rsid w:val="005E0134"/>
    <w:rsid w:val="005E01D6"/>
    <w:rsid w:val="005E0D2C"/>
    <w:rsid w:val="005E0FBF"/>
    <w:rsid w:val="005E10AA"/>
    <w:rsid w:val="005E1A94"/>
    <w:rsid w:val="005E1E5E"/>
    <w:rsid w:val="005E2578"/>
    <w:rsid w:val="005E320C"/>
    <w:rsid w:val="005E3644"/>
    <w:rsid w:val="005E43D7"/>
    <w:rsid w:val="005E43D9"/>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5C60"/>
    <w:rsid w:val="005F5D4D"/>
    <w:rsid w:val="005F65D7"/>
    <w:rsid w:val="005F6E44"/>
    <w:rsid w:val="005F7277"/>
    <w:rsid w:val="0060015E"/>
    <w:rsid w:val="00600FF2"/>
    <w:rsid w:val="0060107B"/>
    <w:rsid w:val="00601744"/>
    <w:rsid w:val="00601EEB"/>
    <w:rsid w:val="0060324A"/>
    <w:rsid w:val="00603B00"/>
    <w:rsid w:val="00604156"/>
    <w:rsid w:val="006041F6"/>
    <w:rsid w:val="00604586"/>
    <w:rsid w:val="00604591"/>
    <w:rsid w:val="00604A3E"/>
    <w:rsid w:val="00604E98"/>
    <w:rsid w:val="00605593"/>
    <w:rsid w:val="0060751C"/>
    <w:rsid w:val="00607D49"/>
    <w:rsid w:val="00607E9C"/>
    <w:rsid w:val="00610586"/>
    <w:rsid w:val="00610A0E"/>
    <w:rsid w:val="00611ED2"/>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2F50"/>
    <w:rsid w:val="00623647"/>
    <w:rsid w:val="00623D4B"/>
    <w:rsid w:val="006246EF"/>
    <w:rsid w:val="00624C5D"/>
    <w:rsid w:val="00625599"/>
    <w:rsid w:val="00627AAB"/>
    <w:rsid w:val="00627B99"/>
    <w:rsid w:val="00627E79"/>
    <w:rsid w:val="006300C1"/>
    <w:rsid w:val="006304B1"/>
    <w:rsid w:val="00631533"/>
    <w:rsid w:val="00631EC7"/>
    <w:rsid w:val="0063209E"/>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124F"/>
    <w:rsid w:val="00641AB6"/>
    <w:rsid w:val="00642173"/>
    <w:rsid w:val="00642997"/>
    <w:rsid w:val="00642BFD"/>
    <w:rsid w:val="0064302E"/>
    <w:rsid w:val="006436D0"/>
    <w:rsid w:val="00643F7D"/>
    <w:rsid w:val="006453A3"/>
    <w:rsid w:val="00645BC8"/>
    <w:rsid w:val="00645DD3"/>
    <w:rsid w:val="0064650B"/>
    <w:rsid w:val="00646B2F"/>
    <w:rsid w:val="00646FF5"/>
    <w:rsid w:val="00647093"/>
    <w:rsid w:val="00647CD3"/>
    <w:rsid w:val="0065022E"/>
    <w:rsid w:val="0065047A"/>
    <w:rsid w:val="006510E7"/>
    <w:rsid w:val="00651D1E"/>
    <w:rsid w:val="00651E73"/>
    <w:rsid w:val="006524CF"/>
    <w:rsid w:val="00652AB2"/>
    <w:rsid w:val="006532AB"/>
    <w:rsid w:val="006539B3"/>
    <w:rsid w:val="00653DB2"/>
    <w:rsid w:val="00654F65"/>
    <w:rsid w:val="006556B0"/>
    <w:rsid w:val="0065588A"/>
    <w:rsid w:val="00655983"/>
    <w:rsid w:val="00656065"/>
    <w:rsid w:val="00656AE4"/>
    <w:rsid w:val="006571CF"/>
    <w:rsid w:val="0065748E"/>
    <w:rsid w:val="00657934"/>
    <w:rsid w:val="00657A63"/>
    <w:rsid w:val="006604AF"/>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C82"/>
    <w:rsid w:val="00670D33"/>
    <w:rsid w:val="00671921"/>
    <w:rsid w:val="00671AFA"/>
    <w:rsid w:val="006722F6"/>
    <w:rsid w:val="006725F0"/>
    <w:rsid w:val="00672A00"/>
    <w:rsid w:val="0067332F"/>
    <w:rsid w:val="00674A25"/>
    <w:rsid w:val="00674DCE"/>
    <w:rsid w:val="00675104"/>
    <w:rsid w:val="006755EE"/>
    <w:rsid w:val="00675A8E"/>
    <w:rsid w:val="00675D1F"/>
    <w:rsid w:val="00676955"/>
    <w:rsid w:val="00676D3E"/>
    <w:rsid w:val="00677048"/>
    <w:rsid w:val="0068046C"/>
    <w:rsid w:val="006812C0"/>
    <w:rsid w:val="00682313"/>
    <w:rsid w:val="006828B7"/>
    <w:rsid w:val="00683085"/>
    <w:rsid w:val="0068387C"/>
    <w:rsid w:val="00683942"/>
    <w:rsid w:val="00683ACE"/>
    <w:rsid w:val="00683DE0"/>
    <w:rsid w:val="00683E1A"/>
    <w:rsid w:val="0068574F"/>
    <w:rsid w:val="00686222"/>
    <w:rsid w:val="0068634C"/>
    <w:rsid w:val="00686C68"/>
    <w:rsid w:val="00686F04"/>
    <w:rsid w:val="00686F62"/>
    <w:rsid w:val="00687043"/>
    <w:rsid w:val="00690B64"/>
    <w:rsid w:val="00691F51"/>
    <w:rsid w:val="006922DF"/>
    <w:rsid w:val="00692328"/>
    <w:rsid w:val="0069241A"/>
    <w:rsid w:val="00693531"/>
    <w:rsid w:val="006935B9"/>
    <w:rsid w:val="00694848"/>
    <w:rsid w:val="00695224"/>
    <w:rsid w:val="006953B6"/>
    <w:rsid w:val="00695AF5"/>
    <w:rsid w:val="00696667"/>
    <w:rsid w:val="00696EA4"/>
    <w:rsid w:val="00697A24"/>
    <w:rsid w:val="00697C1D"/>
    <w:rsid w:val="006A0902"/>
    <w:rsid w:val="006A0DC0"/>
    <w:rsid w:val="006A104A"/>
    <w:rsid w:val="006A158C"/>
    <w:rsid w:val="006A189A"/>
    <w:rsid w:val="006A1938"/>
    <w:rsid w:val="006A1BD9"/>
    <w:rsid w:val="006A1D13"/>
    <w:rsid w:val="006A1ECA"/>
    <w:rsid w:val="006A20E5"/>
    <w:rsid w:val="006A231D"/>
    <w:rsid w:val="006A231F"/>
    <w:rsid w:val="006A256B"/>
    <w:rsid w:val="006A2F27"/>
    <w:rsid w:val="006A333F"/>
    <w:rsid w:val="006A33B2"/>
    <w:rsid w:val="006A38CC"/>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776D"/>
    <w:rsid w:val="006D7DAF"/>
    <w:rsid w:val="006D7E04"/>
    <w:rsid w:val="006E0126"/>
    <w:rsid w:val="006E0848"/>
    <w:rsid w:val="006E11AC"/>
    <w:rsid w:val="006E28B4"/>
    <w:rsid w:val="006E42A9"/>
    <w:rsid w:val="006E4C76"/>
    <w:rsid w:val="006E547C"/>
    <w:rsid w:val="006E5C0D"/>
    <w:rsid w:val="006E67A9"/>
    <w:rsid w:val="006E6FF8"/>
    <w:rsid w:val="006E7584"/>
    <w:rsid w:val="006F0B48"/>
    <w:rsid w:val="006F0F28"/>
    <w:rsid w:val="006F1D0E"/>
    <w:rsid w:val="006F1F52"/>
    <w:rsid w:val="006F2368"/>
    <w:rsid w:val="006F2601"/>
    <w:rsid w:val="006F2B93"/>
    <w:rsid w:val="006F2C93"/>
    <w:rsid w:val="006F4258"/>
    <w:rsid w:val="006F4A3B"/>
    <w:rsid w:val="006F4B32"/>
    <w:rsid w:val="006F6278"/>
    <w:rsid w:val="006F6B63"/>
    <w:rsid w:val="006F6F4D"/>
    <w:rsid w:val="006F7BB8"/>
    <w:rsid w:val="00701022"/>
    <w:rsid w:val="0070184D"/>
    <w:rsid w:val="00701C8B"/>
    <w:rsid w:val="00701DDF"/>
    <w:rsid w:val="00702247"/>
    <w:rsid w:val="007033F1"/>
    <w:rsid w:val="00704CBD"/>
    <w:rsid w:val="00705148"/>
    <w:rsid w:val="0070597A"/>
    <w:rsid w:val="007059E9"/>
    <w:rsid w:val="00705DC2"/>
    <w:rsid w:val="0070655B"/>
    <w:rsid w:val="00706FFC"/>
    <w:rsid w:val="00707536"/>
    <w:rsid w:val="00707A84"/>
    <w:rsid w:val="00707ACF"/>
    <w:rsid w:val="00707DE3"/>
    <w:rsid w:val="00710292"/>
    <w:rsid w:val="00713292"/>
    <w:rsid w:val="00714054"/>
    <w:rsid w:val="00714083"/>
    <w:rsid w:val="007157B2"/>
    <w:rsid w:val="00716559"/>
    <w:rsid w:val="00716825"/>
    <w:rsid w:val="007205F0"/>
    <w:rsid w:val="0072127E"/>
    <w:rsid w:val="007215B3"/>
    <w:rsid w:val="0072271B"/>
    <w:rsid w:val="00723C90"/>
    <w:rsid w:val="0072460F"/>
    <w:rsid w:val="00724702"/>
    <w:rsid w:val="00724AD9"/>
    <w:rsid w:val="00725268"/>
    <w:rsid w:val="007258FF"/>
    <w:rsid w:val="00725968"/>
    <w:rsid w:val="00725CA4"/>
    <w:rsid w:val="00725EFC"/>
    <w:rsid w:val="007264FB"/>
    <w:rsid w:val="00727237"/>
    <w:rsid w:val="00730B23"/>
    <w:rsid w:val="00731199"/>
    <w:rsid w:val="00731614"/>
    <w:rsid w:val="007325D2"/>
    <w:rsid w:val="00732A5E"/>
    <w:rsid w:val="00733153"/>
    <w:rsid w:val="0073339B"/>
    <w:rsid w:val="00733B22"/>
    <w:rsid w:val="00733FF7"/>
    <w:rsid w:val="007356DE"/>
    <w:rsid w:val="00735C72"/>
    <w:rsid w:val="007367CA"/>
    <w:rsid w:val="00736C6D"/>
    <w:rsid w:val="007377B5"/>
    <w:rsid w:val="00737C0A"/>
    <w:rsid w:val="00740187"/>
    <w:rsid w:val="0074160D"/>
    <w:rsid w:val="00741C58"/>
    <w:rsid w:val="00741C5E"/>
    <w:rsid w:val="00743262"/>
    <w:rsid w:val="00744153"/>
    <w:rsid w:val="007444BF"/>
    <w:rsid w:val="007444FA"/>
    <w:rsid w:val="00744BE0"/>
    <w:rsid w:val="0074533B"/>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1C20"/>
    <w:rsid w:val="007524A1"/>
    <w:rsid w:val="00752B74"/>
    <w:rsid w:val="00752E07"/>
    <w:rsid w:val="00752FEA"/>
    <w:rsid w:val="00753B52"/>
    <w:rsid w:val="00753F35"/>
    <w:rsid w:val="0075447B"/>
    <w:rsid w:val="0075523F"/>
    <w:rsid w:val="00755530"/>
    <w:rsid w:val="00755E79"/>
    <w:rsid w:val="007566DE"/>
    <w:rsid w:val="00756F86"/>
    <w:rsid w:val="0075777A"/>
    <w:rsid w:val="0076013E"/>
    <w:rsid w:val="007645ED"/>
    <w:rsid w:val="00765002"/>
    <w:rsid w:val="0076501C"/>
    <w:rsid w:val="007675F7"/>
    <w:rsid w:val="0077091F"/>
    <w:rsid w:val="00771266"/>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EF6"/>
    <w:rsid w:val="00781F40"/>
    <w:rsid w:val="00782CE7"/>
    <w:rsid w:val="00782F5F"/>
    <w:rsid w:val="00784306"/>
    <w:rsid w:val="00784450"/>
    <w:rsid w:val="00784DDD"/>
    <w:rsid w:val="00785434"/>
    <w:rsid w:val="007854AB"/>
    <w:rsid w:val="00785789"/>
    <w:rsid w:val="007857B5"/>
    <w:rsid w:val="00785F9C"/>
    <w:rsid w:val="00786820"/>
    <w:rsid w:val="00786D03"/>
    <w:rsid w:val="00786E06"/>
    <w:rsid w:val="007874E8"/>
    <w:rsid w:val="00787A4E"/>
    <w:rsid w:val="00787E46"/>
    <w:rsid w:val="00790B36"/>
    <w:rsid w:val="00790C65"/>
    <w:rsid w:val="007914C4"/>
    <w:rsid w:val="007919AA"/>
    <w:rsid w:val="00792891"/>
    <w:rsid w:val="00794258"/>
    <w:rsid w:val="00794997"/>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24B"/>
    <w:rsid w:val="007A46C9"/>
    <w:rsid w:val="007A4983"/>
    <w:rsid w:val="007A501A"/>
    <w:rsid w:val="007A530D"/>
    <w:rsid w:val="007A5CB7"/>
    <w:rsid w:val="007A5CE6"/>
    <w:rsid w:val="007A6113"/>
    <w:rsid w:val="007A6DFA"/>
    <w:rsid w:val="007A6F5D"/>
    <w:rsid w:val="007A799B"/>
    <w:rsid w:val="007A7B86"/>
    <w:rsid w:val="007B1A47"/>
    <w:rsid w:val="007B1DED"/>
    <w:rsid w:val="007B2741"/>
    <w:rsid w:val="007B3EEC"/>
    <w:rsid w:val="007B3F83"/>
    <w:rsid w:val="007B3FFF"/>
    <w:rsid w:val="007B47BA"/>
    <w:rsid w:val="007B4B17"/>
    <w:rsid w:val="007B62F5"/>
    <w:rsid w:val="007B6A53"/>
    <w:rsid w:val="007B7A1F"/>
    <w:rsid w:val="007B7ACF"/>
    <w:rsid w:val="007C07D2"/>
    <w:rsid w:val="007C0C41"/>
    <w:rsid w:val="007C0E51"/>
    <w:rsid w:val="007C0F7B"/>
    <w:rsid w:val="007C12FC"/>
    <w:rsid w:val="007C1A56"/>
    <w:rsid w:val="007C1BD2"/>
    <w:rsid w:val="007C22A2"/>
    <w:rsid w:val="007C2322"/>
    <w:rsid w:val="007C2370"/>
    <w:rsid w:val="007C44C4"/>
    <w:rsid w:val="007C4B16"/>
    <w:rsid w:val="007C573D"/>
    <w:rsid w:val="007C5EB7"/>
    <w:rsid w:val="007D02AD"/>
    <w:rsid w:val="007D0368"/>
    <w:rsid w:val="007D04E6"/>
    <w:rsid w:val="007D06EE"/>
    <w:rsid w:val="007D0D57"/>
    <w:rsid w:val="007D1D33"/>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4B4"/>
    <w:rsid w:val="007D6907"/>
    <w:rsid w:val="007D7965"/>
    <w:rsid w:val="007E03E4"/>
    <w:rsid w:val="007E0EDD"/>
    <w:rsid w:val="007E0F1F"/>
    <w:rsid w:val="007E1165"/>
    <w:rsid w:val="007E1EBF"/>
    <w:rsid w:val="007E21CA"/>
    <w:rsid w:val="007E24F9"/>
    <w:rsid w:val="007E2D10"/>
    <w:rsid w:val="007E31D2"/>
    <w:rsid w:val="007E3300"/>
    <w:rsid w:val="007E3601"/>
    <w:rsid w:val="007E36AA"/>
    <w:rsid w:val="007E3899"/>
    <w:rsid w:val="007E4431"/>
    <w:rsid w:val="007E479E"/>
    <w:rsid w:val="007E5533"/>
    <w:rsid w:val="007E5555"/>
    <w:rsid w:val="007E5691"/>
    <w:rsid w:val="007E56DD"/>
    <w:rsid w:val="007E6060"/>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1AB1"/>
    <w:rsid w:val="00801EA6"/>
    <w:rsid w:val="00802C82"/>
    <w:rsid w:val="008033B8"/>
    <w:rsid w:val="008033C1"/>
    <w:rsid w:val="00803689"/>
    <w:rsid w:val="00803DDC"/>
    <w:rsid w:val="00803EBA"/>
    <w:rsid w:val="0080498C"/>
    <w:rsid w:val="008049DB"/>
    <w:rsid w:val="0080557B"/>
    <w:rsid w:val="00805B7B"/>
    <w:rsid w:val="00805D34"/>
    <w:rsid w:val="00806393"/>
    <w:rsid w:val="00806D7C"/>
    <w:rsid w:val="00806FF0"/>
    <w:rsid w:val="00810A80"/>
    <w:rsid w:val="00810AE0"/>
    <w:rsid w:val="00811009"/>
    <w:rsid w:val="00812CAB"/>
    <w:rsid w:val="00812D0A"/>
    <w:rsid w:val="00813405"/>
    <w:rsid w:val="0081357E"/>
    <w:rsid w:val="00813C9D"/>
    <w:rsid w:val="0081462B"/>
    <w:rsid w:val="00814F99"/>
    <w:rsid w:val="00815C51"/>
    <w:rsid w:val="008162C5"/>
    <w:rsid w:val="00816BEF"/>
    <w:rsid w:val="0081722B"/>
    <w:rsid w:val="008179EA"/>
    <w:rsid w:val="00817F99"/>
    <w:rsid w:val="0082025A"/>
    <w:rsid w:val="00820DCE"/>
    <w:rsid w:val="00820DEF"/>
    <w:rsid w:val="008210EA"/>
    <w:rsid w:val="00821B46"/>
    <w:rsid w:val="00821B63"/>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F24"/>
    <w:rsid w:val="00832458"/>
    <w:rsid w:val="00832601"/>
    <w:rsid w:val="00832DD9"/>
    <w:rsid w:val="00832EE1"/>
    <w:rsid w:val="008333BD"/>
    <w:rsid w:val="00833A00"/>
    <w:rsid w:val="008348C4"/>
    <w:rsid w:val="0083687A"/>
    <w:rsid w:val="0083775C"/>
    <w:rsid w:val="008400CE"/>
    <w:rsid w:val="00841218"/>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CB8"/>
    <w:rsid w:val="00856618"/>
    <w:rsid w:val="008566CA"/>
    <w:rsid w:val="008568C5"/>
    <w:rsid w:val="00856B2E"/>
    <w:rsid w:val="008576E8"/>
    <w:rsid w:val="00862342"/>
    <w:rsid w:val="00862D18"/>
    <w:rsid w:val="008632E4"/>
    <w:rsid w:val="008638FB"/>
    <w:rsid w:val="00864BA7"/>
    <w:rsid w:val="00864FA0"/>
    <w:rsid w:val="00864FD5"/>
    <w:rsid w:val="00866B60"/>
    <w:rsid w:val="00867216"/>
    <w:rsid w:val="0086743B"/>
    <w:rsid w:val="0087014B"/>
    <w:rsid w:val="00870347"/>
    <w:rsid w:val="00870CEF"/>
    <w:rsid w:val="0087154B"/>
    <w:rsid w:val="00871579"/>
    <w:rsid w:val="00871B86"/>
    <w:rsid w:val="00872962"/>
    <w:rsid w:val="008729E8"/>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7761A"/>
    <w:rsid w:val="008815C0"/>
    <w:rsid w:val="0088250C"/>
    <w:rsid w:val="008832BB"/>
    <w:rsid w:val="00884182"/>
    <w:rsid w:val="008844CC"/>
    <w:rsid w:val="00884DE8"/>
    <w:rsid w:val="0088512A"/>
    <w:rsid w:val="00885F38"/>
    <w:rsid w:val="008864C3"/>
    <w:rsid w:val="00886B83"/>
    <w:rsid w:val="00887AA2"/>
    <w:rsid w:val="008900AB"/>
    <w:rsid w:val="00890CC0"/>
    <w:rsid w:val="00891630"/>
    <w:rsid w:val="008916E6"/>
    <w:rsid w:val="00891B0F"/>
    <w:rsid w:val="00891D2B"/>
    <w:rsid w:val="0089263D"/>
    <w:rsid w:val="008926B9"/>
    <w:rsid w:val="00892BD6"/>
    <w:rsid w:val="00892CA6"/>
    <w:rsid w:val="008935B1"/>
    <w:rsid w:val="00894579"/>
    <w:rsid w:val="008959FD"/>
    <w:rsid w:val="00895C6B"/>
    <w:rsid w:val="00896D0A"/>
    <w:rsid w:val="0089751D"/>
    <w:rsid w:val="00897A46"/>
    <w:rsid w:val="00897F8F"/>
    <w:rsid w:val="008A0126"/>
    <w:rsid w:val="008A07C5"/>
    <w:rsid w:val="008A0954"/>
    <w:rsid w:val="008A0D61"/>
    <w:rsid w:val="008A241B"/>
    <w:rsid w:val="008A2A96"/>
    <w:rsid w:val="008A3159"/>
    <w:rsid w:val="008A3F58"/>
    <w:rsid w:val="008A4D01"/>
    <w:rsid w:val="008A531F"/>
    <w:rsid w:val="008A596A"/>
    <w:rsid w:val="008A5DAC"/>
    <w:rsid w:val="008A636F"/>
    <w:rsid w:val="008A6F31"/>
    <w:rsid w:val="008A7065"/>
    <w:rsid w:val="008A78FE"/>
    <w:rsid w:val="008A79F4"/>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C0190"/>
    <w:rsid w:val="008C01FF"/>
    <w:rsid w:val="008C0A9D"/>
    <w:rsid w:val="008C17E1"/>
    <w:rsid w:val="008C32C7"/>
    <w:rsid w:val="008C44C3"/>
    <w:rsid w:val="008C455A"/>
    <w:rsid w:val="008C4A4A"/>
    <w:rsid w:val="008C4CA8"/>
    <w:rsid w:val="008C4E69"/>
    <w:rsid w:val="008C4EDA"/>
    <w:rsid w:val="008C5305"/>
    <w:rsid w:val="008C5566"/>
    <w:rsid w:val="008C562A"/>
    <w:rsid w:val="008C5863"/>
    <w:rsid w:val="008C6D7A"/>
    <w:rsid w:val="008C7124"/>
    <w:rsid w:val="008C713E"/>
    <w:rsid w:val="008C76FE"/>
    <w:rsid w:val="008C7B9B"/>
    <w:rsid w:val="008D0D6B"/>
    <w:rsid w:val="008D0E73"/>
    <w:rsid w:val="008D0EAD"/>
    <w:rsid w:val="008D14B9"/>
    <w:rsid w:val="008D1648"/>
    <w:rsid w:val="008D2745"/>
    <w:rsid w:val="008D2A84"/>
    <w:rsid w:val="008D4D1D"/>
    <w:rsid w:val="008D5D67"/>
    <w:rsid w:val="008D5F2F"/>
    <w:rsid w:val="008D61FF"/>
    <w:rsid w:val="008D6448"/>
    <w:rsid w:val="008D6D3B"/>
    <w:rsid w:val="008D7E7E"/>
    <w:rsid w:val="008E02FA"/>
    <w:rsid w:val="008E1922"/>
    <w:rsid w:val="008E1CD3"/>
    <w:rsid w:val="008E1F25"/>
    <w:rsid w:val="008E202D"/>
    <w:rsid w:val="008E27CB"/>
    <w:rsid w:val="008E2AE3"/>
    <w:rsid w:val="008E449D"/>
    <w:rsid w:val="008E57B4"/>
    <w:rsid w:val="008E58A8"/>
    <w:rsid w:val="008E5DD0"/>
    <w:rsid w:val="008E6374"/>
    <w:rsid w:val="008E6791"/>
    <w:rsid w:val="008E72A7"/>
    <w:rsid w:val="008E7C43"/>
    <w:rsid w:val="008F04AE"/>
    <w:rsid w:val="008F0682"/>
    <w:rsid w:val="008F06E3"/>
    <w:rsid w:val="008F0D7F"/>
    <w:rsid w:val="008F151D"/>
    <w:rsid w:val="008F247C"/>
    <w:rsid w:val="008F2C96"/>
    <w:rsid w:val="008F349F"/>
    <w:rsid w:val="008F3767"/>
    <w:rsid w:val="008F3AB4"/>
    <w:rsid w:val="008F432B"/>
    <w:rsid w:val="008F43F9"/>
    <w:rsid w:val="008F4452"/>
    <w:rsid w:val="008F4F69"/>
    <w:rsid w:val="008F4FFD"/>
    <w:rsid w:val="008F53DF"/>
    <w:rsid w:val="008F6E39"/>
    <w:rsid w:val="00900473"/>
    <w:rsid w:val="009005B3"/>
    <w:rsid w:val="00900ED9"/>
    <w:rsid w:val="009013F6"/>
    <w:rsid w:val="00901880"/>
    <w:rsid w:val="009018CE"/>
    <w:rsid w:val="00901D16"/>
    <w:rsid w:val="00901EB2"/>
    <w:rsid w:val="00902AA5"/>
    <w:rsid w:val="009044CE"/>
    <w:rsid w:val="00904B88"/>
    <w:rsid w:val="00904F14"/>
    <w:rsid w:val="0090562E"/>
    <w:rsid w:val="00905A66"/>
    <w:rsid w:val="00905DB4"/>
    <w:rsid w:val="00906446"/>
    <w:rsid w:val="00906459"/>
    <w:rsid w:val="00906C94"/>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6CC6"/>
    <w:rsid w:val="009175C2"/>
    <w:rsid w:val="0091789A"/>
    <w:rsid w:val="00917BAD"/>
    <w:rsid w:val="00917D64"/>
    <w:rsid w:val="0092038C"/>
    <w:rsid w:val="0092251C"/>
    <w:rsid w:val="009226C5"/>
    <w:rsid w:val="009229C9"/>
    <w:rsid w:val="0092357A"/>
    <w:rsid w:val="0092402B"/>
    <w:rsid w:val="00924588"/>
    <w:rsid w:val="00924A9F"/>
    <w:rsid w:val="00925042"/>
    <w:rsid w:val="009251E0"/>
    <w:rsid w:val="00925E8E"/>
    <w:rsid w:val="009269BD"/>
    <w:rsid w:val="00926AA3"/>
    <w:rsid w:val="009303D6"/>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6BE3"/>
    <w:rsid w:val="00947C03"/>
    <w:rsid w:val="009511EB"/>
    <w:rsid w:val="00951479"/>
    <w:rsid w:val="00951870"/>
    <w:rsid w:val="00951EE6"/>
    <w:rsid w:val="0095273F"/>
    <w:rsid w:val="00953D69"/>
    <w:rsid w:val="00954226"/>
    <w:rsid w:val="00954658"/>
    <w:rsid w:val="00956153"/>
    <w:rsid w:val="009561B4"/>
    <w:rsid w:val="009565AE"/>
    <w:rsid w:val="00956AA3"/>
    <w:rsid w:val="009574B7"/>
    <w:rsid w:val="009605F6"/>
    <w:rsid w:val="009611D3"/>
    <w:rsid w:val="0096138E"/>
    <w:rsid w:val="00962193"/>
    <w:rsid w:val="009627CF"/>
    <w:rsid w:val="00962A11"/>
    <w:rsid w:val="00962BCB"/>
    <w:rsid w:val="00962E7D"/>
    <w:rsid w:val="00963AF5"/>
    <w:rsid w:val="0096406A"/>
    <w:rsid w:val="00964A4F"/>
    <w:rsid w:val="00964D10"/>
    <w:rsid w:val="00965153"/>
    <w:rsid w:val="00965371"/>
    <w:rsid w:val="00965468"/>
    <w:rsid w:val="00965874"/>
    <w:rsid w:val="00965E71"/>
    <w:rsid w:val="009667F1"/>
    <w:rsid w:val="009668D3"/>
    <w:rsid w:val="009670C2"/>
    <w:rsid w:val="00970100"/>
    <w:rsid w:val="0097040B"/>
    <w:rsid w:val="00970E85"/>
    <w:rsid w:val="00972177"/>
    <w:rsid w:val="00973222"/>
    <w:rsid w:val="00973DF4"/>
    <w:rsid w:val="00974624"/>
    <w:rsid w:val="00975087"/>
    <w:rsid w:val="00975C59"/>
    <w:rsid w:val="00975DEE"/>
    <w:rsid w:val="00976215"/>
    <w:rsid w:val="00976309"/>
    <w:rsid w:val="0097700C"/>
    <w:rsid w:val="009773D6"/>
    <w:rsid w:val="00977A8A"/>
    <w:rsid w:val="00977C0C"/>
    <w:rsid w:val="009808B3"/>
    <w:rsid w:val="0098149C"/>
    <w:rsid w:val="0098210D"/>
    <w:rsid w:val="00982626"/>
    <w:rsid w:val="00982DCA"/>
    <w:rsid w:val="00983210"/>
    <w:rsid w:val="009833D1"/>
    <w:rsid w:val="0098376A"/>
    <w:rsid w:val="00983F50"/>
    <w:rsid w:val="0098413C"/>
    <w:rsid w:val="0098560B"/>
    <w:rsid w:val="0098605C"/>
    <w:rsid w:val="0098675C"/>
    <w:rsid w:val="00987290"/>
    <w:rsid w:val="009872EB"/>
    <w:rsid w:val="009876EE"/>
    <w:rsid w:val="00987AA2"/>
    <w:rsid w:val="00987B8C"/>
    <w:rsid w:val="00987CEE"/>
    <w:rsid w:val="00990C19"/>
    <w:rsid w:val="00991530"/>
    <w:rsid w:val="009916DA"/>
    <w:rsid w:val="00991D80"/>
    <w:rsid w:val="00991EA5"/>
    <w:rsid w:val="009920AC"/>
    <w:rsid w:val="00992B33"/>
    <w:rsid w:val="009945E8"/>
    <w:rsid w:val="009948E7"/>
    <w:rsid w:val="00994E1C"/>
    <w:rsid w:val="00994FC7"/>
    <w:rsid w:val="009959BD"/>
    <w:rsid w:val="00995E92"/>
    <w:rsid w:val="00996363"/>
    <w:rsid w:val="009964CD"/>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A5"/>
    <w:rsid w:val="009A55FF"/>
    <w:rsid w:val="009A57CD"/>
    <w:rsid w:val="009A5D5A"/>
    <w:rsid w:val="009A5DEE"/>
    <w:rsid w:val="009A600D"/>
    <w:rsid w:val="009A6277"/>
    <w:rsid w:val="009A6783"/>
    <w:rsid w:val="009A73C8"/>
    <w:rsid w:val="009A76E5"/>
    <w:rsid w:val="009A7788"/>
    <w:rsid w:val="009A7AFF"/>
    <w:rsid w:val="009A7D13"/>
    <w:rsid w:val="009B01B2"/>
    <w:rsid w:val="009B0472"/>
    <w:rsid w:val="009B0773"/>
    <w:rsid w:val="009B0DA6"/>
    <w:rsid w:val="009B1362"/>
    <w:rsid w:val="009B1A87"/>
    <w:rsid w:val="009B1B04"/>
    <w:rsid w:val="009B21EE"/>
    <w:rsid w:val="009B2247"/>
    <w:rsid w:val="009B2576"/>
    <w:rsid w:val="009B297F"/>
    <w:rsid w:val="009B298D"/>
    <w:rsid w:val="009B2FD1"/>
    <w:rsid w:val="009B31C1"/>
    <w:rsid w:val="009B3D52"/>
    <w:rsid w:val="009B4548"/>
    <w:rsid w:val="009B4699"/>
    <w:rsid w:val="009B4E55"/>
    <w:rsid w:val="009B55EE"/>
    <w:rsid w:val="009B5882"/>
    <w:rsid w:val="009B6644"/>
    <w:rsid w:val="009B69BA"/>
    <w:rsid w:val="009C0631"/>
    <w:rsid w:val="009C1008"/>
    <w:rsid w:val="009C1AFF"/>
    <w:rsid w:val="009C218C"/>
    <w:rsid w:val="009C21E3"/>
    <w:rsid w:val="009C222F"/>
    <w:rsid w:val="009C25F1"/>
    <w:rsid w:val="009C2B8D"/>
    <w:rsid w:val="009C2C60"/>
    <w:rsid w:val="009C3B12"/>
    <w:rsid w:val="009C3EC8"/>
    <w:rsid w:val="009C4186"/>
    <w:rsid w:val="009C47F5"/>
    <w:rsid w:val="009C59C1"/>
    <w:rsid w:val="009C6134"/>
    <w:rsid w:val="009C7301"/>
    <w:rsid w:val="009C749C"/>
    <w:rsid w:val="009C788F"/>
    <w:rsid w:val="009C7ACB"/>
    <w:rsid w:val="009C7EF2"/>
    <w:rsid w:val="009D135A"/>
    <w:rsid w:val="009D16E4"/>
    <w:rsid w:val="009D1A50"/>
    <w:rsid w:val="009D2F15"/>
    <w:rsid w:val="009D321C"/>
    <w:rsid w:val="009D32F7"/>
    <w:rsid w:val="009D3F25"/>
    <w:rsid w:val="009D4A53"/>
    <w:rsid w:val="009D4B3F"/>
    <w:rsid w:val="009D500B"/>
    <w:rsid w:val="009D5228"/>
    <w:rsid w:val="009D57AF"/>
    <w:rsid w:val="009D5899"/>
    <w:rsid w:val="009D5EFF"/>
    <w:rsid w:val="009D60D2"/>
    <w:rsid w:val="009D648F"/>
    <w:rsid w:val="009D737C"/>
    <w:rsid w:val="009D7683"/>
    <w:rsid w:val="009D7811"/>
    <w:rsid w:val="009D7A99"/>
    <w:rsid w:val="009D7E70"/>
    <w:rsid w:val="009D7EC6"/>
    <w:rsid w:val="009E0313"/>
    <w:rsid w:val="009E1E04"/>
    <w:rsid w:val="009E1FF9"/>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5BD"/>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2977"/>
    <w:rsid w:val="00A232E0"/>
    <w:rsid w:val="00A23A82"/>
    <w:rsid w:val="00A241F9"/>
    <w:rsid w:val="00A24437"/>
    <w:rsid w:val="00A2480E"/>
    <w:rsid w:val="00A24E7C"/>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B6F"/>
    <w:rsid w:val="00A47C6D"/>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9B1"/>
    <w:rsid w:val="00A63DF1"/>
    <w:rsid w:val="00A6410C"/>
    <w:rsid w:val="00A6435A"/>
    <w:rsid w:val="00A647CD"/>
    <w:rsid w:val="00A6560B"/>
    <w:rsid w:val="00A65C42"/>
    <w:rsid w:val="00A65EF7"/>
    <w:rsid w:val="00A66396"/>
    <w:rsid w:val="00A671D1"/>
    <w:rsid w:val="00A67879"/>
    <w:rsid w:val="00A67EF5"/>
    <w:rsid w:val="00A70B4E"/>
    <w:rsid w:val="00A7218B"/>
    <w:rsid w:val="00A7234D"/>
    <w:rsid w:val="00A72852"/>
    <w:rsid w:val="00A72E28"/>
    <w:rsid w:val="00A732BA"/>
    <w:rsid w:val="00A74454"/>
    <w:rsid w:val="00A754DD"/>
    <w:rsid w:val="00A75510"/>
    <w:rsid w:val="00A75723"/>
    <w:rsid w:val="00A75E47"/>
    <w:rsid w:val="00A766AD"/>
    <w:rsid w:val="00A76961"/>
    <w:rsid w:val="00A76BFB"/>
    <w:rsid w:val="00A778BE"/>
    <w:rsid w:val="00A8122B"/>
    <w:rsid w:val="00A81726"/>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04C"/>
    <w:rsid w:val="00AA1293"/>
    <w:rsid w:val="00AA14C3"/>
    <w:rsid w:val="00AA188D"/>
    <w:rsid w:val="00AA3C6A"/>
    <w:rsid w:val="00AA3EDF"/>
    <w:rsid w:val="00AA4239"/>
    <w:rsid w:val="00AA4D46"/>
    <w:rsid w:val="00AA5361"/>
    <w:rsid w:val="00AA54AE"/>
    <w:rsid w:val="00AA6816"/>
    <w:rsid w:val="00AA69E5"/>
    <w:rsid w:val="00AA6EA6"/>
    <w:rsid w:val="00AA7322"/>
    <w:rsid w:val="00AA75CE"/>
    <w:rsid w:val="00AB023A"/>
    <w:rsid w:val="00AB0C43"/>
    <w:rsid w:val="00AB1098"/>
    <w:rsid w:val="00AB173C"/>
    <w:rsid w:val="00AB188D"/>
    <w:rsid w:val="00AB1B38"/>
    <w:rsid w:val="00AB217D"/>
    <w:rsid w:val="00AB2581"/>
    <w:rsid w:val="00AB2643"/>
    <w:rsid w:val="00AB27C6"/>
    <w:rsid w:val="00AB3031"/>
    <w:rsid w:val="00AB3379"/>
    <w:rsid w:val="00AB3F05"/>
    <w:rsid w:val="00AB4013"/>
    <w:rsid w:val="00AB462F"/>
    <w:rsid w:val="00AB4BB5"/>
    <w:rsid w:val="00AB4C0D"/>
    <w:rsid w:val="00AB557D"/>
    <w:rsid w:val="00AB6477"/>
    <w:rsid w:val="00AB6533"/>
    <w:rsid w:val="00AB689D"/>
    <w:rsid w:val="00AB6EB6"/>
    <w:rsid w:val="00AB7161"/>
    <w:rsid w:val="00AB7675"/>
    <w:rsid w:val="00AB7AA7"/>
    <w:rsid w:val="00AB7E48"/>
    <w:rsid w:val="00AC070D"/>
    <w:rsid w:val="00AC1A14"/>
    <w:rsid w:val="00AC2A94"/>
    <w:rsid w:val="00AC322C"/>
    <w:rsid w:val="00AC33E2"/>
    <w:rsid w:val="00AC3674"/>
    <w:rsid w:val="00AC4392"/>
    <w:rsid w:val="00AC4423"/>
    <w:rsid w:val="00AC4A20"/>
    <w:rsid w:val="00AC4FEA"/>
    <w:rsid w:val="00AC5213"/>
    <w:rsid w:val="00AC53F3"/>
    <w:rsid w:val="00AC56B3"/>
    <w:rsid w:val="00AC584E"/>
    <w:rsid w:val="00AC5B6E"/>
    <w:rsid w:val="00AC5E1A"/>
    <w:rsid w:val="00AC7B80"/>
    <w:rsid w:val="00AD0A32"/>
    <w:rsid w:val="00AD1442"/>
    <w:rsid w:val="00AD14AB"/>
    <w:rsid w:val="00AD1B73"/>
    <w:rsid w:val="00AD20ED"/>
    <w:rsid w:val="00AD20FA"/>
    <w:rsid w:val="00AD2CBD"/>
    <w:rsid w:val="00AD2DED"/>
    <w:rsid w:val="00AD2F04"/>
    <w:rsid w:val="00AD2FE7"/>
    <w:rsid w:val="00AD30DD"/>
    <w:rsid w:val="00AD3BC2"/>
    <w:rsid w:val="00AD4264"/>
    <w:rsid w:val="00AD4434"/>
    <w:rsid w:val="00AD53AA"/>
    <w:rsid w:val="00AD72BC"/>
    <w:rsid w:val="00AD79BF"/>
    <w:rsid w:val="00AD7C84"/>
    <w:rsid w:val="00AE03CE"/>
    <w:rsid w:val="00AE07E1"/>
    <w:rsid w:val="00AE1170"/>
    <w:rsid w:val="00AE1D52"/>
    <w:rsid w:val="00AE2133"/>
    <w:rsid w:val="00AE43F4"/>
    <w:rsid w:val="00AE4550"/>
    <w:rsid w:val="00AE5099"/>
    <w:rsid w:val="00AE50D3"/>
    <w:rsid w:val="00AE597B"/>
    <w:rsid w:val="00AE5A64"/>
    <w:rsid w:val="00AE606A"/>
    <w:rsid w:val="00AE7312"/>
    <w:rsid w:val="00AF013B"/>
    <w:rsid w:val="00AF0A66"/>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5B9"/>
    <w:rsid w:val="00B03D1A"/>
    <w:rsid w:val="00B03EBB"/>
    <w:rsid w:val="00B04DD4"/>
    <w:rsid w:val="00B0530B"/>
    <w:rsid w:val="00B05993"/>
    <w:rsid w:val="00B060CD"/>
    <w:rsid w:val="00B0686C"/>
    <w:rsid w:val="00B06E97"/>
    <w:rsid w:val="00B077F2"/>
    <w:rsid w:val="00B102AD"/>
    <w:rsid w:val="00B10681"/>
    <w:rsid w:val="00B10B50"/>
    <w:rsid w:val="00B116D4"/>
    <w:rsid w:val="00B1238A"/>
    <w:rsid w:val="00B134E7"/>
    <w:rsid w:val="00B13A79"/>
    <w:rsid w:val="00B14B59"/>
    <w:rsid w:val="00B14FC0"/>
    <w:rsid w:val="00B159F7"/>
    <w:rsid w:val="00B16524"/>
    <w:rsid w:val="00B165E7"/>
    <w:rsid w:val="00B16E86"/>
    <w:rsid w:val="00B17315"/>
    <w:rsid w:val="00B1776E"/>
    <w:rsid w:val="00B20364"/>
    <w:rsid w:val="00B20661"/>
    <w:rsid w:val="00B2130C"/>
    <w:rsid w:val="00B215D0"/>
    <w:rsid w:val="00B21EDE"/>
    <w:rsid w:val="00B226A9"/>
    <w:rsid w:val="00B2300D"/>
    <w:rsid w:val="00B230F6"/>
    <w:rsid w:val="00B23139"/>
    <w:rsid w:val="00B232D6"/>
    <w:rsid w:val="00B23368"/>
    <w:rsid w:val="00B23539"/>
    <w:rsid w:val="00B23551"/>
    <w:rsid w:val="00B24DC8"/>
    <w:rsid w:val="00B25335"/>
    <w:rsid w:val="00B2556A"/>
    <w:rsid w:val="00B25FA0"/>
    <w:rsid w:val="00B26338"/>
    <w:rsid w:val="00B26391"/>
    <w:rsid w:val="00B26A06"/>
    <w:rsid w:val="00B27AD5"/>
    <w:rsid w:val="00B27F3D"/>
    <w:rsid w:val="00B30E74"/>
    <w:rsid w:val="00B3108F"/>
    <w:rsid w:val="00B3114E"/>
    <w:rsid w:val="00B3148D"/>
    <w:rsid w:val="00B31A89"/>
    <w:rsid w:val="00B31CC5"/>
    <w:rsid w:val="00B31ECD"/>
    <w:rsid w:val="00B32AD4"/>
    <w:rsid w:val="00B32D60"/>
    <w:rsid w:val="00B33590"/>
    <w:rsid w:val="00B33D79"/>
    <w:rsid w:val="00B33E3B"/>
    <w:rsid w:val="00B33F59"/>
    <w:rsid w:val="00B34483"/>
    <w:rsid w:val="00B345D5"/>
    <w:rsid w:val="00B34DAE"/>
    <w:rsid w:val="00B35683"/>
    <w:rsid w:val="00B359E3"/>
    <w:rsid w:val="00B365CA"/>
    <w:rsid w:val="00B36CA1"/>
    <w:rsid w:val="00B379C8"/>
    <w:rsid w:val="00B40514"/>
    <w:rsid w:val="00B41014"/>
    <w:rsid w:val="00B41534"/>
    <w:rsid w:val="00B4154B"/>
    <w:rsid w:val="00B41784"/>
    <w:rsid w:val="00B427EF"/>
    <w:rsid w:val="00B42E68"/>
    <w:rsid w:val="00B43910"/>
    <w:rsid w:val="00B4420E"/>
    <w:rsid w:val="00B45669"/>
    <w:rsid w:val="00B46554"/>
    <w:rsid w:val="00B466F0"/>
    <w:rsid w:val="00B467BB"/>
    <w:rsid w:val="00B47E3B"/>
    <w:rsid w:val="00B50892"/>
    <w:rsid w:val="00B511ED"/>
    <w:rsid w:val="00B51602"/>
    <w:rsid w:val="00B51F21"/>
    <w:rsid w:val="00B52540"/>
    <w:rsid w:val="00B53C34"/>
    <w:rsid w:val="00B53F0D"/>
    <w:rsid w:val="00B5455A"/>
    <w:rsid w:val="00B5657A"/>
    <w:rsid w:val="00B56B84"/>
    <w:rsid w:val="00B57961"/>
    <w:rsid w:val="00B57C56"/>
    <w:rsid w:val="00B61614"/>
    <w:rsid w:val="00B61672"/>
    <w:rsid w:val="00B61B8F"/>
    <w:rsid w:val="00B61EEB"/>
    <w:rsid w:val="00B62488"/>
    <w:rsid w:val="00B627C2"/>
    <w:rsid w:val="00B628A4"/>
    <w:rsid w:val="00B62D2F"/>
    <w:rsid w:val="00B63293"/>
    <w:rsid w:val="00B64774"/>
    <w:rsid w:val="00B64E06"/>
    <w:rsid w:val="00B65CB5"/>
    <w:rsid w:val="00B65D4A"/>
    <w:rsid w:val="00B668FC"/>
    <w:rsid w:val="00B66B65"/>
    <w:rsid w:val="00B70F06"/>
    <w:rsid w:val="00B70FEF"/>
    <w:rsid w:val="00B7145B"/>
    <w:rsid w:val="00B71881"/>
    <w:rsid w:val="00B718FB"/>
    <w:rsid w:val="00B721B5"/>
    <w:rsid w:val="00B72FA4"/>
    <w:rsid w:val="00B7374F"/>
    <w:rsid w:val="00B74500"/>
    <w:rsid w:val="00B74AFB"/>
    <w:rsid w:val="00B7547E"/>
    <w:rsid w:val="00B754EA"/>
    <w:rsid w:val="00B75A04"/>
    <w:rsid w:val="00B7605A"/>
    <w:rsid w:val="00B768AD"/>
    <w:rsid w:val="00B76D77"/>
    <w:rsid w:val="00B76F41"/>
    <w:rsid w:val="00B7702D"/>
    <w:rsid w:val="00B774E3"/>
    <w:rsid w:val="00B7761D"/>
    <w:rsid w:val="00B77BCD"/>
    <w:rsid w:val="00B77E2A"/>
    <w:rsid w:val="00B8050E"/>
    <w:rsid w:val="00B80BF0"/>
    <w:rsid w:val="00B80E48"/>
    <w:rsid w:val="00B810CD"/>
    <w:rsid w:val="00B81196"/>
    <w:rsid w:val="00B81393"/>
    <w:rsid w:val="00B81607"/>
    <w:rsid w:val="00B81787"/>
    <w:rsid w:val="00B8280A"/>
    <w:rsid w:val="00B83638"/>
    <w:rsid w:val="00B839BC"/>
    <w:rsid w:val="00B84689"/>
    <w:rsid w:val="00B84738"/>
    <w:rsid w:val="00B84B83"/>
    <w:rsid w:val="00B8517C"/>
    <w:rsid w:val="00B853F9"/>
    <w:rsid w:val="00B860D7"/>
    <w:rsid w:val="00B86158"/>
    <w:rsid w:val="00B868DC"/>
    <w:rsid w:val="00B92342"/>
    <w:rsid w:val="00B92412"/>
    <w:rsid w:val="00B92971"/>
    <w:rsid w:val="00B92D1A"/>
    <w:rsid w:val="00B93445"/>
    <w:rsid w:val="00B93720"/>
    <w:rsid w:val="00B938AB"/>
    <w:rsid w:val="00B939A1"/>
    <w:rsid w:val="00B93B87"/>
    <w:rsid w:val="00B9431E"/>
    <w:rsid w:val="00B9465D"/>
    <w:rsid w:val="00B9473D"/>
    <w:rsid w:val="00B94881"/>
    <w:rsid w:val="00B9517B"/>
    <w:rsid w:val="00B95517"/>
    <w:rsid w:val="00B95C12"/>
    <w:rsid w:val="00B961F1"/>
    <w:rsid w:val="00B96885"/>
    <w:rsid w:val="00B96C4E"/>
    <w:rsid w:val="00B973E7"/>
    <w:rsid w:val="00B979CC"/>
    <w:rsid w:val="00B97C50"/>
    <w:rsid w:val="00BA0AC7"/>
    <w:rsid w:val="00BA1434"/>
    <w:rsid w:val="00BA3212"/>
    <w:rsid w:val="00BA3B4B"/>
    <w:rsid w:val="00BA40BE"/>
    <w:rsid w:val="00BA467B"/>
    <w:rsid w:val="00BA4D41"/>
    <w:rsid w:val="00BA57F5"/>
    <w:rsid w:val="00BA58BB"/>
    <w:rsid w:val="00BA67FC"/>
    <w:rsid w:val="00BA6B8E"/>
    <w:rsid w:val="00BA70FF"/>
    <w:rsid w:val="00BA711E"/>
    <w:rsid w:val="00BA7285"/>
    <w:rsid w:val="00BA7BE8"/>
    <w:rsid w:val="00BB08F7"/>
    <w:rsid w:val="00BB0BA7"/>
    <w:rsid w:val="00BB0CA1"/>
    <w:rsid w:val="00BB133D"/>
    <w:rsid w:val="00BB1924"/>
    <w:rsid w:val="00BB22B7"/>
    <w:rsid w:val="00BB26EB"/>
    <w:rsid w:val="00BB2C15"/>
    <w:rsid w:val="00BB37AA"/>
    <w:rsid w:val="00BB3C8A"/>
    <w:rsid w:val="00BB4049"/>
    <w:rsid w:val="00BB5E0A"/>
    <w:rsid w:val="00BB7AF7"/>
    <w:rsid w:val="00BC00C1"/>
    <w:rsid w:val="00BC0230"/>
    <w:rsid w:val="00BC0688"/>
    <w:rsid w:val="00BC11B0"/>
    <w:rsid w:val="00BC1478"/>
    <w:rsid w:val="00BC1BFE"/>
    <w:rsid w:val="00BC2264"/>
    <w:rsid w:val="00BC2C3A"/>
    <w:rsid w:val="00BC3982"/>
    <w:rsid w:val="00BC3B6C"/>
    <w:rsid w:val="00BC3CE2"/>
    <w:rsid w:val="00BC3E3B"/>
    <w:rsid w:val="00BC52DE"/>
    <w:rsid w:val="00BC69C6"/>
    <w:rsid w:val="00BC7956"/>
    <w:rsid w:val="00BD0288"/>
    <w:rsid w:val="00BD02E6"/>
    <w:rsid w:val="00BD065D"/>
    <w:rsid w:val="00BD0CF8"/>
    <w:rsid w:val="00BD0DDA"/>
    <w:rsid w:val="00BD1469"/>
    <w:rsid w:val="00BD154F"/>
    <w:rsid w:val="00BD1AFC"/>
    <w:rsid w:val="00BD1E2C"/>
    <w:rsid w:val="00BD1FF6"/>
    <w:rsid w:val="00BD2256"/>
    <w:rsid w:val="00BD24B6"/>
    <w:rsid w:val="00BD3080"/>
    <w:rsid w:val="00BD3124"/>
    <w:rsid w:val="00BD316A"/>
    <w:rsid w:val="00BD33EC"/>
    <w:rsid w:val="00BD3A94"/>
    <w:rsid w:val="00BD4CF5"/>
    <w:rsid w:val="00BD5C38"/>
    <w:rsid w:val="00BD6C08"/>
    <w:rsid w:val="00BD71E6"/>
    <w:rsid w:val="00BD72A6"/>
    <w:rsid w:val="00BD762F"/>
    <w:rsid w:val="00BD7A8E"/>
    <w:rsid w:val="00BD7D70"/>
    <w:rsid w:val="00BE0529"/>
    <w:rsid w:val="00BE09C7"/>
    <w:rsid w:val="00BE12EF"/>
    <w:rsid w:val="00BE1AA5"/>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7783"/>
    <w:rsid w:val="00BE7B46"/>
    <w:rsid w:val="00BF02D4"/>
    <w:rsid w:val="00BF0724"/>
    <w:rsid w:val="00BF15B9"/>
    <w:rsid w:val="00BF1896"/>
    <w:rsid w:val="00BF324E"/>
    <w:rsid w:val="00BF329F"/>
    <w:rsid w:val="00BF3D79"/>
    <w:rsid w:val="00BF3DDC"/>
    <w:rsid w:val="00BF4674"/>
    <w:rsid w:val="00BF47B7"/>
    <w:rsid w:val="00BF5020"/>
    <w:rsid w:val="00BF55BA"/>
    <w:rsid w:val="00BF58F2"/>
    <w:rsid w:val="00BF590D"/>
    <w:rsid w:val="00BF63BD"/>
    <w:rsid w:val="00BF6637"/>
    <w:rsid w:val="00BF6D3F"/>
    <w:rsid w:val="00BF756C"/>
    <w:rsid w:val="00BF7870"/>
    <w:rsid w:val="00BF794A"/>
    <w:rsid w:val="00BF7E92"/>
    <w:rsid w:val="00C017D4"/>
    <w:rsid w:val="00C023E0"/>
    <w:rsid w:val="00C024DF"/>
    <w:rsid w:val="00C028F9"/>
    <w:rsid w:val="00C02F52"/>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77A9"/>
    <w:rsid w:val="00C10D34"/>
    <w:rsid w:val="00C11612"/>
    <w:rsid w:val="00C11B8C"/>
    <w:rsid w:val="00C12101"/>
    <w:rsid w:val="00C1230F"/>
    <w:rsid w:val="00C12EC3"/>
    <w:rsid w:val="00C13810"/>
    <w:rsid w:val="00C13934"/>
    <w:rsid w:val="00C13B21"/>
    <w:rsid w:val="00C14234"/>
    <w:rsid w:val="00C14C9F"/>
    <w:rsid w:val="00C152BD"/>
    <w:rsid w:val="00C155CC"/>
    <w:rsid w:val="00C15941"/>
    <w:rsid w:val="00C15A4A"/>
    <w:rsid w:val="00C160D1"/>
    <w:rsid w:val="00C168BD"/>
    <w:rsid w:val="00C16E20"/>
    <w:rsid w:val="00C16F02"/>
    <w:rsid w:val="00C170CD"/>
    <w:rsid w:val="00C2047B"/>
    <w:rsid w:val="00C20A4F"/>
    <w:rsid w:val="00C215BB"/>
    <w:rsid w:val="00C21801"/>
    <w:rsid w:val="00C2304D"/>
    <w:rsid w:val="00C236EB"/>
    <w:rsid w:val="00C23BE9"/>
    <w:rsid w:val="00C24016"/>
    <w:rsid w:val="00C24904"/>
    <w:rsid w:val="00C2541E"/>
    <w:rsid w:val="00C25F86"/>
    <w:rsid w:val="00C2649C"/>
    <w:rsid w:val="00C26623"/>
    <w:rsid w:val="00C26685"/>
    <w:rsid w:val="00C26D74"/>
    <w:rsid w:val="00C2701E"/>
    <w:rsid w:val="00C27850"/>
    <w:rsid w:val="00C30824"/>
    <w:rsid w:val="00C30AA8"/>
    <w:rsid w:val="00C30F87"/>
    <w:rsid w:val="00C31BF8"/>
    <w:rsid w:val="00C3273C"/>
    <w:rsid w:val="00C3307F"/>
    <w:rsid w:val="00C33F77"/>
    <w:rsid w:val="00C345F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C52"/>
    <w:rsid w:val="00C60D23"/>
    <w:rsid w:val="00C615B8"/>
    <w:rsid w:val="00C61AFD"/>
    <w:rsid w:val="00C62D67"/>
    <w:rsid w:val="00C6356B"/>
    <w:rsid w:val="00C652E2"/>
    <w:rsid w:val="00C653FB"/>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A01"/>
    <w:rsid w:val="00C75BCA"/>
    <w:rsid w:val="00C75C66"/>
    <w:rsid w:val="00C75DB6"/>
    <w:rsid w:val="00C76E04"/>
    <w:rsid w:val="00C76FB0"/>
    <w:rsid w:val="00C81278"/>
    <w:rsid w:val="00C81A2C"/>
    <w:rsid w:val="00C82647"/>
    <w:rsid w:val="00C8285E"/>
    <w:rsid w:val="00C82F2D"/>
    <w:rsid w:val="00C83260"/>
    <w:rsid w:val="00C836F0"/>
    <w:rsid w:val="00C8398B"/>
    <w:rsid w:val="00C84318"/>
    <w:rsid w:val="00C84A10"/>
    <w:rsid w:val="00C856BE"/>
    <w:rsid w:val="00C85F2C"/>
    <w:rsid w:val="00C8734C"/>
    <w:rsid w:val="00C87A9E"/>
    <w:rsid w:val="00C9097C"/>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41B5"/>
    <w:rsid w:val="00CA47F5"/>
    <w:rsid w:val="00CA4CA2"/>
    <w:rsid w:val="00CA5103"/>
    <w:rsid w:val="00CA5368"/>
    <w:rsid w:val="00CA6310"/>
    <w:rsid w:val="00CA6FE5"/>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3E2E"/>
    <w:rsid w:val="00CC597B"/>
    <w:rsid w:val="00CC5AA0"/>
    <w:rsid w:val="00CC669A"/>
    <w:rsid w:val="00CC75B6"/>
    <w:rsid w:val="00CC779B"/>
    <w:rsid w:val="00CD28B2"/>
    <w:rsid w:val="00CD2DD0"/>
    <w:rsid w:val="00CD33EE"/>
    <w:rsid w:val="00CD3776"/>
    <w:rsid w:val="00CD4D65"/>
    <w:rsid w:val="00CD5120"/>
    <w:rsid w:val="00CD55B1"/>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BC1"/>
    <w:rsid w:val="00CE7E34"/>
    <w:rsid w:val="00CF0639"/>
    <w:rsid w:val="00CF0AE5"/>
    <w:rsid w:val="00CF12B7"/>
    <w:rsid w:val="00CF14A0"/>
    <w:rsid w:val="00CF19DF"/>
    <w:rsid w:val="00CF1E19"/>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11"/>
    <w:rsid w:val="00D005B4"/>
    <w:rsid w:val="00D00784"/>
    <w:rsid w:val="00D00BC5"/>
    <w:rsid w:val="00D00D4D"/>
    <w:rsid w:val="00D01549"/>
    <w:rsid w:val="00D019EA"/>
    <w:rsid w:val="00D01AD1"/>
    <w:rsid w:val="00D02277"/>
    <w:rsid w:val="00D022F4"/>
    <w:rsid w:val="00D02BB4"/>
    <w:rsid w:val="00D03128"/>
    <w:rsid w:val="00D033C8"/>
    <w:rsid w:val="00D03B43"/>
    <w:rsid w:val="00D03C14"/>
    <w:rsid w:val="00D046B2"/>
    <w:rsid w:val="00D04B2D"/>
    <w:rsid w:val="00D04C84"/>
    <w:rsid w:val="00D052B0"/>
    <w:rsid w:val="00D053AF"/>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3294"/>
    <w:rsid w:val="00D135C9"/>
    <w:rsid w:val="00D13A91"/>
    <w:rsid w:val="00D13CB3"/>
    <w:rsid w:val="00D14D12"/>
    <w:rsid w:val="00D171C8"/>
    <w:rsid w:val="00D20137"/>
    <w:rsid w:val="00D208E6"/>
    <w:rsid w:val="00D2190E"/>
    <w:rsid w:val="00D21A55"/>
    <w:rsid w:val="00D22651"/>
    <w:rsid w:val="00D23AD0"/>
    <w:rsid w:val="00D23B0A"/>
    <w:rsid w:val="00D23E23"/>
    <w:rsid w:val="00D24239"/>
    <w:rsid w:val="00D24BAF"/>
    <w:rsid w:val="00D24C26"/>
    <w:rsid w:val="00D255C6"/>
    <w:rsid w:val="00D2620A"/>
    <w:rsid w:val="00D27091"/>
    <w:rsid w:val="00D277EE"/>
    <w:rsid w:val="00D27D59"/>
    <w:rsid w:val="00D309DD"/>
    <w:rsid w:val="00D30C66"/>
    <w:rsid w:val="00D30D75"/>
    <w:rsid w:val="00D30ECB"/>
    <w:rsid w:val="00D31163"/>
    <w:rsid w:val="00D31D60"/>
    <w:rsid w:val="00D3238A"/>
    <w:rsid w:val="00D3330C"/>
    <w:rsid w:val="00D3330E"/>
    <w:rsid w:val="00D3349D"/>
    <w:rsid w:val="00D33682"/>
    <w:rsid w:val="00D34598"/>
    <w:rsid w:val="00D3511A"/>
    <w:rsid w:val="00D35572"/>
    <w:rsid w:val="00D35F28"/>
    <w:rsid w:val="00D36458"/>
    <w:rsid w:val="00D3672A"/>
    <w:rsid w:val="00D368A2"/>
    <w:rsid w:val="00D368FF"/>
    <w:rsid w:val="00D369D2"/>
    <w:rsid w:val="00D36D8E"/>
    <w:rsid w:val="00D37295"/>
    <w:rsid w:val="00D374D1"/>
    <w:rsid w:val="00D37596"/>
    <w:rsid w:val="00D37899"/>
    <w:rsid w:val="00D37FCE"/>
    <w:rsid w:val="00D40238"/>
    <w:rsid w:val="00D40D79"/>
    <w:rsid w:val="00D4117C"/>
    <w:rsid w:val="00D41258"/>
    <w:rsid w:val="00D43430"/>
    <w:rsid w:val="00D439C3"/>
    <w:rsid w:val="00D449C6"/>
    <w:rsid w:val="00D44A3B"/>
    <w:rsid w:val="00D451A0"/>
    <w:rsid w:val="00D451C2"/>
    <w:rsid w:val="00D45385"/>
    <w:rsid w:val="00D45C34"/>
    <w:rsid w:val="00D4777F"/>
    <w:rsid w:val="00D478D3"/>
    <w:rsid w:val="00D5062B"/>
    <w:rsid w:val="00D50B46"/>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E9D"/>
    <w:rsid w:val="00D65A11"/>
    <w:rsid w:val="00D65B91"/>
    <w:rsid w:val="00D662C7"/>
    <w:rsid w:val="00D66CD5"/>
    <w:rsid w:val="00D67145"/>
    <w:rsid w:val="00D70FF2"/>
    <w:rsid w:val="00D7160F"/>
    <w:rsid w:val="00D7197E"/>
    <w:rsid w:val="00D726FD"/>
    <w:rsid w:val="00D72C26"/>
    <w:rsid w:val="00D73288"/>
    <w:rsid w:val="00D73686"/>
    <w:rsid w:val="00D7371E"/>
    <w:rsid w:val="00D741DB"/>
    <w:rsid w:val="00D742A0"/>
    <w:rsid w:val="00D74E88"/>
    <w:rsid w:val="00D75216"/>
    <w:rsid w:val="00D75459"/>
    <w:rsid w:val="00D756A7"/>
    <w:rsid w:val="00D75D33"/>
    <w:rsid w:val="00D75E56"/>
    <w:rsid w:val="00D763AE"/>
    <w:rsid w:val="00D76CD8"/>
    <w:rsid w:val="00D76F2E"/>
    <w:rsid w:val="00D77919"/>
    <w:rsid w:val="00D779D4"/>
    <w:rsid w:val="00D8158C"/>
    <w:rsid w:val="00D8359E"/>
    <w:rsid w:val="00D85096"/>
    <w:rsid w:val="00D857FE"/>
    <w:rsid w:val="00D86F69"/>
    <w:rsid w:val="00D86F82"/>
    <w:rsid w:val="00D87458"/>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96E0B"/>
    <w:rsid w:val="00D97CEB"/>
    <w:rsid w:val="00DA0A11"/>
    <w:rsid w:val="00DA0F56"/>
    <w:rsid w:val="00DA26B3"/>
    <w:rsid w:val="00DA2FCF"/>
    <w:rsid w:val="00DA3113"/>
    <w:rsid w:val="00DA3199"/>
    <w:rsid w:val="00DA38EC"/>
    <w:rsid w:val="00DA3AAC"/>
    <w:rsid w:val="00DA3F40"/>
    <w:rsid w:val="00DA435A"/>
    <w:rsid w:val="00DA43EB"/>
    <w:rsid w:val="00DA465F"/>
    <w:rsid w:val="00DA4823"/>
    <w:rsid w:val="00DA4E2E"/>
    <w:rsid w:val="00DA518C"/>
    <w:rsid w:val="00DA5B16"/>
    <w:rsid w:val="00DA654C"/>
    <w:rsid w:val="00DA77DE"/>
    <w:rsid w:val="00DA7C18"/>
    <w:rsid w:val="00DB0A0F"/>
    <w:rsid w:val="00DB2AEF"/>
    <w:rsid w:val="00DB2B51"/>
    <w:rsid w:val="00DB341C"/>
    <w:rsid w:val="00DB4525"/>
    <w:rsid w:val="00DB47A5"/>
    <w:rsid w:val="00DB4D17"/>
    <w:rsid w:val="00DB5340"/>
    <w:rsid w:val="00DB55E1"/>
    <w:rsid w:val="00DB5EDA"/>
    <w:rsid w:val="00DB7CED"/>
    <w:rsid w:val="00DC09FC"/>
    <w:rsid w:val="00DC102C"/>
    <w:rsid w:val="00DC1EC8"/>
    <w:rsid w:val="00DC2E18"/>
    <w:rsid w:val="00DC2FA0"/>
    <w:rsid w:val="00DC30FE"/>
    <w:rsid w:val="00DC3512"/>
    <w:rsid w:val="00DC385E"/>
    <w:rsid w:val="00DC3EC8"/>
    <w:rsid w:val="00DC4068"/>
    <w:rsid w:val="00DC4145"/>
    <w:rsid w:val="00DC493B"/>
    <w:rsid w:val="00DC739E"/>
    <w:rsid w:val="00DC759F"/>
    <w:rsid w:val="00DC7E99"/>
    <w:rsid w:val="00DD0B51"/>
    <w:rsid w:val="00DD0BE6"/>
    <w:rsid w:val="00DD1707"/>
    <w:rsid w:val="00DD1C59"/>
    <w:rsid w:val="00DD23B0"/>
    <w:rsid w:val="00DD2FD9"/>
    <w:rsid w:val="00DD3272"/>
    <w:rsid w:val="00DD3467"/>
    <w:rsid w:val="00DD3C70"/>
    <w:rsid w:val="00DD45B5"/>
    <w:rsid w:val="00DD474F"/>
    <w:rsid w:val="00DD4A1A"/>
    <w:rsid w:val="00DD52FC"/>
    <w:rsid w:val="00DD5516"/>
    <w:rsid w:val="00DD5C3A"/>
    <w:rsid w:val="00DD64C8"/>
    <w:rsid w:val="00DD674D"/>
    <w:rsid w:val="00DD701C"/>
    <w:rsid w:val="00DD7DA4"/>
    <w:rsid w:val="00DE017D"/>
    <w:rsid w:val="00DE0CC3"/>
    <w:rsid w:val="00DE0F83"/>
    <w:rsid w:val="00DE2C73"/>
    <w:rsid w:val="00DE3136"/>
    <w:rsid w:val="00DE39F4"/>
    <w:rsid w:val="00DE39F8"/>
    <w:rsid w:val="00DE3A27"/>
    <w:rsid w:val="00DE3A6B"/>
    <w:rsid w:val="00DE3C7D"/>
    <w:rsid w:val="00DE4965"/>
    <w:rsid w:val="00DE4EA8"/>
    <w:rsid w:val="00DE50FD"/>
    <w:rsid w:val="00DE5854"/>
    <w:rsid w:val="00DE587D"/>
    <w:rsid w:val="00DE6805"/>
    <w:rsid w:val="00DE7807"/>
    <w:rsid w:val="00DE7C25"/>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84D"/>
    <w:rsid w:val="00E20A95"/>
    <w:rsid w:val="00E20E02"/>
    <w:rsid w:val="00E21BD1"/>
    <w:rsid w:val="00E2282E"/>
    <w:rsid w:val="00E2294D"/>
    <w:rsid w:val="00E2297A"/>
    <w:rsid w:val="00E229C1"/>
    <w:rsid w:val="00E22C09"/>
    <w:rsid w:val="00E2339C"/>
    <w:rsid w:val="00E238C8"/>
    <w:rsid w:val="00E239E9"/>
    <w:rsid w:val="00E23FAE"/>
    <w:rsid w:val="00E2597C"/>
    <w:rsid w:val="00E26416"/>
    <w:rsid w:val="00E2796A"/>
    <w:rsid w:val="00E30003"/>
    <w:rsid w:val="00E31053"/>
    <w:rsid w:val="00E313CE"/>
    <w:rsid w:val="00E31F09"/>
    <w:rsid w:val="00E320DB"/>
    <w:rsid w:val="00E32733"/>
    <w:rsid w:val="00E32DB0"/>
    <w:rsid w:val="00E32E7A"/>
    <w:rsid w:val="00E331D5"/>
    <w:rsid w:val="00E33AB2"/>
    <w:rsid w:val="00E33E69"/>
    <w:rsid w:val="00E3493A"/>
    <w:rsid w:val="00E3497F"/>
    <w:rsid w:val="00E34E6A"/>
    <w:rsid w:val="00E34F1E"/>
    <w:rsid w:val="00E35F0A"/>
    <w:rsid w:val="00E36245"/>
    <w:rsid w:val="00E363CF"/>
    <w:rsid w:val="00E36D49"/>
    <w:rsid w:val="00E36E14"/>
    <w:rsid w:val="00E40557"/>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E1F"/>
    <w:rsid w:val="00E5104F"/>
    <w:rsid w:val="00E52538"/>
    <w:rsid w:val="00E528AD"/>
    <w:rsid w:val="00E52A22"/>
    <w:rsid w:val="00E53041"/>
    <w:rsid w:val="00E535C2"/>
    <w:rsid w:val="00E53728"/>
    <w:rsid w:val="00E53914"/>
    <w:rsid w:val="00E540D5"/>
    <w:rsid w:val="00E54A4F"/>
    <w:rsid w:val="00E564BC"/>
    <w:rsid w:val="00E5696B"/>
    <w:rsid w:val="00E60221"/>
    <w:rsid w:val="00E6098E"/>
    <w:rsid w:val="00E60A5A"/>
    <w:rsid w:val="00E61389"/>
    <w:rsid w:val="00E61780"/>
    <w:rsid w:val="00E617DF"/>
    <w:rsid w:val="00E61C12"/>
    <w:rsid w:val="00E6275A"/>
    <w:rsid w:val="00E6301A"/>
    <w:rsid w:val="00E649E1"/>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5BEC"/>
    <w:rsid w:val="00E7632F"/>
    <w:rsid w:val="00E767E3"/>
    <w:rsid w:val="00E777A5"/>
    <w:rsid w:val="00E77BF3"/>
    <w:rsid w:val="00E77E32"/>
    <w:rsid w:val="00E800B4"/>
    <w:rsid w:val="00E809C8"/>
    <w:rsid w:val="00E80EE9"/>
    <w:rsid w:val="00E8173D"/>
    <w:rsid w:val="00E81907"/>
    <w:rsid w:val="00E81B11"/>
    <w:rsid w:val="00E825D5"/>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1F"/>
    <w:rsid w:val="00EA0243"/>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A7791"/>
    <w:rsid w:val="00EB051D"/>
    <w:rsid w:val="00EB1072"/>
    <w:rsid w:val="00EB1A14"/>
    <w:rsid w:val="00EB2610"/>
    <w:rsid w:val="00EB2A87"/>
    <w:rsid w:val="00EB2D92"/>
    <w:rsid w:val="00EB3229"/>
    <w:rsid w:val="00EB341F"/>
    <w:rsid w:val="00EB43C4"/>
    <w:rsid w:val="00EB5C2A"/>
    <w:rsid w:val="00EB686E"/>
    <w:rsid w:val="00EB6974"/>
    <w:rsid w:val="00EB6D6E"/>
    <w:rsid w:val="00EB7570"/>
    <w:rsid w:val="00EB76BD"/>
    <w:rsid w:val="00EC02A4"/>
    <w:rsid w:val="00EC05A9"/>
    <w:rsid w:val="00EC07EF"/>
    <w:rsid w:val="00EC2103"/>
    <w:rsid w:val="00EC27C8"/>
    <w:rsid w:val="00EC2BE5"/>
    <w:rsid w:val="00EC2CCA"/>
    <w:rsid w:val="00EC2E57"/>
    <w:rsid w:val="00EC2E71"/>
    <w:rsid w:val="00EC4BC3"/>
    <w:rsid w:val="00EC4D53"/>
    <w:rsid w:val="00EC5347"/>
    <w:rsid w:val="00EC5FAC"/>
    <w:rsid w:val="00EC6B91"/>
    <w:rsid w:val="00EC7652"/>
    <w:rsid w:val="00EC766D"/>
    <w:rsid w:val="00EC7835"/>
    <w:rsid w:val="00ED01FB"/>
    <w:rsid w:val="00ED05EB"/>
    <w:rsid w:val="00ED0D53"/>
    <w:rsid w:val="00ED0ED2"/>
    <w:rsid w:val="00ED25BD"/>
    <w:rsid w:val="00ED3605"/>
    <w:rsid w:val="00ED3CE8"/>
    <w:rsid w:val="00ED47E4"/>
    <w:rsid w:val="00ED4B01"/>
    <w:rsid w:val="00ED5511"/>
    <w:rsid w:val="00ED58AD"/>
    <w:rsid w:val="00ED5E13"/>
    <w:rsid w:val="00ED6524"/>
    <w:rsid w:val="00ED6A91"/>
    <w:rsid w:val="00ED6C71"/>
    <w:rsid w:val="00ED6C7D"/>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793"/>
    <w:rsid w:val="00EF3BE1"/>
    <w:rsid w:val="00EF41A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7A6D"/>
    <w:rsid w:val="00F104AF"/>
    <w:rsid w:val="00F1097C"/>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41F"/>
    <w:rsid w:val="00F2085A"/>
    <w:rsid w:val="00F2166C"/>
    <w:rsid w:val="00F2199B"/>
    <w:rsid w:val="00F2227C"/>
    <w:rsid w:val="00F23548"/>
    <w:rsid w:val="00F2359A"/>
    <w:rsid w:val="00F2404C"/>
    <w:rsid w:val="00F2429E"/>
    <w:rsid w:val="00F25371"/>
    <w:rsid w:val="00F25545"/>
    <w:rsid w:val="00F26340"/>
    <w:rsid w:val="00F265B9"/>
    <w:rsid w:val="00F266AA"/>
    <w:rsid w:val="00F2685A"/>
    <w:rsid w:val="00F2701E"/>
    <w:rsid w:val="00F27557"/>
    <w:rsid w:val="00F27661"/>
    <w:rsid w:val="00F27FFD"/>
    <w:rsid w:val="00F3079C"/>
    <w:rsid w:val="00F3223F"/>
    <w:rsid w:val="00F3267F"/>
    <w:rsid w:val="00F33779"/>
    <w:rsid w:val="00F33B9C"/>
    <w:rsid w:val="00F340F6"/>
    <w:rsid w:val="00F34129"/>
    <w:rsid w:val="00F3424C"/>
    <w:rsid w:val="00F354AA"/>
    <w:rsid w:val="00F3604D"/>
    <w:rsid w:val="00F3659C"/>
    <w:rsid w:val="00F37037"/>
    <w:rsid w:val="00F372FE"/>
    <w:rsid w:val="00F373AE"/>
    <w:rsid w:val="00F3765A"/>
    <w:rsid w:val="00F3771F"/>
    <w:rsid w:val="00F37869"/>
    <w:rsid w:val="00F37A08"/>
    <w:rsid w:val="00F37BB9"/>
    <w:rsid w:val="00F406EC"/>
    <w:rsid w:val="00F40B80"/>
    <w:rsid w:val="00F41B49"/>
    <w:rsid w:val="00F423F0"/>
    <w:rsid w:val="00F42726"/>
    <w:rsid w:val="00F42C78"/>
    <w:rsid w:val="00F430BC"/>
    <w:rsid w:val="00F43C32"/>
    <w:rsid w:val="00F44601"/>
    <w:rsid w:val="00F453B6"/>
    <w:rsid w:val="00F4568C"/>
    <w:rsid w:val="00F45854"/>
    <w:rsid w:val="00F45D0C"/>
    <w:rsid w:val="00F468F2"/>
    <w:rsid w:val="00F4697F"/>
    <w:rsid w:val="00F46B56"/>
    <w:rsid w:val="00F46D54"/>
    <w:rsid w:val="00F50DC4"/>
    <w:rsid w:val="00F50DE4"/>
    <w:rsid w:val="00F524C0"/>
    <w:rsid w:val="00F52A72"/>
    <w:rsid w:val="00F53548"/>
    <w:rsid w:val="00F548BE"/>
    <w:rsid w:val="00F5528F"/>
    <w:rsid w:val="00F567D9"/>
    <w:rsid w:val="00F568B3"/>
    <w:rsid w:val="00F568CD"/>
    <w:rsid w:val="00F569C2"/>
    <w:rsid w:val="00F56AE4"/>
    <w:rsid w:val="00F57C62"/>
    <w:rsid w:val="00F57FC5"/>
    <w:rsid w:val="00F6000C"/>
    <w:rsid w:val="00F61269"/>
    <w:rsid w:val="00F61EFA"/>
    <w:rsid w:val="00F62DFC"/>
    <w:rsid w:val="00F62F58"/>
    <w:rsid w:val="00F6362F"/>
    <w:rsid w:val="00F6381A"/>
    <w:rsid w:val="00F64983"/>
    <w:rsid w:val="00F65403"/>
    <w:rsid w:val="00F658BB"/>
    <w:rsid w:val="00F6598F"/>
    <w:rsid w:val="00F65BF3"/>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40"/>
    <w:rsid w:val="00F82060"/>
    <w:rsid w:val="00F820BF"/>
    <w:rsid w:val="00F83B27"/>
    <w:rsid w:val="00F83E60"/>
    <w:rsid w:val="00F83FD9"/>
    <w:rsid w:val="00F84289"/>
    <w:rsid w:val="00F84293"/>
    <w:rsid w:val="00F857D6"/>
    <w:rsid w:val="00F86CB1"/>
    <w:rsid w:val="00F87193"/>
    <w:rsid w:val="00F8722D"/>
    <w:rsid w:val="00F875A6"/>
    <w:rsid w:val="00F87F99"/>
    <w:rsid w:val="00F87FCA"/>
    <w:rsid w:val="00F902E6"/>
    <w:rsid w:val="00F9196A"/>
    <w:rsid w:val="00F92621"/>
    <w:rsid w:val="00F92790"/>
    <w:rsid w:val="00F92920"/>
    <w:rsid w:val="00F92ACA"/>
    <w:rsid w:val="00F92E7C"/>
    <w:rsid w:val="00F92EAB"/>
    <w:rsid w:val="00F93083"/>
    <w:rsid w:val="00F930D9"/>
    <w:rsid w:val="00F93EEE"/>
    <w:rsid w:val="00F954CA"/>
    <w:rsid w:val="00F96280"/>
    <w:rsid w:val="00F96E84"/>
    <w:rsid w:val="00F97914"/>
    <w:rsid w:val="00FA01D4"/>
    <w:rsid w:val="00FA084F"/>
    <w:rsid w:val="00FA1FED"/>
    <w:rsid w:val="00FA2BD7"/>
    <w:rsid w:val="00FA30F5"/>
    <w:rsid w:val="00FA3BAD"/>
    <w:rsid w:val="00FA3F06"/>
    <w:rsid w:val="00FA416A"/>
    <w:rsid w:val="00FA4744"/>
    <w:rsid w:val="00FA5147"/>
    <w:rsid w:val="00FA62E0"/>
    <w:rsid w:val="00FA63D3"/>
    <w:rsid w:val="00FA6741"/>
    <w:rsid w:val="00FA6B18"/>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4D9A"/>
    <w:rsid w:val="00FB526E"/>
    <w:rsid w:val="00FB5CF6"/>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314B"/>
    <w:rsid w:val="00FC39CA"/>
    <w:rsid w:val="00FC3AE8"/>
    <w:rsid w:val="00FC3C18"/>
    <w:rsid w:val="00FC4A41"/>
    <w:rsid w:val="00FC5E6F"/>
    <w:rsid w:val="00FC7615"/>
    <w:rsid w:val="00FC7785"/>
    <w:rsid w:val="00FC7B9C"/>
    <w:rsid w:val="00FC7F4D"/>
    <w:rsid w:val="00FD058E"/>
    <w:rsid w:val="00FD05BC"/>
    <w:rsid w:val="00FD0E60"/>
    <w:rsid w:val="00FD2102"/>
    <w:rsid w:val="00FD2718"/>
    <w:rsid w:val="00FD3889"/>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63B"/>
    <w:rsid w:val="00FE5DA3"/>
    <w:rsid w:val="00FE66FB"/>
    <w:rsid w:val="00FE6997"/>
    <w:rsid w:val="00FE6FAA"/>
    <w:rsid w:val="00FE7053"/>
    <w:rsid w:val="00FE7884"/>
    <w:rsid w:val="00FE7D12"/>
    <w:rsid w:val="00FF3DBD"/>
    <w:rsid w:val="00FF4204"/>
    <w:rsid w:val="00FF4314"/>
    <w:rsid w:val="00FF456E"/>
    <w:rsid w:val="00FF4A19"/>
    <w:rsid w:val="00FF4CE2"/>
    <w:rsid w:val="00FF520E"/>
    <w:rsid w:val="00FF7533"/>
    <w:rsid w:val="00FF7BA6"/>
    <w:rsid w:val="00FF7C38"/>
    <w:rsid w:val="014D0B1B"/>
    <w:rsid w:val="01F0299B"/>
    <w:rsid w:val="026E4F91"/>
    <w:rsid w:val="041D095D"/>
    <w:rsid w:val="05C87DB9"/>
    <w:rsid w:val="0961739E"/>
    <w:rsid w:val="098E6083"/>
    <w:rsid w:val="0AFB3FA8"/>
    <w:rsid w:val="0B205B2B"/>
    <w:rsid w:val="0B746E86"/>
    <w:rsid w:val="0B782559"/>
    <w:rsid w:val="0D566BC9"/>
    <w:rsid w:val="0E180322"/>
    <w:rsid w:val="0E8C4995"/>
    <w:rsid w:val="0ED91C40"/>
    <w:rsid w:val="0EF27BFB"/>
    <w:rsid w:val="0FBC50EF"/>
    <w:rsid w:val="115F3FD7"/>
    <w:rsid w:val="11A259DD"/>
    <w:rsid w:val="120474A0"/>
    <w:rsid w:val="126D2DCB"/>
    <w:rsid w:val="13102ABE"/>
    <w:rsid w:val="15E33D55"/>
    <w:rsid w:val="167D280D"/>
    <w:rsid w:val="17047766"/>
    <w:rsid w:val="17935895"/>
    <w:rsid w:val="17F52C18"/>
    <w:rsid w:val="184530EF"/>
    <w:rsid w:val="19227A4B"/>
    <w:rsid w:val="1A8A0561"/>
    <w:rsid w:val="1B3E182A"/>
    <w:rsid w:val="1B4B5195"/>
    <w:rsid w:val="1C174C6F"/>
    <w:rsid w:val="1C1E7007"/>
    <w:rsid w:val="1C7C020D"/>
    <w:rsid w:val="1C8F78BA"/>
    <w:rsid w:val="1C9B0D84"/>
    <w:rsid w:val="1CD72374"/>
    <w:rsid w:val="1CDD3F3B"/>
    <w:rsid w:val="1D4D6869"/>
    <w:rsid w:val="1DC51D0D"/>
    <w:rsid w:val="1E2F7187"/>
    <w:rsid w:val="1F751511"/>
    <w:rsid w:val="21760101"/>
    <w:rsid w:val="22723AE6"/>
    <w:rsid w:val="22B25284"/>
    <w:rsid w:val="22C07D9F"/>
    <w:rsid w:val="23056CBA"/>
    <w:rsid w:val="234C1E42"/>
    <w:rsid w:val="23C6059E"/>
    <w:rsid w:val="23C95079"/>
    <w:rsid w:val="24031A53"/>
    <w:rsid w:val="24307C26"/>
    <w:rsid w:val="248E5D4C"/>
    <w:rsid w:val="24C47897"/>
    <w:rsid w:val="24E337F8"/>
    <w:rsid w:val="25214039"/>
    <w:rsid w:val="258D3B57"/>
    <w:rsid w:val="26092E0C"/>
    <w:rsid w:val="262336EE"/>
    <w:rsid w:val="269E4C0C"/>
    <w:rsid w:val="26B50445"/>
    <w:rsid w:val="27024D1A"/>
    <w:rsid w:val="283137B2"/>
    <w:rsid w:val="2AD85037"/>
    <w:rsid w:val="2BD0253B"/>
    <w:rsid w:val="2C444480"/>
    <w:rsid w:val="2C564DC3"/>
    <w:rsid w:val="2C972AE6"/>
    <w:rsid w:val="2D2E5771"/>
    <w:rsid w:val="2D6C141D"/>
    <w:rsid w:val="2EB64B4B"/>
    <w:rsid w:val="2EDB590A"/>
    <w:rsid w:val="2F0A29E3"/>
    <w:rsid w:val="30817D6A"/>
    <w:rsid w:val="3157114E"/>
    <w:rsid w:val="31F2037F"/>
    <w:rsid w:val="329B11F6"/>
    <w:rsid w:val="336E087E"/>
    <w:rsid w:val="33C3087D"/>
    <w:rsid w:val="33DE4110"/>
    <w:rsid w:val="35961B12"/>
    <w:rsid w:val="35C644AC"/>
    <w:rsid w:val="364523AD"/>
    <w:rsid w:val="36700D38"/>
    <w:rsid w:val="36C4673D"/>
    <w:rsid w:val="3772660A"/>
    <w:rsid w:val="37B10B63"/>
    <w:rsid w:val="37D17C49"/>
    <w:rsid w:val="390721D7"/>
    <w:rsid w:val="393B510C"/>
    <w:rsid w:val="393F4767"/>
    <w:rsid w:val="39A97E97"/>
    <w:rsid w:val="3A260C29"/>
    <w:rsid w:val="3B57268D"/>
    <w:rsid w:val="3B6176CE"/>
    <w:rsid w:val="3BE13D5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B1700DF"/>
    <w:rsid w:val="4CB5607E"/>
    <w:rsid w:val="4F0F6A19"/>
    <w:rsid w:val="508F56DF"/>
    <w:rsid w:val="51D10A66"/>
    <w:rsid w:val="528A390F"/>
    <w:rsid w:val="528C6991"/>
    <w:rsid w:val="535E503A"/>
    <w:rsid w:val="54054633"/>
    <w:rsid w:val="540605E4"/>
    <w:rsid w:val="547F0032"/>
    <w:rsid w:val="54A02A20"/>
    <w:rsid w:val="55C87B3E"/>
    <w:rsid w:val="56446F6C"/>
    <w:rsid w:val="583A23D4"/>
    <w:rsid w:val="58D67D8C"/>
    <w:rsid w:val="58E10577"/>
    <w:rsid w:val="59165EF7"/>
    <w:rsid w:val="59702A12"/>
    <w:rsid w:val="5A7A7400"/>
    <w:rsid w:val="5AED2A9C"/>
    <w:rsid w:val="5BC35E30"/>
    <w:rsid w:val="5BC746C9"/>
    <w:rsid w:val="5CC61F72"/>
    <w:rsid w:val="5CF206F7"/>
    <w:rsid w:val="5E2C6C63"/>
    <w:rsid w:val="5EA0340D"/>
    <w:rsid w:val="5EBD3D5F"/>
    <w:rsid w:val="5ED66C3C"/>
    <w:rsid w:val="5F08322C"/>
    <w:rsid w:val="5FDD643B"/>
    <w:rsid w:val="60BA3E42"/>
    <w:rsid w:val="6194383B"/>
    <w:rsid w:val="61A14A39"/>
    <w:rsid w:val="61CB5375"/>
    <w:rsid w:val="623348CA"/>
    <w:rsid w:val="65091AAC"/>
    <w:rsid w:val="65CA685B"/>
    <w:rsid w:val="65CF34A7"/>
    <w:rsid w:val="65F660EF"/>
    <w:rsid w:val="6673798C"/>
    <w:rsid w:val="673905B6"/>
    <w:rsid w:val="681C3942"/>
    <w:rsid w:val="68460AAC"/>
    <w:rsid w:val="68AC1CFE"/>
    <w:rsid w:val="6A9E2C97"/>
    <w:rsid w:val="6BCD1DE6"/>
    <w:rsid w:val="6BFD1C3F"/>
    <w:rsid w:val="6BFF7765"/>
    <w:rsid w:val="6C505023"/>
    <w:rsid w:val="6D14299F"/>
    <w:rsid w:val="6D672A1E"/>
    <w:rsid w:val="6DC237D1"/>
    <w:rsid w:val="6F40725E"/>
    <w:rsid w:val="711172CF"/>
    <w:rsid w:val="71FD54DD"/>
    <w:rsid w:val="7410294D"/>
    <w:rsid w:val="76D71644"/>
    <w:rsid w:val="776C2FB6"/>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60"/>
    <w:qFormat/>
    <w:uiPriority w:val="0"/>
    <w:pPr>
      <w:spacing w:before="460" w:after="450" w:line="360" w:lineRule="auto"/>
      <w:jc w:val="center"/>
      <w:outlineLvl w:val="0"/>
    </w:pPr>
    <w:rPr>
      <w:rFonts w:eastAsiaTheme="minorEastAsia"/>
      <w:bCs w:val="0"/>
      <w:kern w:val="44"/>
      <w:sz w:val="44"/>
      <w:szCs w:val="28"/>
    </w:rPr>
  </w:style>
  <w:style w:type="paragraph" w:styleId="5">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4">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6">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link w:val="64"/>
    <w:qFormat/>
    <w:uiPriority w:val="0"/>
    <w:pPr>
      <w:keepNext/>
      <w:keepLines/>
      <w:numPr>
        <w:ilvl w:val="4"/>
        <w:numId w:val="1"/>
      </w:numPr>
      <w:tabs>
        <w:tab w:val="left" w:pos="371"/>
      </w:tabs>
      <w:spacing w:before="280" w:after="290" w:line="374" w:lineRule="auto"/>
      <w:outlineLvl w:val="4"/>
    </w:pPr>
    <w:rPr>
      <w:b/>
      <w:sz w:val="28"/>
    </w:rPr>
  </w:style>
  <w:style w:type="paragraph" w:styleId="9">
    <w:name w:val="heading 6"/>
    <w:basedOn w:val="1"/>
    <w:next w:val="8"/>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10">
    <w:name w:val="heading 7"/>
    <w:basedOn w:val="1"/>
    <w:next w:val="8"/>
    <w:link w:val="66"/>
    <w:qFormat/>
    <w:uiPriority w:val="9"/>
    <w:pPr>
      <w:keepNext/>
      <w:keepLines/>
      <w:numPr>
        <w:ilvl w:val="6"/>
        <w:numId w:val="1"/>
      </w:numPr>
      <w:spacing w:before="240" w:after="64" w:line="319" w:lineRule="auto"/>
      <w:outlineLvl w:val="6"/>
    </w:pPr>
    <w:rPr>
      <w:b/>
      <w:sz w:val="24"/>
    </w:rPr>
  </w:style>
  <w:style w:type="paragraph" w:styleId="11">
    <w:name w:val="heading 8"/>
    <w:basedOn w:val="1"/>
    <w:next w:val="8"/>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2">
    <w:name w:val="heading 9"/>
    <w:basedOn w:val="1"/>
    <w:next w:val="8"/>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71"/>
    <w:qFormat/>
    <w:uiPriority w:val="0"/>
    <w:pPr>
      <w:spacing w:after="120"/>
    </w:pPr>
  </w:style>
  <w:style w:type="paragraph" w:styleId="8">
    <w:name w:val="Normal Indent"/>
    <w:basedOn w:val="1"/>
    <w:link w:val="63"/>
    <w:qFormat/>
    <w:uiPriority w:val="0"/>
    <w:pPr>
      <w:ind w:firstLine="420" w:firstLineChars="200"/>
    </w:pPr>
  </w:style>
  <w:style w:type="paragraph" w:styleId="13">
    <w:name w:val="toc 7"/>
    <w:basedOn w:val="1"/>
    <w:next w:val="1"/>
    <w:qFormat/>
    <w:uiPriority w:val="0"/>
    <w:pPr>
      <w:ind w:left="1260"/>
      <w:jc w:val="left"/>
    </w:pPr>
    <w:rPr>
      <w:szCs w:val="21"/>
    </w:rPr>
  </w:style>
  <w:style w:type="paragraph" w:styleId="14">
    <w:name w:val="List Number 2"/>
    <w:basedOn w:val="1"/>
    <w:qFormat/>
    <w:uiPriority w:val="0"/>
    <w:pPr>
      <w:tabs>
        <w:tab w:val="left" w:pos="780"/>
      </w:tabs>
      <w:ind w:left="780" w:hanging="360"/>
    </w:pPr>
    <w:rPr>
      <w:szCs w:val="20"/>
    </w:rPr>
  </w:style>
  <w:style w:type="paragraph" w:styleId="15">
    <w:name w:val="List Bullet 4"/>
    <w:basedOn w:val="1"/>
    <w:qFormat/>
    <w:uiPriority w:val="0"/>
    <w:pPr>
      <w:tabs>
        <w:tab w:val="left" w:pos="425"/>
        <w:tab w:val="left" w:pos="1620"/>
      </w:tabs>
      <w:ind w:left="425" w:hanging="425"/>
    </w:pPr>
    <w:rPr>
      <w:szCs w:val="20"/>
    </w:rPr>
  </w:style>
  <w:style w:type="paragraph" w:styleId="16">
    <w:name w:val="caption"/>
    <w:basedOn w:val="1"/>
    <w:next w:val="1"/>
    <w:link w:val="297"/>
    <w:qFormat/>
    <w:uiPriority w:val="0"/>
    <w:rPr>
      <w:rFonts w:ascii="Cambria" w:hAnsi="Cambria" w:eastAsia="黑体"/>
    </w:rPr>
  </w:style>
  <w:style w:type="paragraph" w:styleId="17">
    <w:name w:val="List Bullet"/>
    <w:basedOn w:val="1"/>
    <w:qFormat/>
    <w:uiPriority w:val="0"/>
    <w:pPr>
      <w:numPr>
        <w:ilvl w:val="0"/>
        <w:numId w:val="1"/>
      </w:numPr>
      <w:tabs>
        <w:tab w:val="left" w:pos="360"/>
        <w:tab w:val="clear" w:pos="371"/>
      </w:tabs>
    </w:pPr>
    <w:rPr>
      <w:szCs w:val="20"/>
    </w:rPr>
  </w:style>
  <w:style w:type="paragraph" w:styleId="18">
    <w:name w:val="Document Map"/>
    <w:basedOn w:val="1"/>
    <w:link w:val="73"/>
    <w:qFormat/>
    <w:uiPriority w:val="0"/>
    <w:pPr>
      <w:shd w:val="clear" w:color="auto" w:fill="000080"/>
    </w:pPr>
  </w:style>
  <w:style w:type="paragraph" w:styleId="19">
    <w:name w:val="annotation text"/>
    <w:basedOn w:val="1"/>
    <w:link w:val="69"/>
    <w:qFormat/>
    <w:uiPriority w:val="0"/>
    <w:pPr>
      <w:jc w:val="left"/>
    </w:pPr>
  </w:style>
  <w:style w:type="paragraph" w:styleId="20">
    <w:name w:val="Body Text 3"/>
    <w:basedOn w:val="1"/>
    <w:link w:val="458"/>
    <w:unhideWhenUsed/>
    <w:qFormat/>
    <w:uiPriority w:val="0"/>
    <w:pPr>
      <w:spacing w:after="120"/>
    </w:pPr>
    <w:rPr>
      <w:sz w:val="16"/>
      <w:szCs w:val="16"/>
    </w:rPr>
  </w:style>
  <w:style w:type="paragraph" w:styleId="21">
    <w:name w:val="Body Text Indent"/>
    <w:basedOn w:val="1"/>
    <w:link w:val="74"/>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5"/>
    <w:qFormat/>
    <w:uiPriority w:val="0"/>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63"/>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9"/>
    <w:next w:val="19"/>
    <w:link w:val="70"/>
    <w:qFormat/>
    <w:uiPriority w:val="0"/>
    <w:rPr>
      <w:b/>
      <w:bCs/>
    </w:rPr>
  </w:style>
  <w:style w:type="paragraph" w:styleId="48">
    <w:name w:val="Body Text First Indent"/>
    <w:basedOn w:val="2"/>
    <w:link w:val="72"/>
    <w:qFormat/>
    <w:uiPriority w:val="0"/>
    <w:pPr>
      <w:ind w:firstLine="420" w:firstLineChars="100"/>
    </w:pPr>
  </w:style>
  <w:style w:type="paragraph" w:styleId="49">
    <w:name w:val="Body Text First Indent 2"/>
    <w:basedOn w:val="21"/>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0"/>
    <w:rPr>
      <w:sz w:val="21"/>
      <w:szCs w:val="21"/>
    </w:rPr>
  </w:style>
  <w:style w:type="character" w:customStyle="1" w:styleId="59">
    <w:name w:val="标题 3 Char"/>
    <w:basedOn w:val="52"/>
    <w:link w:val="4"/>
    <w:qFormat/>
    <w:uiPriority w:val="0"/>
    <w:rPr>
      <w:b/>
      <w:bCs/>
      <w:kern w:val="2"/>
      <w:sz w:val="24"/>
      <w:szCs w:val="32"/>
    </w:rPr>
  </w:style>
  <w:style w:type="character" w:customStyle="1" w:styleId="60">
    <w:name w:val="标题 1 Char"/>
    <w:basedOn w:val="52"/>
    <w:link w:val="3"/>
    <w:qFormat/>
    <w:uiPriority w:val="0"/>
    <w:rPr>
      <w:rFonts w:eastAsiaTheme="minorEastAsia"/>
      <w:b/>
      <w:kern w:val="44"/>
      <w:sz w:val="44"/>
      <w:szCs w:val="28"/>
    </w:rPr>
  </w:style>
  <w:style w:type="character" w:customStyle="1" w:styleId="61">
    <w:name w:val="标题 2 Char"/>
    <w:basedOn w:val="52"/>
    <w:link w:val="5"/>
    <w:qFormat/>
    <w:uiPriority w:val="0"/>
    <w:rPr>
      <w:rFonts w:ascii="Arial" w:hAnsi="Arial" w:eastAsiaTheme="minorEastAsia"/>
      <w:b/>
      <w:bCs/>
      <w:kern w:val="2"/>
      <w:sz w:val="28"/>
      <w:szCs w:val="32"/>
    </w:rPr>
  </w:style>
  <w:style w:type="character" w:customStyle="1" w:styleId="62">
    <w:name w:val="标题 4 Char1"/>
    <w:basedOn w:val="52"/>
    <w:link w:val="6"/>
    <w:qFormat/>
    <w:uiPriority w:val="99"/>
    <w:rPr>
      <w:rFonts w:ascii="Arial" w:hAnsi="Arial" w:eastAsia="黑体"/>
      <w:b/>
      <w:bCs/>
      <w:kern w:val="2"/>
      <w:sz w:val="28"/>
      <w:szCs w:val="28"/>
    </w:rPr>
  </w:style>
  <w:style w:type="character" w:customStyle="1" w:styleId="63">
    <w:name w:val="正文缩进 Char"/>
    <w:link w:val="8"/>
    <w:qFormat/>
    <w:uiPriority w:val="0"/>
    <w:rPr>
      <w:rFonts w:eastAsia="宋体"/>
      <w:kern w:val="2"/>
      <w:sz w:val="21"/>
      <w:szCs w:val="24"/>
      <w:lang w:val="en-US" w:eastAsia="zh-CN" w:bidi="ar-SA"/>
    </w:rPr>
  </w:style>
  <w:style w:type="character" w:customStyle="1" w:styleId="64">
    <w:name w:val="标题 5 Char1"/>
    <w:basedOn w:val="52"/>
    <w:link w:val="7"/>
    <w:qFormat/>
    <w:uiPriority w:val="0"/>
    <w:rPr>
      <w:b/>
      <w:kern w:val="2"/>
      <w:sz w:val="28"/>
      <w:szCs w:val="24"/>
    </w:rPr>
  </w:style>
  <w:style w:type="character" w:customStyle="1" w:styleId="65">
    <w:name w:val="标题 6 Char1"/>
    <w:basedOn w:val="52"/>
    <w:link w:val="9"/>
    <w:qFormat/>
    <w:uiPriority w:val="9"/>
    <w:rPr>
      <w:rFonts w:ascii="Arial" w:hAnsi="Arial" w:eastAsia="黑体"/>
      <w:b/>
      <w:kern w:val="2"/>
      <w:sz w:val="24"/>
      <w:szCs w:val="24"/>
    </w:rPr>
  </w:style>
  <w:style w:type="character" w:customStyle="1" w:styleId="66">
    <w:name w:val="标题 7 Char1"/>
    <w:basedOn w:val="52"/>
    <w:link w:val="10"/>
    <w:qFormat/>
    <w:uiPriority w:val="9"/>
    <w:rPr>
      <w:b/>
      <w:kern w:val="2"/>
      <w:sz w:val="24"/>
      <w:szCs w:val="24"/>
    </w:rPr>
  </w:style>
  <w:style w:type="character" w:customStyle="1" w:styleId="67">
    <w:name w:val="标题 8 Char1"/>
    <w:basedOn w:val="52"/>
    <w:link w:val="11"/>
    <w:qFormat/>
    <w:uiPriority w:val="9"/>
    <w:rPr>
      <w:rFonts w:ascii="Arial" w:hAnsi="Arial" w:eastAsia="黑体"/>
      <w:kern w:val="2"/>
      <w:sz w:val="24"/>
      <w:szCs w:val="24"/>
    </w:rPr>
  </w:style>
  <w:style w:type="character" w:customStyle="1" w:styleId="68">
    <w:name w:val="标题 9 Char1"/>
    <w:basedOn w:val="52"/>
    <w:link w:val="12"/>
    <w:qFormat/>
    <w:uiPriority w:val="0"/>
    <w:rPr>
      <w:rFonts w:ascii="Arial" w:hAnsi="Arial" w:eastAsia="黑体"/>
      <w:kern w:val="2"/>
      <w:sz w:val="21"/>
      <w:szCs w:val="24"/>
    </w:rPr>
  </w:style>
  <w:style w:type="character" w:customStyle="1" w:styleId="69">
    <w:name w:val="批注文字 Char"/>
    <w:link w:val="19"/>
    <w:qFormat/>
    <w:uiPriority w:val="0"/>
    <w:rPr>
      <w:kern w:val="2"/>
      <w:sz w:val="21"/>
      <w:szCs w:val="24"/>
    </w:rPr>
  </w:style>
  <w:style w:type="character" w:customStyle="1" w:styleId="70">
    <w:name w:val="批注主题 Char"/>
    <w:basedOn w:val="69"/>
    <w:link w:val="47"/>
    <w:qFormat/>
    <w:uiPriority w:val="0"/>
    <w:rPr>
      <w:b/>
      <w:bCs/>
      <w:kern w:val="2"/>
      <w:sz w:val="21"/>
      <w:szCs w:val="24"/>
    </w:rPr>
  </w:style>
  <w:style w:type="character" w:customStyle="1" w:styleId="71">
    <w:name w:val="正文文本 Char"/>
    <w:basedOn w:val="52"/>
    <w:link w:val="2"/>
    <w:qFormat/>
    <w:uiPriority w:val="0"/>
    <w:rPr>
      <w:kern w:val="2"/>
      <w:sz w:val="21"/>
      <w:szCs w:val="24"/>
    </w:rPr>
  </w:style>
  <w:style w:type="character" w:customStyle="1" w:styleId="72">
    <w:name w:val="正文首行缩进 Char"/>
    <w:link w:val="48"/>
    <w:qFormat/>
    <w:uiPriority w:val="0"/>
    <w:rPr>
      <w:rFonts w:eastAsia="宋体"/>
      <w:kern w:val="2"/>
      <w:sz w:val="21"/>
      <w:szCs w:val="24"/>
      <w:lang w:val="en-US" w:eastAsia="zh-CN" w:bidi="ar-SA"/>
    </w:rPr>
  </w:style>
  <w:style w:type="character" w:customStyle="1" w:styleId="73">
    <w:name w:val="文档结构图 Char"/>
    <w:basedOn w:val="52"/>
    <w:link w:val="18"/>
    <w:qFormat/>
    <w:uiPriority w:val="0"/>
    <w:rPr>
      <w:kern w:val="2"/>
      <w:sz w:val="21"/>
      <w:szCs w:val="24"/>
      <w:shd w:val="clear" w:color="auto" w:fill="000080"/>
    </w:rPr>
  </w:style>
  <w:style w:type="character" w:customStyle="1" w:styleId="74">
    <w:name w:val="正文文本缩进 Char1"/>
    <w:basedOn w:val="52"/>
    <w:link w:val="21"/>
    <w:qFormat/>
    <w:uiPriority w:val="0"/>
    <w:rPr>
      <w:kern w:val="2"/>
      <w:sz w:val="21"/>
      <w:szCs w:val="24"/>
    </w:rPr>
  </w:style>
  <w:style w:type="character" w:customStyle="1" w:styleId="75">
    <w:name w:val="纯文本 Char"/>
    <w:link w:val="26"/>
    <w:qFormat/>
    <w:uiPriority w:val="0"/>
    <w:rPr>
      <w:rFonts w:ascii="宋体" w:hAnsi="Courier New" w:eastAsia="宋体"/>
      <w:kern w:val="2"/>
      <w:sz w:val="21"/>
      <w:lang w:val="en-US" w:eastAsia="zh-CN" w:bidi="ar-SA"/>
    </w:rPr>
  </w:style>
  <w:style w:type="character" w:customStyle="1" w:styleId="76">
    <w:name w:val="正文文本缩进 2 Char1"/>
    <w:link w:val="29"/>
    <w:qFormat/>
    <w:uiPriority w:val="0"/>
    <w:rPr>
      <w:kern w:val="2"/>
      <w:sz w:val="21"/>
      <w:szCs w:val="24"/>
    </w:rPr>
  </w:style>
  <w:style w:type="character" w:customStyle="1" w:styleId="77">
    <w:name w:val="批注框文本 Char"/>
    <w:basedOn w:val="52"/>
    <w:link w:val="30"/>
    <w:qFormat/>
    <w:uiPriority w:val="99"/>
    <w:rPr>
      <w:kern w:val="2"/>
      <w:sz w:val="18"/>
      <w:szCs w:val="18"/>
    </w:rPr>
  </w:style>
  <w:style w:type="character" w:customStyle="1" w:styleId="78">
    <w:name w:val="页脚 Char"/>
    <w:basedOn w:val="52"/>
    <w:link w:val="31"/>
    <w:qFormat/>
    <w:uiPriority w:val="99"/>
    <w:rPr>
      <w:kern w:val="2"/>
      <w:sz w:val="18"/>
      <w:szCs w:val="18"/>
    </w:rPr>
  </w:style>
  <w:style w:type="character" w:customStyle="1" w:styleId="79">
    <w:name w:val="页眉 Char"/>
    <w:link w:val="32"/>
    <w:qFormat/>
    <w:uiPriority w:val="99"/>
    <w:rPr>
      <w:kern w:val="2"/>
      <w:sz w:val="18"/>
      <w:szCs w:val="18"/>
    </w:rPr>
  </w:style>
  <w:style w:type="character" w:customStyle="1" w:styleId="80">
    <w:name w:val="HTML 预设格式 Char1"/>
    <w:link w:val="44"/>
    <w:qFormat/>
    <w:uiPriority w:val="0"/>
    <w:rPr>
      <w:rFonts w:ascii="宋体" w:hAnsi="宋体" w:cs="宋体"/>
      <w:sz w:val="24"/>
      <w:szCs w:val="24"/>
    </w:rPr>
  </w:style>
  <w:style w:type="character" w:customStyle="1" w:styleId="81">
    <w:name w:val="标题 Char"/>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34"/>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Char1"/>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4"/>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首行缩进 2 Char"/>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Char1"/>
    <w:link w:val="16"/>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6"/>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Char1"/>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Char1"/>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Char1"/>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5"/>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7"/>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3"/>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6"/>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Char"/>
    <w:basedOn w:val="52"/>
    <w:link w:val="20"/>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Char"/>
    <w:link w:val="38"/>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Char2"/>
    <w:basedOn w:val="52"/>
    <w:semiHidden/>
    <w:qFormat/>
    <w:uiPriority w:val="0"/>
    <w:rPr>
      <w:kern w:val="2"/>
      <w:sz w:val="18"/>
      <w:szCs w:val="18"/>
    </w:rPr>
  </w:style>
  <w:style w:type="paragraph" w:customStyle="1" w:styleId="482">
    <w:name w:val="_Style 56"/>
    <w:basedOn w:val="1"/>
    <w:next w:val="26"/>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5">
    <w:name w:val="纯文本 Char2"/>
    <w:qFormat/>
    <w:uiPriority w:val="99"/>
    <w:rPr>
      <w:rFonts w:ascii="宋体" w:hAnsi="Courier New"/>
      <w:kern w:val="2"/>
      <w:sz w:val="21"/>
    </w:rPr>
  </w:style>
  <w:style w:type="paragraph" w:customStyle="1" w:styleId="506">
    <w:name w:val="表格文字"/>
    <w:basedOn w:val="1"/>
    <w:qFormat/>
    <w:uiPriority w:val="0"/>
    <w:pPr>
      <w:spacing w:before="25" w:after="25"/>
      <w:jc w:val="left"/>
    </w:pPr>
    <w:rPr>
      <w:bCs/>
      <w:spacing w:val="10"/>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48"/>
    <customShpInfo spid="_x0000_s1047"/>
    <customShpInfo spid="_x0000_s1045"/>
    <customShpInfo spid="_x0000_s104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675AF6-CD8E-4980-9D3D-EDB8B2FB98AD}">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76</Pages>
  <Words>45032</Words>
  <Characters>48206</Characters>
  <Lines>395</Lines>
  <Paragraphs>111</Paragraphs>
  <TotalTime>22</TotalTime>
  <ScaleCrop>false</ScaleCrop>
  <LinksUpToDate>false</LinksUpToDate>
  <CharactersWithSpaces>51360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ZLB </cp:lastModifiedBy>
  <cp:lastPrinted>2020-05-26T01:03:00Z</cp:lastPrinted>
  <dcterms:modified xsi:type="dcterms:W3CDTF">2022-06-21T10:26:48Z</dcterms:modified>
  <dc:title>招标编号：UHO2010-G0029</dc:title>
  <cp:revision>577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876C8FF351F94DA5AB95E4049A78A1E9</vt:lpwstr>
  </property>
</Properties>
</file>