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1587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便携式超高清摄像系统采购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项目编号：SZZZ2022-QA0061</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
      <w:pPr>
        <w:pStyle w:val="2"/>
      </w:pPr>
    </w:p>
    <w:p>
      <w:pPr>
        <w:pStyle w:val="2"/>
      </w:pPr>
    </w:p>
    <w:p>
      <w:pPr>
        <w:pStyle w:val="2"/>
      </w:pPr>
    </w:p>
    <w:p/>
    <w:p>
      <w:pPr>
        <w:pStyle w:val="28"/>
        <w:adjustRightInd w:val="0"/>
        <w:snapToGrid w:val="0"/>
        <w:spacing w:line="300" w:lineRule="auto"/>
        <w:ind w:hanging="835"/>
        <w:jc w:val="center"/>
        <w:rPr>
          <w:rFonts w:asciiTheme="minorEastAsia" w:hAnsiTheme="minorEastAsia" w:eastAsiaTheme="minorEastAsia"/>
          <w:b/>
          <w:bCs/>
          <w:szCs w:val="21"/>
        </w:rPr>
      </w:pPr>
      <w:r>
        <w:rPr>
          <w:rFonts w:hint="eastAsia"/>
          <w:b/>
          <w:snapToGrid w:val="0"/>
          <w:sz w:val="30"/>
        </w:rPr>
        <w:t>二〇二二年四月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bookmarkStart w:id="87" w:name="_GoBack"/>
          <w:bookmarkEnd w:id="87"/>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58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
      <w:pPr>
        <w:pStyle w:val="3"/>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便携式超高清摄像系统采购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5</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日9点30分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SZZZ2022-QA0061</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2、项目名称：便携式超高清摄像系统采购</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98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98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便携式超高清摄像系统采购</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套</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7、合同履行期限：合同签订生效后30日历日内完成安装、调试及验收，货送至采购人指定地点。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（7）本项目接受进口产品投标</w:t>
      </w:r>
      <w:r>
        <w:rPr>
          <w:rFonts w:hint="eastAsia" w:asciiTheme="minorEastAsia" w:hAnsiTheme="minorEastAsia" w:eastAsiaTheme="minorEastAsia"/>
          <w:snapToGrid w:val="0"/>
          <w:color w:val="auto"/>
          <w:sz w:val="21"/>
          <w:lang w:eastAsia="zh-CN"/>
        </w:rPr>
        <w:t>，</w:t>
      </w:r>
      <w:r>
        <w:rPr>
          <w:rFonts w:hint="eastAsia" w:ascii="宋体" w:hAnsi="宋体" w:eastAsia="宋体" w:cs="宋体"/>
          <w:i w:val="0"/>
          <w:iCs w:val="0"/>
          <w:caps w:val="0"/>
          <w:color w:val="000000"/>
          <w:spacing w:val="0"/>
          <w:sz w:val="21"/>
          <w:szCs w:val="21"/>
          <w:shd w:val="clear" w:fill="FFFFFF"/>
        </w:rPr>
        <w:t>但不排斥国产产品参与竞争</w:t>
      </w:r>
      <w:r>
        <w:rPr>
          <w:rFonts w:hint="eastAsia" w:asciiTheme="minorEastAsia" w:hAnsiTheme="minorEastAsia" w:eastAsiaTheme="minorEastAsia"/>
          <w:snapToGrid w:val="0"/>
          <w:color w:val="auto"/>
          <w:sz w:val="21"/>
        </w:rPr>
        <w:t>（进口产品是指通过中国海关报关验放进入中国境内且产自关境外的产品，相关内容以“财库【2007】119号文”和“财办库【2008】248号文”的相关规定为准）。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日9点30分（北京时间）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名称：深圳市中西医结合医院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地址：深圳市宝安区沙井街道沙井大街3号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联系方式：邱工，</w:t>
      </w:r>
      <w:r>
        <w:rPr>
          <w:rFonts w:ascii="宋体" w:hAnsi="宋体" w:eastAsia="宋体"/>
          <w:snapToGrid w:val="0"/>
          <w:color w:val="auto"/>
          <w:sz w:val="21"/>
          <w:szCs w:val="21"/>
        </w:rPr>
        <w:t>0755-27722241-3336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4</w:t>
      </w:r>
      <w:r>
        <w:rPr>
          <w:rFonts w:ascii="宋体" w:hAnsi="宋体"/>
          <w:snapToGrid w:val="0"/>
          <w:kern w:val="0"/>
          <w:sz w:val="24"/>
        </w:rPr>
        <w:t>月</w:t>
      </w:r>
      <w:r>
        <w:rPr>
          <w:rFonts w:hint="eastAsia" w:ascii="宋体" w:hAnsi="宋体"/>
          <w:snapToGrid w:val="0"/>
          <w:kern w:val="0"/>
          <w:sz w:val="24"/>
          <w:lang w:val="en-US" w:eastAsia="zh-CN"/>
        </w:rPr>
        <w:t>26</w:t>
      </w:r>
      <w:r>
        <w:rPr>
          <w:rFonts w:hint="eastAsia" w:ascii="宋体" w:hAnsi="宋体"/>
          <w:snapToGrid w:val="0"/>
          <w:kern w:val="0"/>
          <w:sz w:val="24"/>
        </w:rPr>
        <w:t>日</w:t>
      </w:r>
      <w:r>
        <w:rPr>
          <w:szCs w:val="21"/>
        </w:rPr>
        <w:br w:type="page"/>
      </w:r>
    </w:p>
    <w:p>
      <w:pPr>
        <w:pStyle w:val="3"/>
        <w:spacing w:line="240" w:lineRule="auto"/>
        <w:rPr>
          <w:sz w:val="21"/>
          <w:szCs w:val="21"/>
        </w:rPr>
      </w:pPr>
    </w:p>
    <w:p>
      <w:pPr>
        <w:pStyle w:val="3"/>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便携式超高清摄像系统采购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980,000.00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highlight w:val="none"/>
                <w:lang w:eastAsia="zh-CN"/>
              </w:rPr>
              <w:t>接受进口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便携式超高清摄像系统</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hint="eastAsia" w:ascii="宋体" w:hAnsi="宋体" w:eastAsia="宋体" w:cs="宋体"/>
                <w:kern w:val="0"/>
                <w:szCs w:val="21"/>
                <w:lang w:eastAsia="zh-CN"/>
              </w:rPr>
            </w:pPr>
            <w:r>
              <w:rPr>
                <w:rFonts w:hint="eastAsia" w:ascii="宋体" w:hAnsi="宋体" w:cs="宋体"/>
                <w:kern w:val="0"/>
                <w:szCs w:val="21"/>
                <w:highlight w:val="none"/>
                <w:lang w:eastAsia="zh-CN"/>
              </w:rPr>
              <w:t>接受进口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注：（1）</w:t>
      </w:r>
      <w:r>
        <w:rPr>
          <w:rFonts w:hint="eastAsia" w:ascii="宋体" w:hAnsi="宋体" w:eastAsia="宋体" w:cs="Times New Roman"/>
          <w:b/>
          <w:color w:val="auto"/>
          <w:kern w:val="2"/>
          <w:sz w:val="21"/>
          <w:szCs w:val="21"/>
          <w:highlight w:val="yellow"/>
        </w:rPr>
        <w:t>本项目所属行业为</w:t>
      </w:r>
      <w:r>
        <w:rPr>
          <w:rFonts w:hint="eastAsia" w:ascii="宋体" w:hAnsi="宋体" w:eastAsia="宋体" w:cs="Times New Roman"/>
          <w:b/>
          <w:color w:val="auto"/>
          <w:kern w:val="2"/>
          <w:sz w:val="21"/>
          <w:szCs w:val="21"/>
          <w:highlight w:val="yellow"/>
          <w:u w:val="single"/>
        </w:rPr>
        <w:t xml:space="preserve">  工业  </w:t>
      </w:r>
      <w:r>
        <w:rPr>
          <w:rFonts w:hint="eastAsia" w:ascii="宋体" w:hAnsi="宋体" w:eastAsia="宋体" w:cs="Times New Roman"/>
          <w:b/>
          <w:color w:val="auto"/>
          <w:kern w:val="2"/>
          <w:sz w:val="21"/>
          <w:szCs w:val="21"/>
          <w:highlight w:val="yellow"/>
        </w:rPr>
        <w:t>。</w:t>
      </w:r>
      <w:r>
        <w:rPr>
          <w:rFonts w:hint="eastAsia" w:ascii="宋体" w:hAnsi="宋体" w:eastAsia="宋体" w:cs="Times New Roman"/>
          <w:color w:val="auto"/>
          <w:kern w:val="2"/>
          <w:sz w:val="21"/>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（2）如同时有两家或两家以上（均为制造商的合法代理商）通过资格审查及符合性审查的合格投标人</w:t>
      </w:r>
      <w:r>
        <w:rPr>
          <w:rFonts w:hint="eastAsia" w:ascii="宋体" w:hAnsi="宋体"/>
          <w:b/>
          <w:bCs/>
          <w:snapToGrid w:val="0"/>
          <w:kern w:val="0"/>
          <w:szCs w:val="21"/>
          <w:highlight w:val="yellow"/>
        </w:rPr>
        <w:t>所投产品为相同品牌的，按一家投标人计算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（3）</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（4）备注栏注明“拒绝进口”的产品不接受投标人选用进口产品参与投标；注明“接受进口”的产品允许投标人选用进口产品参与投标，但不排斥国内产品。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adjustRightInd w:val="0"/>
        <w:snapToGrid w:val="0"/>
        <w:spacing w:line="360" w:lineRule="auto"/>
        <w:ind w:firstLine="422" w:firstLineChars="201"/>
        <w:rPr>
          <w:rFonts w:ascii="宋体" w:hAnsi="宋体"/>
          <w:bCs/>
          <w:snapToGrid w:val="0"/>
          <w:kern w:val="0"/>
          <w:szCs w:val="21"/>
          <w:highlight w:val="yellow"/>
        </w:rPr>
      </w:pPr>
      <w:r>
        <w:rPr>
          <w:rFonts w:hint="eastAsia" w:ascii="宋体" w:hAnsi="宋体"/>
          <w:bCs/>
          <w:snapToGrid w:val="0"/>
          <w:kern w:val="0"/>
          <w:szCs w:val="21"/>
          <w:highlight w:val="yellow"/>
        </w:rPr>
        <w:t>★（6）若投标人为所投产品的生产企业，必须提供《医疗器械生产企业许可证》或备案凭证，且生产范围包含该产品；若投标人为所投产品的代理商或授权供应商，必须提供《医疗器械经营企业许可证》或备案凭证，且经营范围包含该产品；当所投产品属于第一类医疗器械时无须提供《医疗器械经营企业许可证》或备案凭证，但投标人应在投标文件中对其所属类别进行书面说明，以上证明材料均提供复印件或扫描件加盖投标人公章，原件备查。</w:t>
      </w:r>
    </w:p>
    <w:p>
      <w:pPr>
        <w:adjustRightInd w:val="0"/>
        <w:snapToGrid w:val="0"/>
        <w:spacing w:line="360" w:lineRule="auto"/>
        <w:ind w:firstLine="422" w:firstLineChars="201"/>
        <w:rPr>
          <w:rFonts w:ascii="宋体" w:hAnsi="宋体"/>
          <w:bCs/>
          <w:snapToGrid w:val="0"/>
          <w:kern w:val="0"/>
          <w:szCs w:val="21"/>
          <w:highlight w:val="yellow"/>
        </w:rPr>
      </w:pPr>
      <w:r>
        <w:rPr>
          <w:rFonts w:hint="eastAsia" w:ascii="宋体" w:hAnsi="宋体"/>
          <w:bCs/>
          <w:snapToGrid w:val="0"/>
          <w:kern w:val="0"/>
          <w:szCs w:val="21"/>
          <w:highlight w:val="yellow"/>
        </w:rPr>
        <w:t>★（7）投标人必须提供所投产品的《医疗器械注册证》或备案凭证（开标时，该证应在有效期内；若不在有效期内，则需提供该证和所投产品在该证有效期内生产的药监局出具的证明文件），以上证明材料均提供复印件或扫描件加盖投标人公章，原件备查。</w:t>
      </w:r>
    </w:p>
    <w:p>
      <w:pPr>
        <w:spacing w:line="360" w:lineRule="auto"/>
        <w:ind w:left="2" w:firstLine="484" w:firstLineChars="201"/>
        <w:rPr>
          <w:rFonts w:ascii="宋体" w:hAnsi="宋体"/>
          <w:b/>
          <w:bCs/>
          <w:snapToGrid w:val="0"/>
          <w:kern w:val="0"/>
          <w:sz w:val="24"/>
        </w:rPr>
      </w:pPr>
    </w:p>
    <w:p>
      <w:pPr>
        <w:adjustRightInd w:val="0"/>
        <w:snapToGrid w:val="0"/>
        <w:spacing w:line="360" w:lineRule="auto"/>
        <w:ind w:firstLine="484" w:firstLineChars="201"/>
        <w:rPr>
          <w:rFonts w:ascii="宋体" w:hAnsi="宋体"/>
          <w:b/>
          <w:bCs/>
          <w:snapToGrid w:val="0"/>
          <w:kern w:val="0"/>
          <w:szCs w:val="21"/>
        </w:rPr>
      </w:pPr>
      <w:r>
        <w:rPr>
          <w:rFonts w:hint="eastAsia" w:ascii="宋体" w:hAnsi="宋体"/>
          <w:b/>
          <w:bCs/>
          <w:snapToGrid w:val="0"/>
          <w:kern w:val="0"/>
          <w:sz w:val="24"/>
        </w:rPr>
        <w:t>二、技术要求</w:t>
      </w:r>
      <w:r>
        <w:rPr>
          <w:rFonts w:hint="eastAsia" w:ascii="宋体" w:hAnsi="宋体"/>
          <w:b/>
          <w:bCs/>
          <w:snapToGrid w:val="0"/>
          <w:kern w:val="0"/>
          <w:sz w:val="24"/>
        </w:rPr>
        <w:br w:type="textWrapping"/>
      </w:r>
      <w:r>
        <w:rPr>
          <w:rFonts w:hint="eastAsia" w:ascii="宋体" w:hAnsi="宋体"/>
          <w:b/>
          <w:bCs/>
          <w:snapToGrid w:val="0"/>
          <w:kern w:val="0"/>
          <w:sz w:val="24"/>
        </w:rPr>
        <w:t xml:space="preserve">    </w:t>
      </w:r>
      <w:r>
        <w:rPr>
          <w:rFonts w:hint="eastAsia" w:ascii="宋体" w:hAnsi="宋体"/>
          <w:b/>
          <w:bCs/>
          <w:snapToGrid w:val="0"/>
          <w:kern w:val="0"/>
          <w:szCs w:val="21"/>
        </w:rPr>
        <w:t>（一）用途</w:t>
      </w:r>
      <w:r>
        <w:rPr>
          <w:rFonts w:hint="eastAsia" w:ascii="宋体" w:hAnsi="宋体"/>
          <w:b/>
          <w:bCs/>
          <w:snapToGrid w:val="0"/>
          <w:kern w:val="0"/>
          <w:szCs w:val="21"/>
        </w:rPr>
        <w:br w:type="textWrapping"/>
      </w:r>
      <w:r>
        <w:rPr>
          <w:rFonts w:hint="eastAsia" w:ascii="宋体" w:hAnsi="宋体"/>
          <w:b/>
          <w:bCs/>
          <w:snapToGrid w:val="0"/>
          <w:kern w:val="0"/>
          <w:szCs w:val="21"/>
        </w:rPr>
        <w:t xml:space="preserve">    </w:t>
      </w:r>
      <w:r>
        <w:rPr>
          <w:rFonts w:hint="eastAsia" w:ascii="宋体" w:hAnsi="宋体"/>
          <w:szCs w:val="21"/>
        </w:rPr>
        <w:t>宫腔检查治疗。</w:t>
      </w:r>
    </w:p>
    <w:p>
      <w:pPr>
        <w:spacing w:line="360" w:lineRule="auto"/>
        <w:rPr>
          <w:rFonts w:ascii="宋体" w:hAnsi="宋体"/>
          <w:b/>
          <w:bCs/>
          <w:snapToGrid w:val="0"/>
          <w:kern w:val="0"/>
          <w:sz w:val="24"/>
        </w:rPr>
      </w:pPr>
    </w:p>
    <w:p>
      <w:pPr>
        <w:adjustRightInd w:val="0"/>
        <w:snapToGrid w:val="0"/>
        <w:spacing w:line="360" w:lineRule="auto"/>
        <w:ind w:firstLine="424" w:firstLineChars="201"/>
        <w:rPr>
          <w:rFonts w:ascii="宋体" w:hAnsi="宋体"/>
          <w:b/>
          <w:bCs/>
          <w:snapToGrid w:val="0"/>
          <w:kern w:val="0"/>
          <w:szCs w:val="21"/>
        </w:rPr>
      </w:pPr>
      <w:r>
        <w:rPr>
          <w:rFonts w:hint="eastAsia" w:ascii="宋体" w:hAnsi="宋体"/>
          <w:b/>
          <w:bCs/>
          <w:snapToGrid w:val="0"/>
          <w:kern w:val="0"/>
          <w:szCs w:val="21"/>
        </w:rPr>
        <w:t>（二）功能要求</w:t>
      </w:r>
    </w:p>
    <w:p>
      <w:pPr>
        <w:adjustRightInd w:val="0"/>
        <w:snapToGrid w:val="0"/>
        <w:spacing w:line="360" w:lineRule="auto"/>
        <w:ind w:firstLine="420" w:firstLineChars="200"/>
        <w:rPr>
          <w:rFonts w:ascii="宋体" w:hAnsi="宋体"/>
          <w:bCs/>
          <w:snapToGrid w:val="0"/>
          <w:kern w:val="0"/>
          <w:szCs w:val="21"/>
        </w:rPr>
      </w:pPr>
      <w:r>
        <w:rPr>
          <w:rFonts w:hint="eastAsia" w:ascii="宋体" w:hAnsi="宋体"/>
          <w:bCs/>
          <w:snapToGrid w:val="0"/>
          <w:kern w:val="0"/>
          <w:szCs w:val="21"/>
        </w:rPr>
        <w:t>对所观察部位具有放大效应，能够确定病灶存在的部位、大小、外观、范围，并且在直视下取材或手术。常用于妇科自然腔道下的检查及微创治疗。</w:t>
      </w:r>
    </w:p>
    <w:p>
      <w:pPr>
        <w:adjustRightInd w:val="0"/>
        <w:snapToGrid w:val="0"/>
        <w:spacing w:line="360" w:lineRule="auto"/>
        <w:ind w:firstLine="424" w:firstLineChars="201"/>
        <w:rPr>
          <w:rFonts w:ascii="宋体" w:hAnsi="宋体"/>
          <w:b/>
          <w:bCs/>
          <w:snapToGrid w:val="0"/>
          <w:kern w:val="0"/>
          <w:szCs w:val="21"/>
        </w:rPr>
      </w:pPr>
    </w:p>
    <w:p>
      <w:pPr>
        <w:adjustRightInd w:val="0"/>
        <w:snapToGrid w:val="0"/>
        <w:spacing w:line="360" w:lineRule="auto"/>
        <w:ind w:firstLine="424" w:firstLineChars="201"/>
        <w:rPr>
          <w:rFonts w:ascii="宋体" w:hAnsi="宋体"/>
          <w:b/>
          <w:bCs/>
          <w:snapToGrid w:val="0"/>
          <w:kern w:val="0"/>
          <w:szCs w:val="21"/>
        </w:rPr>
      </w:pPr>
      <w:r>
        <w:rPr>
          <w:rFonts w:hint="eastAsia" w:ascii="宋体" w:hAnsi="宋体"/>
          <w:b/>
          <w:bCs/>
          <w:snapToGrid w:val="0"/>
          <w:kern w:val="0"/>
          <w:szCs w:val="21"/>
        </w:rPr>
        <w:t>（三）质量标准</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1、国产的货物必须符合中华人民共和国的设计和制造生产或行业标准；</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2、进口的货物必须符合原产地和中华人民共和国的设计和制造生产或行业标准，进口的货物须是具有合法的进口手续和途径，并通过了中华人民共和国商检部门检验。</w:t>
      </w:r>
    </w:p>
    <w:p>
      <w:pPr>
        <w:adjustRightInd w:val="0"/>
        <w:snapToGrid w:val="0"/>
        <w:spacing w:line="360" w:lineRule="auto"/>
        <w:ind w:firstLine="424" w:firstLineChars="201"/>
        <w:rPr>
          <w:rFonts w:ascii="宋体" w:hAnsi="宋体"/>
          <w:b/>
          <w:bCs/>
          <w:snapToGrid w:val="0"/>
          <w:kern w:val="0"/>
          <w:szCs w:val="21"/>
        </w:rPr>
      </w:pPr>
    </w:p>
    <w:p>
      <w:pPr>
        <w:adjustRightInd w:val="0"/>
        <w:snapToGrid w:val="0"/>
        <w:spacing w:line="360" w:lineRule="auto"/>
        <w:ind w:firstLine="424" w:firstLineChars="201"/>
        <w:rPr>
          <w:rFonts w:ascii="宋体" w:hAnsi="宋体"/>
          <w:b/>
          <w:bCs/>
          <w:snapToGrid w:val="0"/>
          <w:kern w:val="0"/>
          <w:szCs w:val="21"/>
        </w:rPr>
      </w:pPr>
      <w:r>
        <w:rPr>
          <w:rFonts w:hint="eastAsia" w:ascii="宋体" w:hAnsi="宋体"/>
          <w:b/>
          <w:bCs/>
          <w:snapToGrid w:val="0"/>
          <w:kern w:val="0"/>
          <w:szCs w:val="21"/>
        </w:rPr>
        <w:t>（四）技术参数</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主机</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1、▲单晶片HD高清摄像主机，分辨率≥1920×1080P像素，输出比例16:9</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输出信号端口：1×HDMI，1×USB3.0；</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2、自动白平衡：色温介于2300K和7000K之间；</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3、设备小巧，占用空间少，方便携带；</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4、具备自动电子快门控制+自动增益控制功能；</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5、即插即用，仅需连接一个插口；</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6、▲兼容电子输尿管镜、电子支气管镜等电子镜；</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7、灵活的安装的方式：可便携安装在专用监视器底座上（主机或光源）；</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8、可通过外接桌面软件实现录像和存储单帧图像功能，录像格式：MP4格式、单帧图像格式：JPG格式；</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9、通过外接桌面软件实现可调节录像质量（3档：常规、高质量、超高质），病人信息存储，图像储存及打印功能。</w:t>
      </w:r>
    </w:p>
    <w:p>
      <w:pPr>
        <w:pStyle w:val="45"/>
        <w:spacing w:beforeAutospacing="0" w:after="0" w:afterAutospacing="0" w:line="360" w:lineRule="auto"/>
        <w:rPr>
          <w:rFonts w:ascii="-webkit-standard" w:hAnsi="-webkit-standard" w:eastAsia="-webkit-standard" w:cs="-webkit-standard"/>
          <w:color w:val="000000"/>
          <w:sz w:val="21"/>
          <w:szCs w:val="21"/>
        </w:rPr>
      </w:pPr>
      <w:r>
        <w:rPr>
          <w:rFonts w:ascii="-webkit-standard" w:hAnsi="-webkit-standard" w:eastAsia="-webkit-standard" w:cs="-webkit-standard"/>
          <w:color w:val="000000"/>
          <w:sz w:val="21"/>
          <w:szCs w:val="21"/>
        </w:rPr>
        <w:t> </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摄像头(含RIWO镜头）</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1、▲1/3”CMOS单晶片HD高清摄像头，通用C-Mount接口，镜头可拆卸，清洁更加彻底，高感亮度；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2、可根据不同手术需求选配不同规格镜头；</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3、▲高清信号输出≥1920×1080P，输出比例5:4；</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4、两个摄像头按钮可调节各种功能，白平衡/亮度调节（3档），电子放大（1档）， 细节增强（1档）；</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5、▲变焦高清变焦镜头f=14MM；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6、可过氧化氢等离子、过乙酸灭菌，可浸泡消毒液消毒。 </w:t>
      </w:r>
    </w:p>
    <w:p>
      <w:pPr>
        <w:pStyle w:val="45"/>
        <w:spacing w:beforeAutospacing="0" w:after="0" w:afterAutospacing="0" w:line="360" w:lineRule="auto"/>
        <w:rPr>
          <w:rFonts w:ascii="-webkit-standard" w:hAnsi="-webkit-standard" w:eastAsia="-webkit-standard" w:cs="-webkit-standard"/>
          <w:color w:val="000000"/>
          <w:sz w:val="21"/>
          <w:szCs w:val="21"/>
        </w:rPr>
      </w:pPr>
      <w:r>
        <w:rPr>
          <w:rFonts w:ascii="-webkit-standard" w:hAnsi="-webkit-standard" w:eastAsia="-webkit-standard" w:cs="-webkit-standard"/>
          <w:color w:val="000000"/>
          <w:sz w:val="21"/>
          <w:szCs w:val="21"/>
        </w:rPr>
        <w:t> </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内窥镜冷光源</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1、▲LED冷光源，色温≥6500K, 灯泡寿命≥30000小时；</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2、连续可变电子光量控制，100-240V交流电，50/60Hz；</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3、自动导光束检查功能（未连接导光束时，LED处于关闭状态）；</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4、自动高温检测功能（温度过高时，LED处于关闭状态）；</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5、设备运作时产生的噪音小；</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6、具有温度控制系统，避免设备温度过高；</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7、纤维导光束，直径≥2.5mm，工作长度3000mm。</w:t>
      </w:r>
    </w:p>
    <w:p>
      <w:pPr>
        <w:pStyle w:val="45"/>
        <w:spacing w:beforeAutospacing="0" w:after="0" w:afterAutospacing="0" w:line="360" w:lineRule="auto"/>
        <w:rPr>
          <w:rFonts w:ascii="-webkit-standard" w:hAnsi="-webkit-standard" w:eastAsia="-webkit-standard" w:cs="-webkit-standard"/>
          <w:color w:val="000000"/>
          <w:sz w:val="21"/>
          <w:szCs w:val="21"/>
        </w:rPr>
      </w:pPr>
      <w:r>
        <w:rPr>
          <w:rFonts w:ascii="-webkit-standard" w:hAnsi="-webkit-standard" w:eastAsia="-webkit-standard" w:cs="-webkit-standard"/>
          <w:color w:val="000000"/>
          <w:sz w:val="21"/>
          <w:szCs w:val="21"/>
        </w:rPr>
        <w:t> </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医用监视器</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一、图像参数</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1、可视尺寸：≥24英寸（610mm）；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2、分辨率：≥1920 x 1200；</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3、最大亮度：400cd/㎡；</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4、对比度：1000：1；</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5、屏幕宽高比：16:10；</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6、响应时间：5-12ms。</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二、输入参数</w:t>
      </w:r>
    </w:p>
    <w:p>
      <w:pPr>
        <w:pStyle w:val="45"/>
        <w:spacing w:beforeAutospacing="0" w:after="0" w:afterAutospacing="0" w:line="360" w:lineRule="auto"/>
        <w:rPr>
          <w:rFonts w:hint="eastAsia" w:ascii="宋体" w:hAnsi="宋体" w:cs="宋体"/>
          <w:color w:val="000000"/>
          <w:sz w:val="21"/>
          <w:szCs w:val="21"/>
        </w:rPr>
      </w:pPr>
      <w:r>
        <w:rPr>
          <w:rFonts w:hint="eastAsia" w:ascii="宋体" w:hAnsi="宋体" w:cs="宋体"/>
          <w:color w:val="000000"/>
          <w:sz w:val="21"/>
          <w:szCs w:val="21"/>
        </w:rPr>
        <w:t>1、HD-SDI:BNC, 75欧姆；</w:t>
      </w:r>
    </w:p>
    <w:p>
      <w:pPr>
        <w:pStyle w:val="45"/>
        <w:spacing w:beforeAutospacing="0" w:after="0" w:afterAutospacing="0" w:line="360" w:lineRule="auto"/>
        <w:rPr>
          <w:rFonts w:hint="eastAsia" w:ascii="宋体" w:hAnsi="宋体" w:cs="宋体"/>
          <w:color w:val="000000"/>
          <w:sz w:val="21"/>
          <w:szCs w:val="21"/>
        </w:rPr>
      </w:pPr>
      <w:r>
        <w:rPr>
          <w:rFonts w:hint="eastAsia" w:ascii="宋体" w:hAnsi="宋体" w:cs="宋体"/>
          <w:color w:val="000000"/>
          <w:sz w:val="21"/>
          <w:szCs w:val="21"/>
        </w:rPr>
        <w:t>2、HD-SDI（2）：BNC, 75欧姆；</w:t>
      </w:r>
    </w:p>
    <w:p>
      <w:pPr>
        <w:pStyle w:val="45"/>
        <w:spacing w:beforeAutospacing="0" w:after="0" w:afterAutospacing="0" w:line="360" w:lineRule="auto"/>
        <w:rPr>
          <w:rFonts w:hint="eastAsia" w:ascii="宋体" w:hAnsi="宋体" w:cs="宋体"/>
          <w:color w:val="000000"/>
          <w:sz w:val="21"/>
          <w:szCs w:val="21"/>
        </w:rPr>
      </w:pPr>
      <w:r>
        <w:rPr>
          <w:rFonts w:hint="eastAsia" w:ascii="宋体" w:hAnsi="宋体" w:cs="宋体"/>
          <w:color w:val="000000"/>
          <w:sz w:val="21"/>
          <w:szCs w:val="21"/>
        </w:rPr>
        <w:t>3、DVI,Fiber,ZeroWireR:DVI-D；</w:t>
      </w:r>
    </w:p>
    <w:p>
      <w:pPr>
        <w:pStyle w:val="45"/>
        <w:spacing w:beforeAutospacing="0" w:after="0" w:afterAutospacing="0" w:line="360" w:lineRule="auto"/>
        <w:rPr>
          <w:rFonts w:hint="eastAsia" w:ascii="宋体" w:hAnsi="宋体" w:cs="宋体"/>
          <w:color w:val="000000"/>
          <w:sz w:val="21"/>
          <w:szCs w:val="21"/>
        </w:rPr>
      </w:pPr>
      <w:r>
        <w:rPr>
          <w:rFonts w:hint="eastAsia" w:ascii="宋体" w:hAnsi="宋体" w:cs="宋体"/>
          <w:color w:val="000000"/>
          <w:sz w:val="21"/>
          <w:szCs w:val="21"/>
        </w:rPr>
        <w:t>4、DVI(2):DVI-I。</w:t>
      </w:r>
    </w:p>
    <w:p>
      <w:pPr>
        <w:pStyle w:val="45"/>
        <w:spacing w:beforeAutospacing="0" w:after="0" w:afterAutospacing="0" w:line="360" w:lineRule="auto"/>
        <w:rPr>
          <w:rFonts w:ascii="-webkit-standard" w:hAnsi="-webkit-standard" w:eastAsia="-webkit-standard" w:cs="-webkit-standard"/>
          <w:color w:val="000000"/>
          <w:sz w:val="21"/>
          <w:szCs w:val="21"/>
        </w:rPr>
      </w:pPr>
      <w:r>
        <w:rPr>
          <w:rFonts w:ascii="-webkit-standard" w:hAnsi="-webkit-standard" w:eastAsia="-webkit-standard" w:cs="-webkit-standard"/>
          <w:color w:val="000000"/>
          <w:sz w:val="21"/>
          <w:szCs w:val="21"/>
        </w:rPr>
        <w:t> </w:t>
      </w: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医用台车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1、五层钢架结构、牢固耐用；</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2、带脚刹功能，轮子为耐磨静音轮；</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3、多功能，带抽屉、插线板；</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4、拆卸安装方便。</w:t>
      </w:r>
    </w:p>
    <w:p>
      <w:pPr>
        <w:pStyle w:val="45"/>
        <w:spacing w:beforeAutospacing="0" w:after="0" w:afterAutospacing="0" w:line="360" w:lineRule="auto"/>
        <w:rPr>
          <w:rFonts w:ascii="宋体" w:hAnsi="宋体" w:cs="宋体"/>
          <w:color w:val="000000"/>
          <w:sz w:val="21"/>
          <w:szCs w:val="21"/>
        </w:rPr>
      </w:pP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内窥镜</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1、▲镜直径≤2.7mm；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2、▲视角:30度；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3、▲工作长度：≥300mm；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4、超清晰大画面技术；</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5、可浸泡、熏蒸、可134℃高温高压消毒；</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6、钛合金材质外壳；</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7、蓝宝石镜面；</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lang w:val="en-US" w:eastAsia="zh-CN"/>
        </w:rPr>
        <w:t>8</w:t>
      </w:r>
      <w:r>
        <w:rPr>
          <w:rFonts w:hint="eastAsia" w:ascii="宋体" w:hAnsi="宋体" w:cs="宋体"/>
          <w:color w:val="000000"/>
          <w:sz w:val="21"/>
          <w:szCs w:val="21"/>
        </w:rPr>
        <w:t>、镜鞘：直径≥16.5Fr，工作长度≥219mm。</w:t>
      </w:r>
    </w:p>
    <w:p>
      <w:pPr>
        <w:pStyle w:val="45"/>
        <w:spacing w:beforeAutospacing="0" w:after="0" w:afterAutospacing="0" w:line="360" w:lineRule="auto"/>
        <w:rPr>
          <w:rFonts w:ascii="宋体" w:hAnsi="宋体" w:cs="宋体"/>
          <w:color w:val="000000"/>
          <w:sz w:val="21"/>
          <w:szCs w:val="21"/>
        </w:rPr>
      </w:pP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电切镜</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1、▲镜直径4mm；</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2、视角: 30度；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3、▲工作长度：≥307mm；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4、超清晰大画面技术；</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5、可浸泡、熏蒸、可134℃高温高压消毒；</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6、钛合金材质外壳；</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7、蓝宝石镜面；</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lang w:val="en-US" w:eastAsia="zh-CN"/>
        </w:rPr>
        <w:t>8</w:t>
      </w:r>
      <w:r>
        <w:rPr>
          <w:rFonts w:hint="eastAsia" w:ascii="宋体" w:hAnsi="宋体" w:cs="宋体"/>
          <w:color w:val="000000"/>
          <w:sz w:val="21"/>
          <w:szCs w:val="21"/>
        </w:rPr>
        <w:t>、镜鞘，直径≥15Fr，工作长度230mm。</w:t>
      </w:r>
    </w:p>
    <w:p>
      <w:pPr>
        <w:pStyle w:val="45"/>
        <w:spacing w:beforeAutospacing="0" w:after="0" w:afterAutospacing="0" w:line="360" w:lineRule="auto"/>
        <w:rPr>
          <w:rFonts w:ascii="宋体" w:hAnsi="宋体" w:cs="宋体"/>
          <w:color w:val="000000"/>
          <w:sz w:val="21"/>
          <w:szCs w:val="21"/>
        </w:rPr>
      </w:pPr>
    </w:p>
    <w:p>
      <w:pPr>
        <w:pStyle w:val="45"/>
        <w:spacing w:beforeAutospacing="0" w:after="0" w:afterAutospacing="0" w:line="360" w:lineRule="auto"/>
        <w:rPr>
          <w:rFonts w:ascii="-webkit-standard" w:hAnsi="-webkit-standard" w:eastAsia="-webkit-standard" w:cs="-webkit-standard"/>
          <w:b/>
          <w:bCs/>
          <w:color w:val="000000"/>
          <w:sz w:val="21"/>
          <w:szCs w:val="21"/>
        </w:rPr>
      </w:pPr>
      <w:r>
        <w:rPr>
          <w:rFonts w:hint="eastAsia" w:ascii="宋体" w:hAnsi="宋体" w:cs="宋体"/>
          <w:b/>
          <w:bCs/>
          <w:color w:val="000000"/>
          <w:sz w:val="21"/>
          <w:szCs w:val="21"/>
        </w:rPr>
        <w:t>宫腔镜</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1、▲一体镜，镜直径：5mm；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2、▲视角：20度；</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3、▲直行工作通道，可配合5Fr器械使用；</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4、▲具有独立的进出水通道，确保持续清晰的手术视野；</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5、工作长度为≥217mm；</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6、超清晰大画面技术；</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7、可连续冲洗检查；</w:t>
      </w:r>
    </w:p>
    <w:p>
      <w:pPr>
        <w:pStyle w:val="45"/>
        <w:spacing w:beforeAutospacing="0" w:after="0" w:afterAutospacing="0" w:line="360" w:lineRule="auto"/>
        <w:rPr>
          <w:rFonts w:ascii="-webkit-standard" w:hAnsi="-webkit-standard" w:eastAsia="-webkit-standard" w:cs="-webkit-standard"/>
          <w:color w:val="000000"/>
          <w:sz w:val="21"/>
          <w:szCs w:val="21"/>
        </w:rPr>
      </w:pPr>
      <w:r>
        <w:rPr>
          <w:rFonts w:hint="eastAsia" w:ascii="宋体" w:hAnsi="宋体" w:cs="宋体"/>
          <w:color w:val="000000"/>
          <w:sz w:val="21"/>
          <w:szCs w:val="21"/>
        </w:rPr>
        <w:t>8、可浸泡、熏蒸、可134℃高温高压消毒；</w:t>
      </w:r>
    </w:p>
    <w:p>
      <w:pPr>
        <w:pStyle w:val="45"/>
        <w:spacing w:beforeAutospacing="0" w:after="0" w:afterAutospacing="0" w:line="360" w:lineRule="auto"/>
        <w:rPr>
          <w:rFonts w:ascii="-webkit-standard" w:hAnsi="-webkit-standard" w:cs="-webkit-standard"/>
          <w:color w:val="000000"/>
          <w:sz w:val="21"/>
          <w:szCs w:val="21"/>
        </w:rPr>
      </w:pPr>
      <w:r>
        <w:rPr>
          <w:rFonts w:hint="eastAsia" w:ascii="宋体" w:hAnsi="宋体" w:cs="宋体"/>
          <w:color w:val="000000"/>
          <w:sz w:val="21"/>
          <w:szCs w:val="21"/>
        </w:rPr>
        <w:t>9、钛合金材质外壳；</w:t>
      </w:r>
    </w:p>
    <w:p>
      <w:pPr>
        <w:pStyle w:val="45"/>
        <w:spacing w:beforeAutospacing="0" w:after="0" w:afterAutospacing="0" w:line="360" w:lineRule="auto"/>
        <w:rPr>
          <w:rFonts w:ascii="宋体" w:hAnsi="宋体" w:cs="宋体"/>
          <w:color w:val="000000"/>
          <w:sz w:val="21"/>
          <w:szCs w:val="21"/>
        </w:rPr>
      </w:pPr>
      <w:r>
        <w:rPr>
          <w:rFonts w:hint="eastAsia" w:ascii="宋体" w:hAnsi="宋体" w:cs="宋体"/>
          <w:color w:val="000000"/>
          <w:sz w:val="21"/>
          <w:szCs w:val="21"/>
        </w:rPr>
        <w:t>10、蓝宝石镜面；</w:t>
      </w:r>
    </w:p>
    <w:p>
      <w:pPr>
        <w:pStyle w:val="45"/>
        <w:spacing w:beforeAutospacing="0" w:after="0" w:afterAutospacing="0" w:line="360" w:lineRule="auto"/>
        <w:rPr>
          <w:rFonts w:ascii="宋体" w:hAnsi="宋体"/>
          <w:bCs/>
          <w:snapToGrid w:val="0"/>
          <w:sz w:val="21"/>
          <w:szCs w:val="21"/>
        </w:rPr>
      </w:pPr>
      <w:r>
        <w:rPr>
          <w:rFonts w:hint="eastAsia" w:ascii="宋体" w:hAnsi="宋体" w:cs="宋体"/>
          <w:color w:val="000000"/>
          <w:sz w:val="21"/>
          <w:szCs w:val="21"/>
        </w:rPr>
        <w:t>11、活检穿孔器：≥5Fr，工作长度340mm。</w:t>
      </w:r>
    </w:p>
    <w:p>
      <w:pPr>
        <w:adjustRightInd w:val="0"/>
        <w:snapToGrid w:val="0"/>
        <w:spacing w:line="360" w:lineRule="auto"/>
        <w:ind w:firstLine="422" w:firstLineChars="201"/>
        <w:rPr>
          <w:rFonts w:ascii="宋体" w:hAnsi="宋体"/>
          <w:bCs/>
          <w:snapToGrid w:val="0"/>
          <w:kern w:val="0"/>
          <w:szCs w:val="21"/>
        </w:rPr>
      </w:pPr>
    </w:p>
    <w:p>
      <w:pPr>
        <w:adjustRightInd w:val="0"/>
        <w:snapToGrid w:val="0"/>
        <w:spacing w:line="360" w:lineRule="auto"/>
        <w:ind w:firstLine="424" w:firstLineChars="201"/>
        <w:rPr>
          <w:rFonts w:ascii="宋体" w:hAnsi="宋体"/>
          <w:b/>
          <w:bCs/>
          <w:snapToGrid w:val="0"/>
          <w:kern w:val="0"/>
          <w:szCs w:val="21"/>
        </w:rPr>
      </w:pPr>
      <w:r>
        <w:rPr>
          <w:rFonts w:hint="eastAsia" w:ascii="宋体" w:hAnsi="宋体"/>
          <w:b/>
          <w:bCs/>
          <w:snapToGrid w:val="0"/>
          <w:kern w:val="0"/>
          <w:szCs w:val="21"/>
        </w:rPr>
        <w:t>（五）配置清单</w:t>
      </w:r>
    </w:p>
    <w:tbl>
      <w:tblPr>
        <w:tblStyle w:val="50"/>
        <w:tblW w:w="0" w:type="auto"/>
        <w:tblInd w:w="91" w:type="dxa"/>
        <w:tblLayout w:type="fixed"/>
        <w:tblCellMar>
          <w:top w:w="0" w:type="dxa"/>
          <w:left w:w="108" w:type="dxa"/>
          <w:bottom w:w="0" w:type="dxa"/>
          <w:right w:w="108" w:type="dxa"/>
        </w:tblCellMar>
      </w:tblPr>
      <w:tblGrid>
        <w:gridCol w:w="850"/>
        <w:gridCol w:w="2534"/>
        <w:gridCol w:w="1187"/>
        <w:gridCol w:w="1288"/>
      </w:tblGrid>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产品名称</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数量</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单位</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主机</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2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摄像头</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个</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3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RIWO镜头</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个</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4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内窥镜冷光源</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5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纤维导光束</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6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医用监视器</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7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医用台车</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台</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8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内窥镜</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9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镜鞘</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10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电切镜</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11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镜鞘</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421"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12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宫腔镜</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根</w:t>
            </w:r>
          </w:p>
        </w:tc>
      </w:tr>
      <w:tr>
        <w:tblPrEx>
          <w:tblCellMar>
            <w:top w:w="0" w:type="dxa"/>
            <w:left w:w="108" w:type="dxa"/>
            <w:bottom w:w="0" w:type="dxa"/>
            <w:right w:w="108" w:type="dxa"/>
          </w:tblCellMar>
        </w:tblPrEx>
        <w:trPr>
          <w:trHeight w:val="672" w:hRule="exac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 xml:space="preserve">13 </w:t>
            </w:r>
          </w:p>
        </w:tc>
        <w:tc>
          <w:tcPr>
            <w:tcW w:w="25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活检穿孔器</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textAlignment w:val="center"/>
              <w:rPr>
                <w:rFonts w:ascii="宋体" w:hAnsi="宋体" w:cs="宋体"/>
                <w:color w:val="000000"/>
                <w:szCs w:val="21"/>
              </w:rPr>
            </w:pPr>
            <w:r>
              <w:rPr>
                <w:rFonts w:hint="eastAsia" w:ascii="宋体" w:hAnsi="宋体" w:cs="宋体"/>
                <w:color w:val="000000"/>
                <w:kern w:val="0"/>
                <w:szCs w:val="21"/>
              </w:rPr>
              <w:t>把</w:t>
            </w:r>
          </w:p>
        </w:tc>
      </w:tr>
    </w:tbl>
    <w:p>
      <w:pPr>
        <w:adjustRightInd w:val="0"/>
        <w:snapToGrid w:val="0"/>
        <w:spacing w:line="360" w:lineRule="auto"/>
        <w:ind w:firstLine="422" w:firstLineChars="201"/>
        <w:rPr>
          <w:rFonts w:ascii="宋体" w:hAnsi="宋体"/>
          <w:bCs/>
          <w:snapToGrid w:val="0"/>
          <w:kern w:val="0"/>
          <w:szCs w:val="21"/>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b/>
                <w:kern w:val="0"/>
                <w:szCs w:val="21"/>
              </w:rPr>
              <w:t>交货要求</w:t>
            </w:r>
          </w:p>
        </w:tc>
        <w:tc>
          <w:tcPr>
            <w:tcW w:w="7559" w:type="dxa"/>
          </w:tcPr>
          <w:p>
            <w:pPr>
              <w:tabs>
                <w:tab w:val="left" w:pos="0"/>
              </w:tabs>
              <w:spacing w:line="360" w:lineRule="auto"/>
              <w:rPr>
                <w:rFonts w:ascii="宋体" w:hAnsi="宋体"/>
                <w:b/>
                <w:bCs/>
                <w:szCs w:val="21"/>
                <w:highlight w:val="yellow"/>
              </w:rPr>
            </w:pPr>
            <w:r>
              <w:rPr>
                <w:rFonts w:hint="eastAsia"/>
                <w:highlight w:val="yellow"/>
              </w:rPr>
              <w:t>★1、</w:t>
            </w:r>
            <w:r>
              <w:rPr>
                <w:rFonts w:hint="eastAsia" w:ascii="宋体" w:hAnsi="宋体"/>
                <w:b/>
                <w:kern w:val="0"/>
                <w:szCs w:val="21"/>
                <w:highlight w:val="yellow"/>
              </w:rPr>
              <w:t>交货期：</w:t>
            </w:r>
            <w:r>
              <w:rPr>
                <w:rFonts w:hint="eastAsia" w:ascii="宋体" w:hAnsi="宋体"/>
                <w:b/>
                <w:bCs/>
                <w:szCs w:val="21"/>
                <w:highlight w:val="yellow"/>
              </w:rPr>
              <w:t>合同签订生效后30日历日内完成安装、调试及验收，货送至采购人指定地点。</w:t>
            </w:r>
          </w:p>
          <w:p>
            <w:pPr>
              <w:tabs>
                <w:tab w:val="left" w:pos="0"/>
              </w:tabs>
              <w:spacing w:line="360" w:lineRule="auto"/>
              <w:rPr>
                <w:rFonts w:ascii="宋体" w:hAnsi="宋体"/>
                <w:bCs/>
                <w:szCs w:val="21"/>
              </w:rPr>
            </w:pPr>
            <w:r>
              <w:rPr>
                <w:rFonts w:hint="eastAsia" w:ascii="宋体" w:hAnsi="宋体"/>
                <w:szCs w:val="21"/>
              </w:rPr>
              <w:t>2、</w:t>
            </w:r>
            <w:r>
              <w:rPr>
                <w:rFonts w:hint="eastAsia"/>
              </w:rPr>
              <w:t>投标人</w:t>
            </w:r>
            <w:r>
              <w:rPr>
                <w:rFonts w:hint="eastAsia" w:ascii="宋体" w:hAnsi="宋体"/>
                <w:szCs w:val="21"/>
              </w:rPr>
              <w:t>逾期交货，采购人有权按照相关规定处罚。</w:t>
            </w:r>
            <w:r>
              <w:rPr>
                <w:rFonts w:hint="eastAsia"/>
              </w:rPr>
              <w:t>投标人</w:t>
            </w:r>
            <w:r>
              <w:rPr>
                <w:rFonts w:hint="eastAsia" w:ascii="宋体" w:hAnsi="宋体"/>
                <w:bCs/>
                <w:szCs w:val="21"/>
              </w:rPr>
              <w:t>必须承担的设备运输、安装调试、验收检测和提供设备操作说明书、图纸等其他类似的义务。</w:t>
            </w:r>
          </w:p>
          <w:p>
            <w:pPr>
              <w:pStyle w:val="2"/>
              <w:spacing w:line="360" w:lineRule="auto"/>
              <w:rPr>
                <w:rFonts w:hAnsi="宋体"/>
                <w:bCs/>
                <w:color w:val="000000"/>
                <w:szCs w:val="21"/>
              </w:rPr>
            </w:pPr>
            <w:r>
              <w:rPr>
                <w:rFonts w:hint="eastAsia" w:hAnsi="宋体"/>
                <w:bCs/>
                <w:szCs w:val="21"/>
              </w:rPr>
              <w:t>3、投标产品必须为整机原厂生产产品。不接受分厂、贴牌及非正当进货渠道产品。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售后服务要求</w:t>
            </w:r>
          </w:p>
        </w:tc>
        <w:tc>
          <w:tcPr>
            <w:tcW w:w="7559" w:type="dxa"/>
          </w:tcPr>
          <w:p>
            <w:pPr>
              <w:numPr>
                <w:ilvl w:val="0"/>
                <w:numId w:val="4"/>
              </w:numPr>
              <w:spacing w:line="360" w:lineRule="auto"/>
              <w:rPr>
                <w:rFonts w:ascii="宋体" w:hAnsi="宋体" w:cs="宋体"/>
                <w:bCs/>
                <w:szCs w:val="21"/>
              </w:rPr>
            </w:pPr>
            <w:r>
              <w:rPr>
                <w:rFonts w:hint="eastAsia" w:ascii="宋体" w:hAnsi="宋体" w:cs="宋体"/>
                <w:bCs/>
                <w:szCs w:val="21"/>
              </w:rPr>
              <w:t>制造商或代理商针对</w:t>
            </w:r>
            <w:r>
              <w:rPr>
                <w:rFonts w:hint="eastAsia" w:ascii="宋体" w:hAnsi="宋体" w:cs="宋体"/>
                <w:bCs/>
                <w:szCs w:val="21"/>
                <w:lang w:eastAsia="zh-CN"/>
              </w:rPr>
              <w:t>投标</w:t>
            </w:r>
            <w:r>
              <w:rPr>
                <w:rFonts w:hint="eastAsia" w:ascii="宋体" w:hAnsi="宋体" w:cs="宋体"/>
                <w:bCs/>
                <w:szCs w:val="21"/>
              </w:rPr>
              <w:t>产品出具的售后服务承诺书。</w:t>
            </w:r>
          </w:p>
          <w:p>
            <w:pPr>
              <w:numPr>
                <w:ilvl w:val="0"/>
                <w:numId w:val="4"/>
              </w:numPr>
              <w:spacing w:line="360" w:lineRule="auto"/>
              <w:rPr>
                <w:rFonts w:ascii="宋体" w:hAnsi="宋体" w:cs="宋体"/>
                <w:bCs/>
                <w:szCs w:val="21"/>
              </w:rPr>
            </w:pPr>
            <w:r>
              <w:rPr>
                <w:rFonts w:hint="eastAsia" w:ascii="宋体" w:hAnsi="宋体" w:cs="宋体"/>
                <w:bCs/>
                <w:szCs w:val="21"/>
              </w:rPr>
              <w:t>设备安装调试验收合格后质保期</w:t>
            </w:r>
            <w:r>
              <w:rPr>
                <w:rFonts w:hint="eastAsia" w:ascii="宋体" w:hAnsi="宋体" w:cs="宋体"/>
                <w:bCs/>
                <w:szCs w:val="21"/>
                <w:lang w:eastAsia="zh-CN"/>
              </w:rPr>
              <w:t>不少于</w:t>
            </w:r>
            <w:r>
              <w:rPr>
                <w:rFonts w:hint="eastAsia" w:ascii="宋体" w:hAnsi="宋体" w:cs="宋体"/>
                <w:bCs/>
                <w:szCs w:val="21"/>
              </w:rPr>
              <w:t>3年。在质保期内，设备零配件及其维修的有关费用全免，终身负责维修；</w:t>
            </w:r>
            <w:r>
              <w:rPr>
                <w:rFonts w:hint="eastAsia" w:ascii="宋体" w:hAnsi="宋体"/>
                <w:kern w:val="0"/>
                <w:szCs w:val="21"/>
              </w:rPr>
              <w:t>软件终身免费升级。</w:t>
            </w:r>
          </w:p>
          <w:p>
            <w:pPr>
              <w:numPr>
                <w:ilvl w:val="0"/>
                <w:numId w:val="4"/>
              </w:numPr>
              <w:spacing w:line="360" w:lineRule="auto"/>
              <w:rPr>
                <w:rFonts w:ascii="宋体" w:hAnsi="宋体" w:cs="宋体"/>
                <w:kern w:val="0"/>
                <w:szCs w:val="21"/>
              </w:rPr>
            </w:pPr>
            <w:r>
              <w:rPr>
                <w:rFonts w:hint="eastAsia" w:ascii="宋体" w:hAnsi="宋体" w:cs="宋体"/>
                <w:bCs/>
                <w:szCs w:val="21"/>
              </w:rPr>
              <w:t>保修期内，投标人应对产品因质量出现的问题免费修复，并且要在24小时响应，48小时到达现场维修；保修期外投标人负责免费维修及提供原装配件，用户方只负责更换零配件费。</w:t>
            </w:r>
          </w:p>
          <w:p>
            <w:pPr>
              <w:numPr>
                <w:ilvl w:val="0"/>
                <w:numId w:val="4"/>
              </w:numPr>
              <w:spacing w:line="360" w:lineRule="auto"/>
              <w:rPr>
                <w:rFonts w:ascii="宋体" w:hAnsi="宋体" w:cs="宋体"/>
                <w:kern w:val="0"/>
                <w:szCs w:val="21"/>
              </w:rPr>
            </w:pPr>
            <w:r>
              <w:rPr>
                <w:rFonts w:hint="eastAsia" w:ascii="宋体" w:hAnsi="宋体" w:cs="宋体"/>
                <w:bCs/>
                <w:szCs w:val="21"/>
              </w:rPr>
              <w:t>提供技术资料、中文操作手册。</w:t>
            </w:r>
          </w:p>
          <w:p>
            <w:pPr>
              <w:numPr>
                <w:ilvl w:val="0"/>
                <w:numId w:val="4"/>
              </w:numPr>
              <w:spacing w:line="360" w:lineRule="auto"/>
              <w:rPr>
                <w:rFonts w:ascii="宋体" w:hAnsi="宋体" w:cs="宋体"/>
                <w:kern w:val="0"/>
                <w:szCs w:val="21"/>
              </w:rPr>
            </w:pPr>
            <w:r>
              <w:rPr>
                <w:rFonts w:hint="eastAsia" w:ascii="宋体" w:hAnsi="宋体" w:cs="宋体"/>
                <w:bCs/>
                <w:szCs w:val="21"/>
              </w:rPr>
              <w:t>投标人所投产品在广东范围要有专门的设备维修站（提供工程师电话和技术维修力量情况和维修的详细地址及联系方式）。</w:t>
            </w:r>
          </w:p>
          <w:p>
            <w:pPr>
              <w:numPr>
                <w:ilvl w:val="0"/>
                <w:numId w:val="4"/>
              </w:numPr>
              <w:spacing w:line="360" w:lineRule="auto"/>
              <w:rPr>
                <w:rFonts w:ascii="宋体" w:hAnsi="宋体" w:cs="宋体"/>
                <w:kern w:val="0"/>
                <w:szCs w:val="21"/>
              </w:rPr>
            </w:pPr>
            <w:r>
              <w:rPr>
                <w:rFonts w:hint="eastAsia" w:ascii="宋体" w:hAnsi="宋体" w:cs="宋体"/>
                <w:bCs/>
                <w:szCs w:val="21"/>
              </w:rPr>
              <w:t>提供详细的售后服务方案，免费负责安装、调试、免费提供技术咨询、软件升级及人员培训，以保证买方工作人员掌握设备各种使用操作。</w:t>
            </w:r>
          </w:p>
          <w:p>
            <w:pPr>
              <w:spacing w:line="360" w:lineRule="auto"/>
              <w:rPr>
                <w:rFonts w:asciiTheme="minorEastAsia" w:hAnsiTheme="minorEastAsia"/>
                <w:b/>
                <w:szCs w:val="21"/>
              </w:rPr>
            </w:pPr>
            <w:r>
              <w:rPr>
                <w:rFonts w:hint="eastAsia" w:ascii="宋体" w:hAnsi="宋体" w:cs="宋体"/>
                <w:kern w:val="0"/>
                <w:szCs w:val="21"/>
              </w:rPr>
              <w:t>7、保证设备维修和配件的供应。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验收方式</w:t>
            </w:r>
          </w:p>
        </w:tc>
        <w:tc>
          <w:tcPr>
            <w:tcW w:w="7559" w:type="dxa"/>
          </w:tcPr>
          <w:p>
            <w:pPr>
              <w:spacing w:line="360" w:lineRule="auto"/>
              <w:rPr>
                <w:rFonts w:ascii="宋体" w:hAnsi="宋体"/>
                <w:szCs w:val="21"/>
              </w:rPr>
            </w:pPr>
            <w:r>
              <w:rPr>
                <w:rFonts w:hint="eastAsia" w:ascii="宋体" w:hAnsi="宋体"/>
                <w:szCs w:val="21"/>
              </w:rPr>
              <w:t>1、设备安装调试正常使用后由使用科室、设备科、厂家代表、中标商代表在场进行验收，保修期从验收合格之日起计。</w:t>
            </w:r>
          </w:p>
          <w:p>
            <w:pPr>
              <w:spacing w:line="360" w:lineRule="auto"/>
              <w:rPr>
                <w:rFonts w:ascii="宋体" w:hAnsi="宋体"/>
                <w:szCs w:val="21"/>
              </w:rPr>
            </w:pPr>
            <w:r>
              <w:rPr>
                <w:rFonts w:hint="eastAsia" w:ascii="宋体" w:hAnsi="宋体"/>
                <w:szCs w:val="21"/>
              </w:rPr>
              <w:t>2、产品质量和安装调试检验标准遵照国家相关规定和最新标准执行。验收中如发现有质量不合格或型号规格、数量等与送货清单不符等情况，卖方应免费更换或补齐，并承担因此发生的违约责任。卖方货物经过双方检验认可后，签署验收报告。</w:t>
            </w:r>
          </w:p>
          <w:p>
            <w:pPr>
              <w:spacing w:line="360" w:lineRule="auto"/>
              <w:rPr>
                <w:rFonts w:ascii="宋体" w:hAnsi="宋体"/>
                <w:szCs w:val="21"/>
              </w:rPr>
            </w:pPr>
            <w:r>
              <w:rPr>
                <w:rFonts w:hint="eastAsia" w:ascii="宋体" w:hAnsi="宋体"/>
                <w:szCs w:val="21"/>
              </w:rPr>
              <w:t>3、当满足以下条件时，买方才向卖方签发货物验收报告：</w:t>
            </w:r>
          </w:p>
          <w:p>
            <w:pPr>
              <w:spacing w:line="360" w:lineRule="auto"/>
              <w:ind w:firstLine="420" w:firstLineChars="200"/>
              <w:rPr>
                <w:rFonts w:ascii="宋体" w:hAnsi="宋体"/>
                <w:szCs w:val="21"/>
              </w:rPr>
            </w:pPr>
            <w:r>
              <w:rPr>
                <w:rFonts w:hint="eastAsia" w:ascii="宋体" w:hAnsi="宋体"/>
                <w:szCs w:val="21"/>
              </w:rPr>
              <w:t>a、卖方已按照合同规定提供了全部产品及完整的技术资料。</w:t>
            </w:r>
          </w:p>
          <w:p>
            <w:pPr>
              <w:spacing w:line="360" w:lineRule="auto"/>
              <w:ind w:firstLine="420" w:firstLineChars="200"/>
              <w:rPr>
                <w:rFonts w:ascii="宋体" w:hAnsi="宋体"/>
                <w:szCs w:val="21"/>
              </w:rPr>
            </w:pPr>
            <w:r>
              <w:rPr>
                <w:rFonts w:hint="eastAsia" w:ascii="宋体" w:hAnsi="宋体"/>
                <w:szCs w:val="21"/>
              </w:rPr>
              <w:t>b、货物符合招标文件技术规格书的要求，性能满足要求。</w:t>
            </w:r>
          </w:p>
          <w:p>
            <w:pPr>
              <w:spacing w:line="360" w:lineRule="auto"/>
              <w:ind w:firstLine="420" w:firstLineChars="200"/>
              <w:rPr>
                <w:rFonts w:ascii="宋体" w:hAnsi="宋体"/>
                <w:szCs w:val="21"/>
              </w:rPr>
            </w:pPr>
            <w:r>
              <w:rPr>
                <w:rFonts w:hint="eastAsia" w:ascii="宋体" w:hAnsi="宋体"/>
                <w:szCs w:val="21"/>
              </w:rPr>
              <w:t>c、货物具备产品合格证。</w:t>
            </w:r>
          </w:p>
          <w:p>
            <w:pPr>
              <w:spacing w:line="360" w:lineRule="auto"/>
              <w:ind w:firstLine="420"/>
              <w:rPr>
                <w:rFonts w:ascii="宋体" w:hAnsi="宋体"/>
                <w:szCs w:val="21"/>
              </w:rPr>
            </w:pPr>
            <w:r>
              <w:rPr>
                <w:rFonts w:hint="eastAsia" w:ascii="宋体" w:hAnsi="宋体"/>
                <w:szCs w:val="21"/>
              </w:rPr>
              <w:t>d、提供维修手册、</w:t>
            </w:r>
            <w:r>
              <w:rPr>
                <w:rFonts w:hint="eastAsia" w:ascii="宋体" w:hAnsi="宋体" w:cs="宋体"/>
                <w:bCs/>
                <w:szCs w:val="21"/>
              </w:rPr>
              <w:t>售后服务承诺书、</w:t>
            </w:r>
            <w:r>
              <w:rPr>
                <w:rFonts w:hint="eastAsia" w:ascii="宋体" w:hAnsi="宋体"/>
                <w:szCs w:val="21"/>
              </w:rPr>
              <w:t>中文操作手册。</w:t>
            </w:r>
          </w:p>
          <w:p>
            <w:pPr>
              <w:spacing w:line="360" w:lineRule="auto"/>
              <w:rPr>
                <w:rFonts w:ascii="宋体" w:hAnsi="宋体"/>
                <w:color w:val="000000"/>
                <w:szCs w:val="21"/>
              </w:rPr>
            </w:pPr>
            <w:r>
              <w:rPr>
                <w:rFonts w:hint="eastAsia" w:ascii="宋体" w:hAnsi="宋体"/>
                <w:szCs w:val="21"/>
              </w:rPr>
              <w:t>4、若买方使用单位对中标产品质量有争议，将由买方委托第三方质量检测部门按照招标文书进行验收确认，委托检测验收费用由中标方负责支付。出具检测验收报告合格，买方将履行采购合同；若检测验收报告不合格，买方将取消采购合同，由卖方承担所有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4</w:t>
            </w:r>
          </w:p>
        </w:tc>
        <w:tc>
          <w:tcPr>
            <w:tcW w:w="1620" w:type="dxa"/>
            <w:vAlign w:val="center"/>
          </w:tcPr>
          <w:p>
            <w:pPr>
              <w:spacing w:line="360" w:lineRule="auto"/>
              <w:jc w:val="center"/>
              <w:rPr>
                <w:rFonts w:asciiTheme="minorEastAsia" w:hAnsiTheme="minorEastAsia" w:eastAsiaTheme="minorEastAsia"/>
                <w:szCs w:val="21"/>
              </w:rPr>
            </w:pPr>
            <w:r>
              <w:rPr>
                <w:rFonts w:hint="eastAsia" w:ascii="宋体" w:hAnsi="宋体"/>
                <w:b/>
                <w:bCs/>
                <w:kern w:val="0"/>
                <w:szCs w:val="21"/>
              </w:rPr>
              <w:t>报价要求</w:t>
            </w:r>
          </w:p>
        </w:tc>
        <w:tc>
          <w:tcPr>
            <w:tcW w:w="7559" w:type="dxa"/>
          </w:tcPr>
          <w:p>
            <w:pPr>
              <w:spacing w:line="360" w:lineRule="auto"/>
              <w:rPr>
                <w:rFonts w:ascii="宋体" w:hAnsi="宋体"/>
                <w:color w:val="000000"/>
                <w:szCs w:val="21"/>
              </w:rPr>
            </w:pPr>
            <w:r>
              <w:rPr>
                <w:rFonts w:hint="eastAsia" w:ascii="宋体" w:hAnsi="宋体"/>
                <w:color w:val="000000"/>
                <w:szCs w:val="21"/>
              </w:rPr>
              <w:t>投标报价以人民币报价，为工地交货价。货物总价内包含相关的费用有：原材料和配件费、深化设计、生产加工、安装、调试，通过有关主管部门的验收，运至合同指定地点的包装、运输、装卸、保险，技术培训，安装调试及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szCs w:val="21"/>
              </w:rPr>
            </w:pPr>
            <w:r>
              <w:rPr>
                <w:rFonts w:hint="eastAsia" w:ascii="宋体" w:hAnsi="宋体"/>
                <w:b/>
                <w:color w:val="000000"/>
                <w:kern w:val="0"/>
                <w:szCs w:val="21"/>
              </w:rPr>
              <w:t>付款方式</w:t>
            </w:r>
          </w:p>
        </w:tc>
        <w:tc>
          <w:tcPr>
            <w:tcW w:w="7559" w:type="dxa"/>
          </w:tcPr>
          <w:p>
            <w:pPr>
              <w:spacing w:line="360" w:lineRule="auto"/>
              <w:rPr>
                <w:rFonts w:ascii="宋体" w:hAnsi="宋体"/>
                <w:color w:val="000000"/>
                <w:szCs w:val="21"/>
              </w:rPr>
            </w:pPr>
            <w:r>
              <w:rPr>
                <w:rFonts w:hint="eastAsia" w:ascii="宋体" w:hAnsi="宋体"/>
                <w:color w:val="000000"/>
                <w:szCs w:val="21"/>
              </w:rPr>
              <w:t>全部设备验收合格后90日内一次性付全款90%, 余款10%在质保期满后支付。</w:t>
            </w:r>
          </w:p>
        </w:tc>
      </w:tr>
    </w:tbl>
    <w:p/>
    <w:p/>
    <w:p>
      <w:pPr>
        <w:widowControl/>
        <w:jc w:val="left"/>
      </w:pPr>
    </w:p>
    <w:p>
      <w:pPr>
        <w:widowControl/>
        <w:jc w:val="left"/>
      </w:pPr>
      <w:r>
        <w:br w:type="page"/>
      </w:r>
    </w:p>
    <w:p/>
    <w:p>
      <w:pPr>
        <w:pStyle w:val="3"/>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73610141"/>
      <w:r>
        <w:rPr>
          <w:rFonts w:hint="eastAsia"/>
        </w:rPr>
        <w:t>第四章  评标方法和标准</w:t>
      </w:r>
      <w:bookmarkEnd w:id="3"/>
    </w:p>
    <w:p>
      <w:pPr>
        <w:pStyle w:val="5"/>
        <w:spacing w:before="0" w:after="0"/>
      </w:pPr>
      <w:bookmarkStart w:id="4" w:name="_Toc44690702"/>
      <w:bookmarkStart w:id="5" w:name="_Toc44691161"/>
      <w:bookmarkStart w:id="6" w:name="_Toc44690429"/>
      <w:bookmarkStart w:id="7" w:name="_Toc73610142"/>
      <w:bookmarkStart w:id="8" w:name="_Toc4469139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7361014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34</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 34分，</w:t>
            </w:r>
            <w:r>
              <w:rPr>
                <w:rFonts w:hint="eastAsia" w:ascii="宋体" w:hAnsi="宋体"/>
                <w:szCs w:val="21"/>
              </w:rPr>
              <w:t>加注“</w:t>
            </w:r>
            <w:r>
              <w:rPr>
                <w:rFonts w:hint="eastAsia" w:ascii="宋体" w:hAnsi="宋体" w:cs="宋体"/>
                <w:kern w:val="0"/>
                <w:szCs w:val="21"/>
              </w:rPr>
              <w:t>▲</w:t>
            </w:r>
            <w:r>
              <w:rPr>
                <w:rFonts w:hint="eastAsia" w:ascii="宋体" w:hAnsi="宋体"/>
                <w:szCs w:val="21"/>
              </w:rPr>
              <w:t>”</w:t>
            </w:r>
            <w:r>
              <w:rPr>
                <w:rFonts w:hint="eastAsia" w:ascii="宋体" w:hAnsi="宋体" w:cs="宋体"/>
                <w:kern w:val="0"/>
                <w:szCs w:val="21"/>
              </w:rPr>
              <w:t>的技术参数为重点</w:t>
            </w:r>
            <w:r>
              <w:rPr>
                <w:rFonts w:hint="eastAsia" w:ascii="宋体" w:hAnsi="宋体"/>
                <w:szCs w:val="21"/>
              </w:rPr>
              <w:t>参数，每负偏离一项扣2分，其他一般技术参数每负偏离一项扣1分</w:t>
            </w:r>
            <w:r>
              <w:rPr>
                <w:rFonts w:hint="eastAsia" w:ascii="宋体" w:hAnsi="宋体" w:cs="仿宋"/>
                <w:szCs w:val="21"/>
              </w:rPr>
              <w:t>，</w:t>
            </w:r>
            <w:r>
              <w:rPr>
                <w:rFonts w:hint="eastAsia" w:ascii="宋体" w:hAnsi="宋体"/>
                <w:bCs/>
                <w:szCs w:val="21"/>
              </w:rPr>
              <w:t>最低得0分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14:textFill>
                  <w14:solidFill>
                    <w14:schemeClr w14:val="tx1"/>
                  </w14:solidFill>
                </w14:textFill>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14:textFill>
                  <w14:solidFill>
                    <w14:schemeClr w14:val="tx1"/>
                  </w14:solidFill>
                </w14:textFill>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满足以上三项要求得8分，满足以上两项要求得5分，满足以上一项要求得2分，其它情况不得分。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3"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服务机构及维护人员配置合理；</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满足以上三项要求得8分，满足以上两项要求得5分，满足以上一项要求得2分，其它情况不得分。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8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商务条款偏离情况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8</w:t>
            </w:r>
          </w:p>
        </w:tc>
        <w:tc>
          <w:tcPr>
            <w:tcW w:w="5953" w:type="dxa"/>
            <w:vAlign w:val="center"/>
          </w:tcPr>
          <w:p>
            <w:pPr>
              <w:autoSpaceDE w:val="0"/>
              <w:autoSpaceDN w:val="0"/>
              <w:adjustRightInd w:val="0"/>
              <w:spacing w:line="360" w:lineRule="exact"/>
              <w:jc w:val="left"/>
              <w:rPr>
                <w:rFonts w:ascii="宋体" w:hAnsi="宋体" w:cs="仿宋"/>
                <w:szCs w:val="21"/>
                <w:lang w:val="zh-CN"/>
              </w:rPr>
            </w:pPr>
            <w:r>
              <w:rPr>
                <w:rFonts w:hint="eastAsia" w:ascii="宋体" w:hAnsi="宋体" w:cs="宋体"/>
                <w:kern w:val="0"/>
                <w:szCs w:val="21"/>
              </w:rPr>
              <w:t>投标人应如实填写《商务条款偏离表》，评审委员会根据投标文件响应情况进行打分。全部满足要求的得8分，</w:t>
            </w:r>
            <w:r>
              <w:rPr>
                <w:rFonts w:hint="eastAsia" w:ascii="宋体" w:hAnsi="宋体" w:cs="宋体"/>
                <w:szCs w:val="21"/>
              </w:rPr>
              <w:t>每1小项负偏离或未响应</w:t>
            </w:r>
            <w:r>
              <w:rPr>
                <w:rFonts w:hint="eastAsia" w:ascii="宋体" w:hAnsi="宋体" w:cs="宋体"/>
                <w:kern w:val="0"/>
                <w:szCs w:val="21"/>
              </w:rPr>
              <w:t>扣1分，</w:t>
            </w:r>
            <w:r>
              <w:rPr>
                <w:rFonts w:hint="eastAsia" w:ascii="宋体" w:hAnsi="宋体" w:cs="仿宋"/>
                <w:szCs w:val="21"/>
              </w:rPr>
              <w:t>最低得0分</w:t>
            </w:r>
            <w:r>
              <w:rPr>
                <w:rFonts w:hint="eastAsia" w:ascii="宋体" w:hAnsi="宋体" w:cs="宋体"/>
                <w:kern w:val="0"/>
                <w:szCs w:val="21"/>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rPr>
              <w:t>2019年1月1日至本项目投标截止日（以合同签订日期为准），投标人</w:t>
            </w:r>
            <w:r>
              <w:rPr>
                <w:rFonts w:hint="eastAsia" w:ascii="宋体" w:hAnsi="宋体" w:cs="仿宋"/>
                <w:szCs w:val="21"/>
              </w:rPr>
              <w:t>具有同类项目业绩的，每提供1个项目得1分，最高得5分。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2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服务网点</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w:t>
            </w:r>
            <w:r>
              <w:rPr>
                <w:rFonts w:ascii="宋体" w:hAnsi="宋体" w:cs="宋体"/>
                <w:bCs/>
                <w:kern w:val="0"/>
                <w:szCs w:val="21"/>
              </w:rPr>
              <w:t>，得</w:t>
            </w:r>
            <w:r>
              <w:rPr>
                <w:rFonts w:hint="eastAsia" w:ascii="宋体" w:hAnsi="宋体" w:cs="宋体"/>
                <w:bCs/>
                <w:kern w:val="0"/>
                <w:szCs w:val="21"/>
              </w:rPr>
              <w:t>2</w:t>
            </w:r>
            <w:r>
              <w:rPr>
                <w:rFonts w:ascii="宋体" w:hAnsi="宋体" w:cs="宋体"/>
                <w:bCs/>
                <w:kern w:val="0"/>
                <w:szCs w:val="21"/>
              </w:rPr>
              <w:t>分</w:t>
            </w:r>
            <w:r>
              <w:rPr>
                <w:rFonts w:hint="eastAsia" w:ascii="宋体" w:hAnsi="宋体" w:cs="宋体"/>
                <w:bCs/>
                <w:kern w:val="0"/>
                <w:szCs w:val="21"/>
              </w:rPr>
              <w:t>；投标人承诺中标后一个月内在深圳设立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的，得1分，其他情况不得分。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 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0" w:name="_Toc44691394"/>
      <w:bookmarkStart w:id="11" w:name="_Toc44691162"/>
      <w:bookmarkStart w:id="12" w:name="_Toc73610144"/>
      <w:bookmarkStart w:id="13" w:name="_Toc44690703"/>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73610146"/>
      <w:r>
        <w:rPr>
          <w:rFonts w:hint="eastAsia" w:asciiTheme="minorEastAsia" w:hAnsiTheme="minorEastAsia" w:eastAsiaTheme="minorEastAsia"/>
        </w:rPr>
        <w:t>2、政府采购优惠政策</w:t>
      </w:r>
      <w:bookmarkEnd w:id="16"/>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项号</w:t>
            </w:r>
          </w:p>
        </w:tc>
        <w:tc>
          <w:tcPr>
            <w:tcW w:w="1038" w:type="dxa"/>
            <w:vAlign w:val="center"/>
          </w:tcPr>
          <w:p>
            <w:pPr>
              <w:pStyle w:val="2"/>
              <w:spacing w:line="360" w:lineRule="auto"/>
              <w:jc w:val="center"/>
              <w:rPr>
                <w:rFonts w:hAnsi="宋体"/>
              </w:rPr>
            </w:pPr>
            <w:r>
              <w:rPr>
                <w:rFonts w:hint="eastAsia" w:hAnsi="宋体"/>
              </w:rPr>
              <w:t>条款号</w:t>
            </w:r>
          </w:p>
        </w:tc>
        <w:tc>
          <w:tcPr>
            <w:tcW w:w="1843" w:type="dxa"/>
            <w:vAlign w:val="center"/>
          </w:tcPr>
          <w:p>
            <w:pPr>
              <w:pStyle w:val="2"/>
              <w:spacing w:line="360" w:lineRule="auto"/>
              <w:jc w:val="center"/>
              <w:rPr>
                <w:rFonts w:hAnsi="宋体"/>
              </w:rPr>
            </w:pPr>
            <w:r>
              <w:rPr>
                <w:rFonts w:hint="eastAsia" w:hAnsi="宋体"/>
              </w:rPr>
              <w:t>内容</w:t>
            </w:r>
          </w:p>
        </w:tc>
        <w:tc>
          <w:tcPr>
            <w:tcW w:w="6520" w:type="dxa"/>
          </w:tcPr>
          <w:p>
            <w:pPr>
              <w:pStyle w:val="2"/>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Ansi="宋体"/>
              </w:rPr>
              <w:t>1</w:t>
            </w:r>
          </w:p>
        </w:tc>
        <w:tc>
          <w:tcPr>
            <w:tcW w:w="1038" w:type="dxa"/>
            <w:vAlign w:val="center"/>
          </w:tcPr>
          <w:p>
            <w:pPr>
              <w:pStyle w:val="2"/>
              <w:spacing w:line="360" w:lineRule="auto"/>
              <w:jc w:val="center"/>
              <w:rPr>
                <w:rFonts w:hAnsi="宋体"/>
              </w:rPr>
            </w:pPr>
            <w:r>
              <w:rPr>
                <w:rFonts w:hAnsi="宋体"/>
              </w:rPr>
              <w:t>1.1</w:t>
            </w:r>
          </w:p>
        </w:tc>
        <w:tc>
          <w:tcPr>
            <w:tcW w:w="1843" w:type="dxa"/>
            <w:vAlign w:val="center"/>
          </w:tcPr>
          <w:p>
            <w:pPr>
              <w:pStyle w:val="2"/>
              <w:spacing w:line="360" w:lineRule="exact"/>
              <w:jc w:val="center"/>
              <w:rPr>
                <w:rFonts w:hAnsi="宋体"/>
              </w:rPr>
            </w:pPr>
            <w:r>
              <w:rPr>
                <w:rFonts w:hint="eastAsia" w:hAnsi="宋体"/>
              </w:rPr>
              <w:t>项目名称</w:t>
            </w:r>
          </w:p>
        </w:tc>
        <w:tc>
          <w:tcPr>
            <w:tcW w:w="6520" w:type="dxa"/>
            <w:vAlign w:val="center"/>
          </w:tcPr>
          <w:p>
            <w:pPr>
              <w:pStyle w:val="2"/>
              <w:spacing w:line="360" w:lineRule="exact"/>
            </w:pPr>
            <w:r>
              <w:rPr>
                <w:rFonts w:hint="eastAsia" w:asciiTheme="minorEastAsia" w:hAnsiTheme="minorEastAsia" w:eastAsiaTheme="minorEastAsia"/>
              </w:rPr>
              <w:t>便携式超高清摄像系统采购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2</w:t>
            </w:r>
          </w:p>
        </w:tc>
        <w:tc>
          <w:tcPr>
            <w:tcW w:w="1038" w:type="dxa"/>
            <w:vAlign w:val="center"/>
          </w:tcPr>
          <w:p>
            <w:pPr>
              <w:pStyle w:val="2"/>
              <w:spacing w:line="360" w:lineRule="auto"/>
              <w:jc w:val="center"/>
              <w:rPr>
                <w:rFonts w:hAnsi="宋体"/>
              </w:rPr>
            </w:pPr>
            <w:r>
              <w:rPr>
                <w:rFonts w:hAnsi="宋体"/>
              </w:rPr>
              <w:t>2.1</w:t>
            </w:r>
          </w:p>
        </w:tc>
        <w:tc>
          <w:tcPr>
            <w:tcW w:w="1843" w:type="dxa"/>
            <w:vAlign w:val="center"/>
          </w:tcPr>
          <w:p>
            <w:pPr>
              <w:pStyle w:val="2"/>
              <w:spacing w:line="360" w:lineRule="exact"/>
              <w:jc w:val="center"/>
              <w:rPr>
                <w:rFonts w:hAnsi="宋体"/>
              </w:rPr>
            </w:pPr>
            <w:r>
              <w:rPr>
                <w:rFonts w:hint="eastAsia" w:hAnsi="宋体"/>
              </w:rPr>
              <w:t>采购人</w:t>
            </w:r>
          </w:p>
        </w:tc>
        <w:tc>
          <w:tcPr>
            <w:tcW w:w="6520" w:type="dxa"/>
            <w:vAlign w:val="center"/>
          </w:tcPr>
          <w:p>
            <w:pPr>
              <w:pStyle w:val="2"/>
              <w:spacing w:line="360" w:lineRule="exact"/>
              <w:rPr>
                <w:rFonts w:hAnsi="宋体"/>
                <w:szCs w:val="24"/>
              </w:rPr>
            </w:pPr>
            <w:r>
              <w:rPr>
                <w:rFonts w:hint="eastAsia" w:hAnsi="宋体"/>
                <w:snapToGrid w:val="0"/>
                <w:szCs w:val="21"/>
              </w:rPr>
              <w:t>深圳市中西医结合医院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3</w:t>
            </w:r>
          </w:p>
        </w:tc>
        <w:tc>
          <w:tcPr>
            <w:tcW w:w="1038" w:type="dxa"/>
            <w:vAlign w:val="center"/>
          </w:tcPr>
          <w:p>
            <w:pPr>
              <w:pStyle w:val="2"/>
              <w:spacing w:line="360" w:lineRule="auto"/>
              <w:jc w:val="center"/>
              <w:rPr>
                <w:rFonts w:hAnsi="宋体"/>
              </w:rPr>
            </w:pPr>
            <w:r>
              <w:rPr>
                <w:rFonts w:hAnsi="宋体"/>
              </w:rPr>
              <w:t>2.2</w:t>
            </w:r>
          </w:p>
        </w:tc>
        <w:tc>
          <w:tcPr>
            <w:tcW w:w="1843" w:type="dxa"/>
            <w:vAlign w:val="center"/>
          </w:tcPr>
          <w:p>
            <w:pPr>
              <w:pStyle w:val="2"/>
              <w:spacing w:line="360" w:lineRule="exact"/>
              <w:jc w:val="center"/>
              <w:rPr>
                <w:rFonts w:hAnsi="宋体"/>
              </w:rPr>
            </w:pPr>
            <w:r>
              <w:rPr>
                <w:rFonts w:hint="eastAsia" w:hAnsi="宋体"/>
              </w:rPr>
              <w:t>招标代理机构</w:t>
            </w:r>
          </w:p>
        </w:tc>
        <w:tc>
          <w:tcPr>
            <w:tcW w:w="6520" w:type="dxa"/>
            <w:vAlign w:val="center"/>
          </w:tcPr>
          <w:p>
            <w:pPr>
              <w:pStyle w:val="2"/>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
              <w:spacing w:line="360" w:lineRule="auto"/>
              <w:jc w:val="center"/>
              <w:rPr>
                <w:rFonts w:hAnsi="宋体"/>
              </w:rPr>
            </w:pPr>
            <w:r>
              <w:rPr>
                <w:rFonts w:hint="eastAsia" w:hAnsi="宋体"/>
              </w:rPr>
              <w:t>4</w:t>
            </w:r>
          </w:p>
        </w:tc>
        <w:tc>
          <w:tcPr>
            <w:tcW w:w="1038" w:type="dxa"/>
            <w:vAlign w:val="center"/>
          </w:tcPr>
          <w:p>
            <w:pPr>
              <w:pStyle w:val="2"/>
              <w:spacing w:line="360" w:lineRule="auto"/>
              <w:jc w:val="center"/>
              <w:rPr>
                <w:rFonts w:hAnsi="宋体"/>
              </w:rPr>
            </w:pPr>
            <w:r>
              <w:rPr>
                <w:rFonts w:hint="eastAsia" w:hAnsi="宋体"/>
              </w:rPr>
              <w:t>3.1</w:t>
            </w:r>
          </w:p>
        </w:tc>
        <w:tc>
          <w:tcPr>
            <w:tcW w:w="1843" w:type="dxa"/>
            <w:vAlign w:val="center"/>
          </w:tcPr>
          <w:p>
            <w:pPr>
              <w:pStyle w:val="2"/>
              <w:spacing w:line="360" w:lineRule="exact"/>
              <w:jc w:val="center"/>
              <w:rPr>
                <w:rFonts w:hAnsi="宋体"/>
              </w:rPr>
            </w:pPr>
            <w:r>
              <w:rPr>
                <w:rFonts w:hint="eastAsia" w:hAnsi="宋体"/>
              </w:rPr>
              <w:t>资金来源</w:t>
            </w:r>
          </w:p>
        </w:tc>
        <w:tc>
          <w:tcPr>
            <w:tcW w:w="6520" w:type="dxa"/>
            <w:vAlign w:val="center"/>
          </w:tcPr>
          <w:p>
            <w:pPr>
              <w:pStyle w:val="2"/>
              <w:spacing w:line="360" w:lineRule="exact"/>
              <w:rPr>
                <w:rFonts w:hAnsi="宋体"/>
              </w:rPr>
            </w:pPr>
            <w:r>
              <w:rPr>
                <w:rFonts w:hint="eastAsia" w:hAnsi="宋体"/>
              </w:rPr>
              <w:t>□预算内资金/□预算外资金/</w:t>
            </w:r>
            <w:r>
              <w:rPr>
                <w:rFonts w:hint="eastAsia" w:hAnsi="宋体" w:eastAsia="MS Mincho" w:cs="MS Mincho"/>
                <w:sz w:val="24"/>
                <w:szCs w:val="24"/>
              </w:rPr>
              <w:t>☑</w:t>
            </w:r>
            <w:r>
              <w:rPr>
                <w:rFonts w:hint="eastAsia" w:hAnsi="宋体"/>
              </w:rPr>
              <w:t>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
              <w:spacing w:line="360" w:lineRule="auto"/>
              <w:jc w:val="center"/>
              <w:rPr>
                <w:rFonts w:hAnsi="宋体"/>
              </w:rPr>
            </w:pPr>
            <w:r>
              <w:rPr>
                <w:rFonts w:hint="eastAsia" w:hAnsi="宋体"/>
              </w:rPr>
              <w:t>5</w:t>
            </w:r>
          </w:p>
        </w:tc>
        <w:tc>
          <w:tcPr>
            <w:tcW w:w="1038" w:type="dxa"/>
            <w:vAlign w:val="center"/>
          </w:tcPr>
          <w:p>
            <w:pPr>
              <w:pStyle w:val="2"/>
              <w:spacing w:line="360" w:lineRule="auto"/>
              <w:jc w:val="center"/>
              <w:rPr>
                <w:rFonts w:hAnsi="宋体"/>
              </w:rPr>
            </w:pPr>
            <w:r>
              <w:rPr>
                <w:rFonts w:hint="eastAsia" w:hAnsi="宋体"/>
              </w:rPr>
              <w:t>4.7</w:t>
            </w:r>
          </w:p>
        </w:tc>
        <w:tc>
          <w:tcPr>
            <w:tcW w:w="1843" w:type="dxa"/>
            <w:vAlign w:val="center"/>
          </w:tcPr>
          <w:p>
            <w:pPr>
              <w:pStyle w:val="2"/>
              <w:spacing w:line="360" w:lineRule="auto"/>
              <w:jc w:val="center"/>
              <w:rPr>
                <w:rFonts w:hAnsi="宋体"/>
              </w:rPr>
            </w:pPr>
            <w:r>
              <w:rPr>
                <w:rFonts w:hint="eastAsia" w:hAnsi="宋体"/>
              </w:rPr>
              <w:t>投标人资格要求</w:t>
            </w:r>
          </w:p>
        </w:tc>
        <w:tc>
          <w:tcPr>
            <w:tcW w:w="6520" w:type="dxa"/>
            <w:vAlign w:val="center"/>
          </w:tcPr>
          <w:p>
            <w:pPr>
              <w:pStyle w:val="2"/>
              <w:spacing w:line="360" w:lineRule="auto"/>
              <w:rPr>
                <w:rFonts w:hAnsi="宋体"/>
                <w:szCs w:val="21"/>
              </w:rPr>
            </w:pPr>
            <w:r>
              <w:rPr>
                <w:rFonts w:hint="eastAsia" w:hAnsi="宋体"/>
                <w:szCs w:val="21"/>
              </w:rPr>
              <w:t>详见《第一章 投标邀请》“申请人的资格要求”</w:t>
            </w:r>
          </w:p>
          <w:p>
            <w:pPr>
              <w:pStyle w:val="2"/>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6</w:t>
            </w:r>
          </w:p>
        </w:tc>
        <w:tc>
          <w:tcPr>
            <w:tcW w:w="1038" w:type="dxa"/>
            <w:vAlign w:val="center"/>
          </w:tcPr>
          <w:p>
            <w:pPr>
              <w:pStyle w:val="2"/>
              <w:spacing w:line="360" w:lineRule="auto"/>
              <w:jc w:val="center"/>
              <w:rPr>
                <w:rFonts w:hAnsi="宋体"/>
              </w:rPr>
            </w:pPr>
            <w:r>
              <w:rPr>
                <w:rFonts w:hint="eastAsia" w:hAnsi="宋体"/>
              </w:rPr>
              <w:t>4.8</w:t>
            </w:r>
          </w:p>
        </w:tc>
        <w:tc>
          <w:tcPr>
            <w:tcW w:w="1843" w:type="dxa"/>
            <w:vAlign w:val="center"/>
          </w:tcPr>
          <w:p>
            <w:pPr>
              <w:pStyle w:val="2"/>
              <w:spacing w:line="360" w:lineRule="auto"/>
              <w:jc w:val="center"/>
              <w:rPr>
                <w:rFonts w:hAnsi="宋体"/>
              </w:rPr>
            </w:pPr>
            <w:r>
              <w:rPr>
                <w:rFonts w:hint="eastAsia" w:hAnsi="宋体"/>
              </w:rPr>
              <w:t>联合体投标</w:t>
            </w:r>
          </w:p>
        </w:tc>
        <w:tc>
          <w:tcPr>
            <w:tcW w:w="6520" w:type="dxa"/>
          </w:tcPr>
          <w:p>
            <w:pPr>
              <w:pStyle w:val="2"/>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7</w:t>
            </w:r>
          </w:p>
        </w:tc>
        <w:tc>
          <w:tcPr>
            <w:tcW w:w="1038" w:type="dxa"/>
            <w:vAlign w:val="center"/>
          </w:tcPr>
          <w:p>
            <w:pPr>
              <w:pStyle w:val="2"/>
              <w:spacing w:line="360" w:lineRule="auto"/>
              <w:jc w:val="center"/>
              <w:rPr>
                <w:rFonts w:hAnsi="宋体"/>
              </w:rPr>
            </w:pPr>
            <w:r>
              <w:rPr>
                <w:rFonts w:hint="eastAsia" w:hAnsi="宋体"/>
              </w:rPr>
              <w:t>6.1</w:t>
            </w:r>
          </w:p>
        </w:tc>
        <w:tc>
          <w:tcPr>
            <w:tcW w:w="1843" w:type="dxa"/>
            <w:vAlign w:val="center"/>
          </w:tcPr>
          <w:p>
            <w:pPr>
              <w:pStyle w:val="2"/>
              <w:spacing w:line="360" w:lineRule="auto"/>
              <w:jc w:val="center"/>
              <w:rPr>
                <w:rFonts w:hAnsi="宋体"/>
              </w:rPr>
            </w:pPr>
            <w:r>
              <w:rPr>
                <w:rFonts w:hint="eastAsia" w:hAnsi="宋体"/>
              </w:rPr>
              <w:t>踏勘现场</w:t>
            </w:r>
          </w:p>
        </w:tc>
        <w:tc>
          <w:tcPr>
            <w:tcW w:w="6520" w:type="dxa"/>
          </w:tcPr>
          <w:p>
            <w:pPr>
              <w:pStyle w:val="2"/>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
              <w:spacing w:line="360" w:lineRule="auto"/>
              <w:jc w:val="center"/>
              <w:rPr>
                <w:rFonts w:hAnsi="宋体"/>
              </w:rPr>
            </w:pPr>
            <w:r>
              <w:rPr>
                <w:rFonts w:hint="eastAsia" w:hAnsi="宋体"/>
              </w:rPr>
              <w:t>8</w:t>
            </w:r>
          </w:p>
        </w:tc>
        <w:tc>
          <w:tcPr>
            <w:tcW w:w="1038" w:type="dxa"/>
            <w:vAlign w:val="center"/>
          </w:tcPr>
          <w:p>
            <w:pPr>
              <w:pStyle w:val="2"/>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
              <w:spacing w:line="360" w:lineRule="auto"/>
              <w:jc w:val="center"/>
              <w:rPr>
                <w:rFonts w:hAnsi="宋体"/>
              </w:rPr>
            </w:pPr>
            <w:r>
              <w:rPr>
                <w:rFonts w:hint="eastAsia" w:hAnsi="宋体"/>
              </w:rPr>
              <w:t>投标有效期</w:t>
            </w:r>
          </w:p>
        </w:tc>
        <w:tc>
          <w:tcPr>
            <w:tcW w:w="6520" w:type="dxa"/>
          </w:tcPr>
          <w:p>
            <w:pPr>
              <w:pStyle w:val="2"/>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
              <w:spacing w:line="360" w:lineRule="auto"/>
              <w:jc w:val="center"/>
              <w:rPr>
                <w:rFonts w:hAnsi="宋体"/>
              </w:rPr>
            </w:pPr>
            <w:r>
              <w:rPr>
                <w:rFonts w:hint="eastAsia" w:hAnsi="宋体"/>
              </w:rPr>
              <w:t>9</w:t>
            </w:r>
          </w:p>
        </w:tc>
        <w:tc>
          <w:tcPr>
            <w:tcW w:w="1038" w:type="dxa"/>
            <w:vAlign w:val="center"/>
          </w:tcPr>
          <w:p>
            <w:pPr>
              <w:pStyle w:val="2"/>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
              <w:spacing w:line="360" w:lineRule="auto"/>
              <w:jc w:val="center"/>
              <w:rPr>
                <w:rFonts w:hAnsi="宋体"/>
              </w:rPr>
            </w:pPr>
            <w:r>
              <w:rPr>
                <w:rFonts w:hint="eastAsia" w:hAnsi="宋体"/>
              </w:rPr>
              <w:t>10</w:t>
            </w:r>
          </w:p>
        </w:tc>
        <w:tc>
          <w:tcPr>
            <w:tcW w:w="1038" w:type="dxa"/>
            <w:vAlign w:val="center"/>
          </w:tcPr>
          <w:p>
            <w:pPr>
              <w:pStyle w:val="2"/>
              <w:spacing w:line="360" w:lineRule="auto"/>
              <w:jc w:val="center"/>
              <w:rPr>
                <w:rFonts w:hAnsi="宋体"/>
              </w:rPr>
            </w:pPr>
            <w:r>
              <w:rPr>
                <w:rFonts w:hint="eastAsia" w:hAnsi="宋体"/>
              </w:rPr>
              <w:t>16.1</w:t>
            </w:r>
          </w:p>
        </w:tc>
        <w:tc>
          <w:tcPr>
            <w:tcW w:w="1843" w:type="dxa"/>
            <w:vAlign w:val="center"/>
          </w:tcPr>
          <w:p>
            <w:pPr>
              <w:pStyle w:val="2"/>
              <w:spacing w:line="360" w:lineRule="auto"/>
              <w:jc w:val="center"/>
              <w:rPr>
                <w:rFonts w:hAnsi="宋体"/>
              </w:rPr>
            </w:pPr>
            <w:r>
              <w:rPr>
                <w:rFonts w:hint="eastAsia" w:hAnsi="宋体"/>
              </w:rPr>
              <w:t>投标预备会</w:t>
            </w:r>
          </w:p>
          <w:p>
            <w:pPr>
              <w:pStyle w:val="2"/>
              <w:spacing w:line="360" w:lineRule="auto"/>
              <w:jc w:val="center"/>
              <w:rPr>
                <w:rFonts w:hAnsi="宋体"/>
              </w:rPr>
            </w:pPr>
            <w:r>
              <w:rPr>
                <w:rFonts w:hint="eastAsia" w:hAnsi="宋体"/>
              </w:rPr>
              <w:t>（答疑会）</w:t>
            </w:r>
          </w:p>
        </w:tc>
        <w:tc>
          <w:tcPr>
            <w:tcW w:w="6520" w:type="dxa"/>
            <w:vAlign w:val="center"/>
          </w:tcPr>
          <w:p>
            <w:pPr>
              <w:pStyle w:val="2"/>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11</w:t>
            </w:r>
          </w:p>
        </w:tc>
        <w:tc>
          <w:tcPr>
            <w:tcW w:w="1038" w:type="dxa"/>
            <w:vAlign w:val="center"/>
          </w:tcPr>
          <w:p>
            <w:pPr>
              <w:pStyle w:val="2"/>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
              <w:spacing w:line="360" w:lineRule="auto"/>
              <w:jc w:val="center"/>
              <w:rPr>
                <w:rFonts w:hAnsi="宋体"/>
              </w:rPr>
            </w:pPr>
            <w:r>
              <w:rPr>
                <w:rFonts w:hint="eastAsia" w:hAnsi="宋体"/>
              </w:rPr>
              <w:t>投标文件份数</w:t>
            </w:r>
          </w:p>
        </w:tc>
        <w:tc>
          <w:tcPr>
            <w:tcW w:w="6520" w:type="dxa"/>
          </w:tcPr>
          <w:p>
            <w:pPr>
              <w:pStyle w:val="2"/>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12</w:t>
            </w:r>
          </w:p>
        </w:tc>
        <w:tc>
          <w:tcPr>
            <w:tcW w:w="1038" w:type="dxa"/>
            <w:vAlign w:val="center"/>
          </w:tcPr>
          <w:p>
            <w:pPr>
              <w:pStyle w:val="2"/>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
              <w:spacing w:line="360" w:lineRule="auto"/>
              <w:jc w:val="center"/>
              <w:rPr>
                <w:rFonts w:hAnsi="宋体"/>
              </w:rPr>
            </w:pPr>
            <w:r>
              <w:rPr>
                <w:rFonts w:hint="eastAsia" w:hAnsi="宋体"/>
              </w:rPr>
              <w:t>开标</w:t>
            </w:r>
          </w:p>
        </w:tc>
        <w:tc>
          <w:tcPr>
            <w:tcW w:w="6520" w:type="dxa"/>
          </w:tcPr>
          <w:p>
            <w:pPr>
              <w:pStyle w:val="2"/>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5</w:t>
            </w:r>
            <w:r>
              <w:rPr>
                <w:rFonts w:hint="eastAsia" w:hAnsi="宋体"/>
                <w:b/>
                <w:snapToGrid w:val="0"/>
                <w:szCs w:val="18"/>
              </w:rPr>
              <w:t>月</w:t>
            </w:r>
            <w:r>
              <w:rPr>
                <w:rFonts w:hint="eastAsia" w:hAnsi="宋体"/>
                <w:b/>
                <w:snapToGrid w:val="0"/>
                <w:szCs w:val="18"/>
                <w:lang w:val="en-US" w:eastAsia="zh-CN"/>
              </w:rPr>
              <w:t>9</w:t>
            </w:r>
            <w:r>
              <w:rPr>
                <w:rFonts w:hint="eastAsia" w:hAnsi="宋体"/>
                <w:b/>
                <w:snapToGrid w:val="0"/>
                <w:szCs w:val="18"/>
              </w:rPr>
              <w:t>日9点30分</w:t>
            </w:r>
            <w:r>
              <w:rPr>
                <w:rFonts w:hAnsi="宋体"/>
                <w:b/>
              </w:rPr>
              <w:t>（北京时间）</w:t>
            </w:r>
          </w:p>
          <w:p>
            <w:pPr>
              <w:pStyle w:val="2"/>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13</w:t>
            </w:r>
          </w:p>
        </w:tc>
        <w:tc>
          <w:tcPr>
            <w:tcW w:w="1038" w:type="dxa"/>
            <w:vAlign w:val="center"/>
          </w:tcPr>
          <w:p>
            <w:pPr>
              <w:pStyle w:val="2"/>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
              <w:spacing w:line="360" w:lineRule="auto"/>
              <w:jc w:val="center"/>
              <w:rPr>
                <w:rFonts w:hAnsi="宋体"/>
              </w:rPr>
            </w:pPr>
            <w:r>
              <w:rPr>
                <w:rFonts w:hint="eastAsia" w:hAnsi="宋体"/>
              </w:rPr>
              <w:t>投标截止时间</w:t>
            </w:r>
          </w:p>
        </w:tc>
        <w:tc>
          <w:tcPr>
            <w:tcW w:w="6520" w:type="dxa"/>
          </w:tcPr>
          <w:p>
            <w:pPr>
              <w:pStyle w:val="2"/>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5</w:t>
            </w:r>
            <w:r>
              <w:rPr>
                <w:rFonts w:hint="eastAsia" w:hAnsi="宋体"/>
                <w:b/>
                <w:snapToGrid w:val="0"/>
                <w:szCs w:val="18"/>
              </w:rPr>
              <w:t>月</w:t>
            </w:r>
            <w:r>
              <w:rPr>
                <w:rFonts w:hint="eastAsia" w:hAnsi="宋体"/>
                <w:b/>
                <w:snapToGrid w:val="0"/>
                <w:szCs w:val="18"/>
                <w:lang w:val="en-US" w:eastAsia="zh-CN"/>
              </w:rPr>
              <w:t>9</w:t>
            </w:r>
            <w:r>
              <w:rPr>
                <w:rFonts w:hint="eastAsia" w:hAnsi="宋体"/>
                <w:b/>
                <w:snapToGrid w:val="0"/>
                <w:szCs w:val="18"/>
              </w:rPr>
              <w:t>日9点30分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14</w:t>
            </w:r>
          </w:p>
        </w:tc>
        <w:tc>
          <w:tcPr>
            <w:tcW w:w="1038" w:type="dxa"/>
            <w:vAlign w:val="center"/>
          </w:tcPr>
          <w:p>
            <w:pPr>
              <w:pStyle w:val="2"/>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
              <w:spacing w:line="360" w:lineRule="auto"/>
              <w:jc w:val="center"/>
              <w:rPr>
                <w:rFonts w:hAnsi="宋体"/>
              </w:rPr>
            </w:pPr>
            <w:r>
              <w:rPr>
                <w:rFonts w:hint="eastAsia" w:hAnsi="宋体"/>
              </w:rPr>
              <w:t>评标办法</w:t>
            </w:r>
          </w:p>
        </w:tc>
        <w:tc>
          <w:tcPr>
            <w:tcW w:w="6520" w:type="dxa"/>
          </w:tcPr>
          <w:p>
            <w:pPr>
              <w:pStyle w:val="2"/>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15</w:t>
            </w:r>
          </w:p>
        </w:tc>
        <w:tc>
          <w:tcPr>
            <w:tcW w:w="1038" w:type="dxa"/>
            <w:vAlign w:val="center"/>
          </w:tcPr>
          <w:p>
            <w:pPr>
              <w:pStyle w:val="2"/>
              <w:spacing w:line="360" w:lineRule="auto"/>
              <w:jc w:val="center"/>
              <w:rPr>
                <w:rFonts w:hAnsi="宋体"/>
              </w:rPr>
            </w:pPr>
            <w:r>
              <w:rPr>
                <w:rFonts w:hint="eastAsia" w:hAnsi="宋体"/>
              </w:rPr>
              <w:t>33</w:t>
            </w:r>
            <w:r>
              <w:rPr>
                <w:rFonts w:hAnsi="宋体"/>
              </w:rPr>
              <w:t>.1</w:t>
            </w:r>
          </w:p>
        </w:tc>
        <w:tc>
          <w:tcPr>
            <w:tcW w:w="1843" w:type="dxa"/>
            <w:vAlign w:val="center"/>
          </w:tcPr>
          <w:p>
            <w:pPr>
              <w:pStyle w:val="2"/>
              <w:spacing w:line="360" w:lineRule="auto"/>
              <w:jc w:val="center"/>
              <w:rPr>
                <w:snapToGrid w:val="0"/>
                <w:kern w:val="0"/>
              </w:rPr>
            </w:pPr>
            <w:r>
              <w:rPr>
                <w:rFonts w:hint="eastAsia"/>
                <w:snapToGrid w:val="0"/>
                <w:kern w:val="0"/>
              </w:rPr>
              <w:t>履约保证金</w:t>
            </w:r>
          </w:p>
        </w:tc>
        <w:tc>
          <w:tcPr>
            <w:tcW w:w="6520" w:type="dxa"/>
          </w:tcPr>
          <w:p>
            <w:pPr>
              <w:pStyle w:val="2"/>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
              <w:spacing w:line="360" w:lineRule="auto"/>
              <w:jc w:val="center"/>
              <w:rPr>
                <w:rFonts w:hAnsi="宋体"/>
              </w:rPr>
            </w:pPr>
            <w:r>
              <w:rPr>
                <w:rFonts w:hint="eastAsia" w:hAnsi="宋体"/>
              </w:rPr>
              <w:t>16</w:t>
            </w:r>
          </w:p>
        </w:tc>
        <w:tc>
          <w:tcPr>
            <w:tcW w:w="1038" w:type="dxa"/>
            <w:vAlign w:val="center"/>
          </w:tcPr>
          <w:p>
            <w:pPr>
              <w:pStyle w:val="2"/>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
              <w:spacing w:line="360" w:lineRule="auto"/>
              <w:jc w:val="center"/>
              <w:rPr>
                <w:rFonts w:hAnsi="宋体"/>
              </w:rPr>
            </w:pPr>
            <w:r>
              <w:rPr>
                <w:rFonts w:hint="eastAsia" w:hAnsi="宋体"/>
              </w:rPr>
              <w:t>中标服务费</w:t>
            </w:r>
          </w:p>
        </w:tc>
        <w:tc>
          <w:tcPr>
            <w:tcW w:w="6520" w:type="dxa"/>
          </w:tcPr>
          <w:p>
            <w:pPr>
              <w:pStyle w:val="2"/>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3"/>
      </w:pPr>
      <w:bookmarkStart w:id="18" w:name="_Toc73610148"/>
      <w:r>
        <w:rPr>
          <w:rFonts w:hint="eastAsia"/>
        </w:rPr>
        <w:t>第六章  投标人须知</w:t>
      </w:r>
      <w:bookmarkEnd w:id="18"/>
    </w:p>
    <w:p>
      <w:pPr>
        <w:pStyle w:val="5"/>
        <w:spacing w:before="0" w:after="0"/>
      </w:pPr>
      <w:bookmarkStart w:id="19" w:name="_Toc73610149"/>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17"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6R9c/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3600"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16"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C5&#10;DMrV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2576"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5"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CB&#10;2wysrgEAAHADAAAOAAAAAAAAAAEAIAAAACcBAABkcnMvZTJvRG9jLnhtbFBLBQYAAAAABgAGAFkB&#10;AABHBQ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1552"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4"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wsoD&#10;iq0BAABxAwAADgAAAAAAAAABACAAAAAmAQAAZHJzL2Uyb0RvYy54bWxQSwUGAAAAAAYABgBZAQAA&#10;R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0528"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3"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w&#10;y4x/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2"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mXHT+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uoOfPC0cR3u6cvu/tlXa+yPUOI&#10;DXU9BupL4z2M1DrlIyWz6lGjy1/Sw6hO5p5v5qoxMZkP1e8/LqkiqbRYfFquivnV8+GAMX1W4FgO&#10;Wo40u2KpOH2LiYhQ69SS7/LwYKwt87P+rwQ15kyVmV8Y5iiN+/EqZw/dmdTYr56czK9iCnAK9lNw&#10;DGgOPdEpmgskTaKQub6aPOo/9+Xi5z9l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eZcd&#10;P64BAABxAwAADgAAAAAAAAABACAAAAAlAQAAZHJzL2Uyb0RvYy54bWxQSwUGAAAAAAYABgBZAQAA&#10;R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1"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ZH&#10;BwO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7456"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0"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DvN&#10;2uSuAQAAcQ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9"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Blobv5&#10;rgEAAHADAAAOAAAAAAAAAAEAIAAAACQBAABkcnMvZTJvRG9jLnhtbFBLBQYAAAAABgAGAFkBAABE&#10;BQ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5408"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8"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DP&#10;GmtPrgEAAHA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438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7"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JHVTQK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6"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SgObS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5"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PiZ&#10;w1WuAQAAcA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340995</wp:posOffset>
                      </wp:positionV>
                      <wp:extent cx="1346200" cy="340360"/>
                      <wp:effectExtent l="1270" t="4445" r="8890" b="5715"/>
                      <wp:wrapNone/>
                      <wp:docPr id="4"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20" o:spid="_x0000_s1026" o:spt="20" style="position:absolute;left:0pt;margin-left:-5.15pt;margin-top:26.85pt;height:26.8pt;width:106pt;z-index:251661312;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oAAtYAAAAKAQAA&#10;DwAAAAAAAAABACAAAAAiAAAAZHJzL2Rvd25yZXYueG1sUEsBAhQAFAAAAAgAh07iQNAj5YziAQAA&#10;4AMAAA4AAAAAAAAAAQAgAAAAJQEAAGRycy9lMm9Eb2MueG1sUEsFBgAAAAAGAAYAWQEAAHkFAAAA&#10;AA==&#10;">
                      <v:fill on="f" focussize="0,0"/>
                      <v:stroke weight="0.5pt" color="#000000" joinstyle="round"/>
                      <v:imagedata o:title=""/>
                      <o:lock v:ext="edit" aspectratio="f"/>
                    </v:line>
                  </w:pict>
                </mc:Fallback>
              </mc:AlternateContent>
            </w: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0</wp:posOffset>
                      </wp:positionV>
                      <wp:extent cx="673100" cy="681355"/>
                      <wp:effectExtent l="3175" t="3175" r="9525" b="16510"/>
                      <wp:wrapNone/>
                      <wp:docPr id="3"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19" o:spid="_x0000_s1026" o:spt="20" style="position:absolute;left:0pt;margin-left:47.85pt;margin-top:0pt;height:53.65pt;width:53pt;z-index:251660288;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G1tN0wAAAAcBAAAPAAAA&#10;AAAAAAEAIAAAACIAAABkcnMvZG93bnJldi54bWxQSwECFAAUAAAACACHTuJAn5GHteEBAADfAwAA&#10;DgAAAAAAAAABACAAAAAiAQAAZHJzL2Uyb0RvYy54bWxQSwUGAAAAAAYABgBZAQAAdQUAAAAA&#10;">
                      <v:fill on="f" focussize="0,0"/>
                      <v:stroke weight="0.5pt" color="#000000" joinstyle="round"/>
                      <v:imagedata o:title=""/>
                      <o:lock v:ext="edit" aspectratio="f"/>
                    </v:line>
                  </w:pict>
                </mc:Fallback>
              </mc:AlternateConten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3"/>
      </w:pPr>
      <w:bookmarkStart w:id="31" w:name="_Toc73610155"/>
      <w:r>
        <w:rPr>
          <w:rFonts w:hint="eastAsia"/>
        </w:rPr>
        <w:t>第七章  投标文件格式</w:t>
      </w:r>
      <w:bookmarkEnd w:id="31"/>
    </w:p>
    <w:p>
      <w:pPr>
        <w:jc w:val="center"/>
        <w:rPr>
          <w:b/>
          <w:sz w:val="52"/>
          <w:szCs w:val="52"/>
        </w:rPr>
      </w:pPr>
    </w:p>
    <w:p>
      <w:pPr>
        <w:pStyle w:val="5"/>
        <w:spacing w:line="400" w:lineRule="exact"/>
        <w:rPr>
          <w:rFonts w:ascii="仿宋" w:hAnsi="仿宋" w:eastAsia="仿宋"/>
        </w:rPr>
      </w:pPr>
      <w:bookmarkStart w:id="32" w:name="_Toc14934"/>
      <w:bookmarkStart w:id="33" w:name="_Toc25194"/>
      <w:bookmarkStart w:id="34" w:name="_Toc44691163"/>
      <w:bookmarkStart w:id="35" w:name="_Toc31468"/>
      <w:bookmarkStart w:id="36" w:name="_Toc11772"/>
      <w:bookmarkStart w:id="37" w:name="_Toc44691395"/>
      <w:bookmarkStart w:id="38" w:name="_Toc44690431"/>
      <w:bookmarkStart w:id="39" w:name="_Toc73610156"/>
      <w:bookmarkStart w:id="40" w:name="_Toc44690704"/>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3" w:name="_Toc73610157"/>
      <w:r>
        <w:rPr>
          <w:rFonts w:hint="eastAsia" w:ascii="仿宋" w:hAnsi="仿宋" w:eastAsia="仿宋"/>
        </w:rPr>
        <w:t>投标文件格式</w:t>
      </w:r>
      <w:bookmarkEnd w:id="43"/>
    </w:p>
    <w:bookmarkEnd w:id="42"/>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5"/>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5"/>
        </w:numPr>
        <w:adjustRightInd w:val="0"/>
        <w:spacing w:line="360" w:lineRule="auto"/>
        <w:rPr>
          <w:snapToGrid w:val="0"/>
          <w:kern w:val="0"/>
          <w:szCs w:val="21"/>
        </w:rPr>
      </w:pPr>
      <w:r>
        <w:rPr>
          <w:rFonts w:hint="eastAsia"/>
          <w:snapToGrid w:val="0"/>
          <w:kern w:val="0"/>
          <w:szCs w:val="21"/>
        </w:rPr>
        <w:t>法定代表人证明书及授权委托书</w:t>
      </w:r>
      <w:r>
        <w:rPr>
          <w:rFonts w:hint="eastAsia" w:ascii="宋体" w:hAnsi="宋体"/>
          <w:snapToGrid w:val="0"/>
          <w:kern w:val="0"/>
          <w:szCs w:val="21"/>
        </w:rPr>
        <w:t>（格式2）</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5"/>
        </w:numPr>
        <w:adjustRightInd w:val="0"/>
        <w:spacing w:line="360" w:lineRule="auto"/>
        <w:rPr>
          <w:rFonts w:ascii="宋体" w:hAnsi="宋体"/>
          <w:snapToGrid w:val="0"/>
          <w:kern w:val="0"/>
          <w:szCs w:val="21"/>
        </w:rPr>
      </w:pP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5"/>
        <w:spacing w:line="400" w:lineRule="exact"/>
        <w:rPr>
          <w:rFonts w:ascii="仿宋" w:hAnsi="仿宋" w:eastAsia="仿宋"/>
        </w:rPr>
      </w:pPr>
      <w:bookmarkStart w:id="45" w:name="_Toc73610158"/>
      <w:r>
        <w:rPr>
          <w:rFonts w:hint="eastAsia" w:ascii="仿宋" w:hAnsi="仿宋" w:eastAsia="仿宋"/>
        </w:rPr>
        <w:t>评标指引表</w:t>
      </w:r>
      <w:bookmarkEnd w:id="45"/>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
        <w:spacing w:line="360" w:lineRule="auto"/>
        <w:ind w:firstLine="424" w:firstLineChars="201"/>
        <w:rPr>
          <w:rFonts w:hAnsi="宋体"/>
          <w:b/>
          <w:szCs w:val="21"/>
        </w:rPr>
      </w:pPr>
    </w:p>
    <w:p>
      <w:pPr>
        <w:pStyle w:val="2"/>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6" w:name="_Toc44691164"/>
      <w:bookmarkStart w:id="47" w:name="_Toc44690432"/>
      <w:bookmarkStart w:id="48" w:name="_Toc44690705"/>
      <w:bookmarkStart w:id="49" w:name="_Toc44691396"/>
      <w:r>
        <w:rPr>
          <w:rFonts w:hint="eastAsia" w:asciiTheme="minorEastAsia" w:hAnsiTheme="minorEastAsia" w:eastAsiaTheme="minorEastAsia"/>
          <w:sz w:val="24"/>
        </w:rPr>
        <w:t>格式1  投标人资格证明文件</w:t>
      </w:r>
      <w:bookmarkEnd w:id="46"/>
      <w:bookmarkEnd w:id="47"/>
      <w:bookmarkEnd w:id="48"/>
      <w:bookmarkEnd w:id="49"/>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0" w:name="_Toc73610159"/>
      <w:r>
        <w:rPr>
          <w:rFonts w:hint="eastAsia" w:asciiTheme="minorEastAsia" w:hAnsiTheme="minorEastAsia" w:eastAsiaTheme="minorEastAsia"/>
          <w:kern w:val="0"/>
          <w:sz w:val="28"/>
          <w:szCs w:val="28"/>
        </w:rPr>
        <w:t>股东构成审查表</w:t>
      </w:r>
      <w:bookmarkEnd w:id="50"/>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78720" behindDoc="0" locked="0" layoutInCell="1" allowOverlap="1">
                <wp:simplePos x="0" y="0"/>
                <wp:positionH relativeFrom="column">
                  <wp:posOffset>3183255</wp:posOffset>
                </wp:positionH>
                <wp:positionV relativeFrom="paragraph">
                  <wp:posOffset>136525</wp:posOffset>
                </wp:positionV>
                <wp:extent cx="3086100" cy="1981200"/>
                <wp:effectExtent l="4445" t="5080" r="18415" b="10160"/>
                <wp:wrapNone/>
                <wp:docPr id="21"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7872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77696" behindDoc="0" locked="0" layoutInCell="1" allowOverlap="1">
                <wp:simplePos x="0" y="0"/>
                <wp:positionH relativeFrom="column">
                  <wp:posOffset>-150495</wp:posOffset>
                </wp:positionH>
                <wp:positionV relativeFrom="paragraph">
                  <wp:posOffset>136525</wp:posOffset>
                </wp:positionV>
                <wp:extent cx="3086100" cy="1981200"/>
                <wp:effectExtent l="4445" t="5080" r="18415" b="10160"/>
                <wp:wrapNone/>
                <wp:docPr id="20"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7769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1" w:name="_Toc226217114"/>
      <w:r>
        <w:rPr>
          <w:rFonts w:ascii="宋体"/>
        </w:rPr>
        <mc:AlternateContent>
          <mc:Choice Requires="wps">
            <w:drawing>
              <wp:anchor distT="0" distB="0" distL="114300" distR="114300" simplePos="0" relativeHeight="251675648" behindDoc="0" locked="0" layoutInCell="1" allowOverlap="1">
                <wp:simplePos x="0" y="0"/>
                <wp:positionH relativeFrom="column">
                  <wp:posOffset>-131445</wp:posOffset>
                </wp:positionH>
                <wp:positionV relativeFrom="paragraph">
                  <wp:posOffset>71120</wp:posOffset>
                </wp:positionV>
                <wp:extent cx="3086100" cy="1981200"/>
                <wp:effectExtent l="4445" t="5080" r="18415" b="10160"/>
                <wp:wrapNone/>
                <wp:docPr id="18"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7564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76672" behindDoc="0" locked="0" layoutInCell="1" allowOverlap="1">
                <wp:simplePos x="0" y="0"/>
                <wp:positionH relativeFrom="column">
                  <wp:posOffset>3173730</wp:posOffset>
                </wp:positionH>
                <wp:positionV relativeFrom="paragraph">
                  <wp:posOffset>71120</wp:posOffset>
                </wp:positionV>
                <wp:extent cx="3086100" cy="1981200"/>
                <wp:effectExtent l="4445" t="5080" r="18415" b="10160"/>
                <wp:wrapNone/>
                <wp:docPr id="19"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7667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1"/>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1"/>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1"/>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2" w:name="_Toc44691397"/>
      <w:bookmarkStart w:id="53" w:name="_Toc44691165"/>
      <w:bookmarkStart w:id="54" w:name="_Toc44690433"/>
      <w:bookmarkStart w:id="55" w:name="_Toc44690706"/>
      <w:r>
        <w:rPr>
          <w:rFonts w:hint="eastAsia" w:asciiTheme="minorEastAsia" w:hAnsiTheme="minorEastAsia" w:eastAsiaTheme="minorEastAsia"/>
          <w:sz w:val="24"/>
        </w:rPr>
        <w:t>格式5  开标一览表</w:t>
      </w:r>
      <w:bookmarkEnd w:id="52"/>
      <w:bookmarkEnd w:id="53"/>
      <w:bookmarkEnd w:id="54"/>
      <w:bookmarkEnd w:id="5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便携式超高清摄像系统采购</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398"/>
      <w:bookmarkStart w:id="57" w:name="_Toc44690707"/>
      <w:bookmarkStart w:id="58" w:name="_Toc44690434"/>
      <w:bookmarkStart w:id="59" w:name="_Toc44691166"/>
      <w:r>
        <w:rPr>
          <w:rFonts w:hint="eastAsia" w:asciiTheme="minorEastAsia" w:hAnsiTheme="minorEastAsia" w:eastAsiaTheme="minorEastAsia"/>
          <w:sz w:val="24"/>
        </w:rPr>
        <w:t>格式6  报价表</w:t>
      </w:r>
      <w:bookmarkEnd w:id="56"/>
      <w:bookmarkEnd w:id="57"/>
      <w:bookmarkEnd w:id="58"/>
      <w:bookmarkEnd w:id="59"/>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6</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7</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8</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9</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w:t>
            </w:r>
          </w:p>
        </w:tc>
        <w:tc>
          <w:tcPr>
            <w:tcW w:w="1821" w:type="dxa"/>
            <w:vAlign w:val="center"/>
          </w:tcPr>
          <w:p>
            <w:pPr>
              <w:widowControl/>
              <w:spacing w:line="360" w:lineRule="auto"/>
              <w:jc w:val="center"/>
              <w:rPr>
                <w:rFonts w:cs="Arial"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399"/>
      <w:bookmarkStart w:id="61" w:name="_Toc44691167"/>
      <w:bookmarkStart w:id="62" w:name="_Toc44690435"/>
      <w:bookmarkStart w:id="63" w:name="_Toc44690708"/>
      <w:r>
        <w:rPr>
          <w:rFonts w:hint="eastAsia" w:asciiTheme="minorEastAsia" w:hAnsiTheme="minorEastAsia" w:eastAsiaTheme="minorEastAsia"/>
          <w:sz w:val="24"/>
        </w:rPr>
        <w:t>格式7  技术规格</w:t>
      </w:r>
      <w:bookmarkEnd w:id="60"/>
      <w:bookmarkEnd w:id="61"/>
      <w:bookmarkEnd w:id="62"/>
      <w:bookmarkEnd w:id="63"/>
    </w:p>
    <w:p>
      <w:pPr>
        <w:pStyle w:val="8"/>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4" w:name="_Toc44691168"/>
      <w:bookmarkStart w:id="65" w:name="_Toc44691400"/>
      <w:bookmarkStart w:id="66" w:name="_Toc44690709"/>
      <w:bookmarkStart w:id="67" w:name="_Toc44690436"/>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4"/>
      <w:bookmarkEnd w:id="65"/>
      <w:bookmarkEnd w:id="66"/>
      <w:bookmarkEnd w:id="67"/>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8" w:name="q17"/>
      <w:bookmarkEnd w:id="68"/>
      <w:bookmarkStart w:id="69" w:name="_格式3__"/>
      <w:bookmarkEnd w:id="69"/>
      <w:bookmarkStart w:id="70" w:name="q16"/>
      <w:bookmarkEnd w:id="70"/>
      <w:bookmarkStart w:id="71" w:name="_格式2__投标保证金凭证"/>
      <w:bookmarkEnd w:id="71"/>
      <w:bookmarkStart w:id="72" w:name="_格式4__"/>
      <w:bookmarkEnd w:id="72"/>
      <w:bookmarkStart w:id="73" w:name="_格式5__"/>
      <w:bookmarkEnd w:id="73"/>
      <w:bookmarkStart w:id="74" w:name="q15"/>
      <w:bookmarkEnd w:id="74"/>
      <w:r>
        <w:rPr>
          <w:rFonts w:asciiTheme="minorEastAsia" w:hAnsiTheme="minorEastAsia" w:eastAsiaTheme="minorEastAsia"/>
          <w:sz w:val="24"/>
        </w:rPr>
        <w:tab/>
      </w:r>
      <w:bookmarkStart w:id="75" w:name="_Toc44690710"/>
      <w:bookmarkStart w:id="76" w:name="_Toc44691401"/>
      <w:bookmarkStart w:id="77" w:name="_Toc44691169"/>
      <w:bookmarkStart w:id="78" w:name="_Toc44690437"/>
      <w:r>
        <w:rPr>
          <w:rFonts w:hint="eastAsia" w:asciiTheme="minorEastAsia" w:hAnsiTheme="minorEastAsia" w:eastAsiaTheme="minorEastAsia"/>
          <w:sz w:val="24"/>
        </w:rPr>
        <w:t>格式10  投标人资格声明</w:t>
      </w:r>
      <w:bookmarkEnd w:id="75"/>
      <w:bookmarkEnd w:id="76"/>
      <w:bookmarkEnd w:id="77"/>
      <w:bookmarkEnd w:id="78"/>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79" w:name="_格式7__投标人资格声明"/>
      <w:bookmarkEnd w:id="79"/>
      <w:bookmarkStart w:id="80"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0"/>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1" w:name="_Toc73610160"/>
      <w:r>
        <w:rPr>
          <w:rFonts w:hint="eastAsia"/>
        </w:rPr>
        <w:t>第八章  合同条款</w:t>
      </w:r>
      <w:bookmarkEnd w:id="81"/>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2" w:name="_Toc73610161"/>
      <w:r>
        <w:rPr>
          <w:rFonts w:hint="eastAsia"/>
        </w:rPr>
        <w:t>第九章  附件</w:t>
      </w:r>
      <w:bookmarkEnd w:id="82"/>
    </w:p>
    <w:p>
      <w:pPr>
        <w:pStyle w:val="4"/>
        <w:spacing w:before="0" w:after="0"/>
        <w:jc w:val="center"/>
      </w:pPr>
      <w:bookmarkStart w:id="83" w:name="_Toc73610162"/>
      <w:r>
        <w:rPr>
          <w:rFonts w:hint="eastAsia"/>
        </w:rPr>
        <w:t>一、财政部 工业和信息化部关于印发《政府采购促进中小企业发展管理办法》的通知</w:t>
      </w:r>
      <w:bookmarkEnd w:id="83"/>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4" w:name="_Toc73610163"/>
      <w:r>
        <w:rPr>
          <w:rFonts w:hint="eastAsia"/>
        </w:rPr>
        <w:t>二、关于印发中小企业划型标准规定的通知</w:t>
      </w:r>
      <w:bookmarkEnd w:id="8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85"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5"/>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86" w:name="_Toc73610165"/>
      <w:r>
        <w:rPr>
          <w:rFonts w:hint="eastAsia"/>
        </w:rPr>
        <w:t>四、</w:t>
      </w:r>
      <w:r>
        <w:t>财政部 民政部 中国残疾人联合会关于促进残疾人就业 政府采购政策的通知</w:t>
      </w:r>
      <w:bookmarkEnd w:id="86"/>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webkit-standard">
    <w:altName w:val="微软雅黑"/>
    <w:panose1 w:val="00000000000000000000"/>
    <w:charset w:val="00"/>
    <w:family w:val="auto"/>
    <w:pitch w:val="default"/>
    <w:sig w:usb0="00000000" w:usb1="00000000" w:usb2="00000000" w:usb3="00000000" w:csb0="00040001"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50</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项目名称：便携式超高清摄像系统采购                                                项目编号：SZZZ2022-QA0061</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F5557A7"/>
    <w:multiLevelType w:val="multilevel"/>
    <w:tmpl w:val="3F5557A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OWY4ZDBhYWExNjhhMjc2ZTRiNjcxMTg3MmEyNzkifQ=="/>
  </w:docVars>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3163"/>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9C6"/>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3C09"/>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A27"/>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17415"/>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8F3"/>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7D6"/>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51A5"/>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C8E"/>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0A1"/>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5F5D"/>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6B"/>
    <w:rsid w:val="005B73A6"/>
    <w:rsid w:val="005B768C"/>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08CF"/>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6FB8"/>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4F17"/>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9F9"/>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599"/>
    <w:rsid w:val="00855CB8"/>
    <w:rsid w:val="00856618"/>
    <w:rsid w:val="008566CA"/>
    <w:rsid w:val="008568C5"/>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77A17"/>
    <w:rsid w:val="0088119F"/>
    <w:rsid w:val="008815C0"/>
    <w:rsid w:val="0088250C"/>
    <w:rsid w:val="008832BB"/>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09A"/>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5B5"/>
    <w:rsid w:val="00916BE3"/>
    <w:rsid w:val="009175C2"/>
    <w:rsid w:val="0091789A"/>
    <w:rsid w:val="00917BAD"/>
    <w:rsid w:val="00917D64"/>
    <w:rsid w:val="009201D9"/>
    <w:rsid w:val="009209BA"/>
    <w:rsid w:val="009213F5"/>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17"/>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9FF"/>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E89"/>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37"/>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07CEB"/>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828"/>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29BD"/>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5615"/>
    <w:rsid w:val="00FA62E0"/>
    <w:rsid w:val="00FA63D3"/>
    <w:rsid w:val="00FA6741"/>
    <w:rsid w:val="00FA6926"/>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649"/>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33A47A7"/>
    <w:rsid w:val="03CC0BCB"/>
    <w:rsid w:val="041D095D"/>
    <w:rsid w:val="05096654"/>
    <w:rsid w:val="05C87DB9"/>
    <w:rsid w:val="06962F21"/>
    <w:rsid w:val="07D0591F"/>
    <w:rsid w:val="07E31EA8"/>
    <w:rsid w:val="0961739E"/>
    <w:rsid w:val="098E6083"/>
    <w:rsid w:val="09D87937"/>
    <w:rsid w:val="0A3C44B8"/>
    <w:rsid w:val="0A45551C"/>
    <w:rsid w:val="0B205B2B"/>
    <w:rsid w:val="0B782559"/>
    <w:rsid w:val="0D566BC9"/>
    <w:rsid w:val="0E180322"/>
    <w:rsid w:val="0E8C4995"/>
    <w:rsid w:val="0EF27BFB"/>
    <w:rsid w:val="0F340850"/>
    <w:rsid w:val="0FA30E6F"/>
    <w:rsid w:val="0FBC50EF"/>
    <w:rsid w:val="0FBF6A6A"/>
    <w:rsid w:val="115F3FD7"/>
    <w:rsid w:val="11A259DD"/>
    <w:rsid w:val="120474A0"/>
    <w:rsid w:val="12386C7D"/>
    <w:rsid w:val="13102ABE"/>
    <w:rsid w:val="13D754E4"/>
    <w:rsid w:val="15536304"/>
    <w:rsid w:val="16375BBD"/>
    <w:rsid w:val="167D280D"/>
    <w:rsid w:val="17047766"/>
    <w:rsid w:val="17935895"/>
    <w:rsid w:val="17F52C18"/>
    <w:rsid w:val="1827453A"/>
    <w:rsid w:val="184530EF"/>
    <w:rsid w:val="19227A4B"/>
    <w:rsid w:val="19EB3371"/>
    <w:rsid w:val="1AE24CAA"/>
    <w:rsid w:val="1B3E182A"/>
    <w:rsid w:val="1B4B5195"/>
    <w:rsid w:val="1C174C6F"/>
    <w:rsid w:val="1C7C020D"/>
    <w:rsid w:val="1C8F78BA"/>
    <w:rsid w:val="1C9B0D84"/>
    <w:rsid w:val="1CDD3F3B"/>
    <w:rsid w:val="1D4D6869"/>
    <w:rsid w:val="1FFC12EA"/>
    <w:rsid w:val="20B630A6"/>
    <w:rsid w:val="20D14202"/>
    <w:rsid w:val="21760101"/>
    <w:rsid w:val="21F37B26"/>
    <w:rsid w:val="22B25284"/>
    <w:rsid w:val="22C07D9F"/>
    <w:rsid w:val="23056CBA"/>
    <w:rsid w:val="234C1E42"/>
    <w:rsid w:val="23A632B9"/>
    <w:rsid w:val="23C6059E"/>
    <w:rsid w:val="23C95079"/>
    <w:rsid w:val="24031A53"/>
    <w:rsid w:val="24307C26"/>
    <w:rsid w:val="248E5D4C"/>
    <w:rsid w:val="24AC791B"/>
    <w:rsid w:val="24C47897"/>
    <w:rsid w:val="24E337F8"/>
    <w:rsid w:val="258D3B57"/>
    <w:rsid w:val="262336EE"/>
    <w:rsid w:val="269E4C0C"/>
    <w:rsid w:val="27024D1A"/>
    <w:rsid w:val="2AD85037"/>
    <w:rsid w:val="2B2B3FEC"/>
    <w:rsid w:val="2BD0253B"/>
    <w:rsid w:val="2C444480"/>
    <w:rsid w:val="2C564DC3"/>
    <w:rsid w:val="2D3D1AD4"/>
    <w:rsid w:val="2D6C141D"/>
    <w:rsid w:val="2EB64B4B"/>
    <w:rsid w:val="2EDB590A"/>
    <w:rsid w:val="2F0A29E3"/>
    <w:rsid w:val="30817D6A"/>
    <w:rsid w:val="3157114E"/>
    <w:rsid w:val="31F2037F"/>
    <w:rsid w:val="3228425A"/>
    <w:rsid w:val="3271353A"/>
    <w:rsid w:val="329B11F6"/>
    <w:rsid w:val="336E087E"/>
    <w:rsid w:val="33C3087D"/>
    <w:rsid w:val="34F42F64"/>
    <w:rsid w:val="354F56B0"/>
    <w:rsid w:val="35961B12"/>
    <w:rsid w:val="364523AD"/>
    <w:rsid w:val="36700D38"/>
    <w:rsid w:val="36C4673D"/>
    <w:rsid w:val="37B10B63"/>
    <w:rsid w:val="37D17C49"/>
    <w:rsid w:val="390721D7"/>
    <w:rsid w:val="393B510C"/>
    <w:rsid w:val="393F4767"/>
    <w:rsid w:val="39A97E97"/>
    <w:rsid w:val="3A260C29"/>
    <w:rsid w:val="3B57268D"/>
    <w:rsid w:val="3B6176CE"/>
    <w:rsid w:val="3BF9504C"/>
    <w:rsid w:val="3CBE130A"/>
    <w:rsid w:val="3CF11603"/>
    <w:rsid w:val="3D7507FB"/>
    <w:rsid w:val="3EB5127A"/>
    <w:rsid w:val="3F503E5E"/>
    <w:rsid w:val="3FC16214"/>
    <w:rsid w:val="415010F0"/>
    <w:rsid w:val="41576FF8"/>
    <w:rsid w:val="41D9164E"/>
    <w:rsid w:val="41DD521D"/>
    <w:rsid w:val="423B7022"/>
    <w:rsid w:val="4389060E"/>
    <w:rsid w:val="43C8028A"/>
    <w:rsid w:val="43D51667"/>
    <w:rsid w:val="443B2C25"/>
    <w:rsid w:val="448421F1"/>
    <w:rsid w:val="44F6791E"/>
    <w:rsid w:val="45D37D9B"/>
    <w:rsid w:val="47131FBB"/>
    <w:rsid w:val="47274EA5"/>
    <w:rsid w:val="48194FD5"/>
    <w:rsid w:val="483774AF"/>
    <w:rsid w:val="484514CB"/>
    <w:rsid w:val="48C86EE1"/>
    <w:rsid w:val="48E5715C"/>
    <w:rsid w:val="49FA6EF8"/>
    <w:rsid w:val="4A784961"/>
    <w:rsid w:val="4ACF3A3C"/>
    <w:rsid w:val="4B1700DF"/>
    <w:rsid w:val="4B51066F"/>
    <w:rsid w:val="4B6303CC"/>
    <w:rsid w:val="4F083461"/>
    <w:rsid w:val="4F0F6A19"/>
    <w:rsid w:val="51C068B1"/>
    <w:rsid w:val="51D10A66"/>
    <w:rsid w:val="528A390F"/>
    <w:rsid w:val="528C6991"/>
    <w:rsid w:val="54054633"/>
    <w:rsid w:val="540605E4"/>
    <w:rsid w:val="547F0032"/>
    <w:rsid w:val="54A02A20"/>
    <w:rsid w:val="55C87B3E"/>
    <w:rsid w:val="58D67D8C"/>
    <w:rsid w:val="58E10577"/>
    <w:rsid w:val="59165EF7"/>
    <w:rsid w:val="593C4861"/>
    <w:rsid w:val="59702A12"/>
    <w:rsid w:val="5A0A56AF"/>
    <w:rsid w:val="5A9A253D"/>
    <w:rsid w:val="5AED2A9C"/>
    <w:rsid w:val="5B2F5728"/>
    <w:rsid w:val="5BC746C9"/>
    <w:rsid w:val="5CC61F72"/>
    <w:rsid w:val="5CF206F7"/>
    <w:rsid w:val="5E5F7FEE"/>
    <w:rsid w:val="5E997835"/>
    <w:rsid w:val="5EA0340D"/>
    <w:rsid w:val="5ED66C3C"/>
    <w:rsid w:val="5F8A113B"/>
    <w:rsid w:val="5FDD643B"/>
    <w:rsid w:val="60BA3E42"/>
    <w:rsid w:val="617D420F"/>
    <w:rsid w:val="6194383B"/>
    <w:rsid w:val="61A14A39"/>
    <w:rsid w:val="61CB5375"/>
    <w:rsid w:val="623348CA"/>
    <w:rsid w:val="65CA685B"/>
    <w:rsid w:val="65CF34A7"/>
    <w:rsid w:val="65F6240C"/>
    <w:rsid w:val="65F660EF"/>
    <w:rsid w:val="6673798C"/>
    <w:rsid w:val="673905B6"/>
    <w:rsid w:val="681C3942"/>
    <w:rsid w:val="68460AAC"/>
    <w:rsid w:val="68AC1CFE"/>
    <w:rsid w:val="69231F81"/>
    <w:rsid w:val="6B6C069F"/>
    <w:rsid w:val="6BCD1DE6"/>
    <w:rsid w:val="6C505023"/>
    <w:rsid w:val="6CE72C7A"/>
    <w:rsid w:val="6D14299F"/>
    <w:rsid w:val="6D672A1E"/>
    <w:rsid w:val="6DC237D1"/>
    <w:rsid w:val="6F40725E"/>
    <w:rsid w:val="711172CF"/>
    <w:rsid w:val="71915D10"/>
    <w:rsid w:val="71FD54DD"/>
    <w:rsid w:val="724D3281"/>
    <w:rsid w:val="72BE720D"/>
    <w:rsid w:val="7410294D"/>
    <w:rsid w:val="76D71644"/>
    <w:rsid w:val="776C2FB6"/>
    <w:rsid w:val="79982284"/>
    <w:rsid w:val="7998662D"/>
    <w:rsid w:val="7A0F46F4"/>
    <w:rsid w:val="7A8C5878"/>
    <w:rsid w:val="7AF52F26"/>
    <w:rsid w:val="7B471854"/>
    <w:rsid w:val="7C552333"/>
    <w:rsid w:val="7CA86C55"/>
    <w:rsid w:val="7CF019C1"/>
    <w:rsid w:val="7D461CAD"/>
    <w:rsid w:val="7E28286A"/>
    <w:rsid w:val="7E4515FE"/>
    <w:rsid w:val="7EAD59B2"/>
    <w:rsid w:val="7ED54264"/>
    <w:rsid w:val="7EE75F74"/>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75"/>
    <w:qFormat/>
    <w:uiPriority w:val="0"/>
    <w:rPr>
      <w:rFonts w:ascii="宋体" w:hAnsi="Courier New"/>
      <w:szCs w:val="20"/>
    </w:r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0"/>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w:basedOn w:val="1"/>
    <w:link w:val="71"/>
    <w:qFormat/>
    <w:uiPriority w:val="0"/>
    <w:pPr>
      <w:spacing w:after="120"/>
    </w:pPr>
  </w:style>
  <w:style w:type="paragraph" w:styleId="22">
    <w:name w:val="Body Text Indent"/>
    <w:basedOn w:val="1"/>
    <w:link w:val="74"/>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1"/>
    <w:link w:val="72"/>
    <w:qFormat/>
    <w:uiPriority w:val="0"/>
    <w:pPr>
      <w:ind w:firstLine="420" w:firstLineChars="100"/>
    </w:pPr>
  </w:style>
  <w:style w:type="paragraph" w:styleId="49">
    <w:name w:val="Body Text First Indent 2"/>
    <w:basedOn w:val="22"/>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1"/>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2"/>
    <w:qFormat/>
    <w:uiPriority w:val="0"/>
    <w:rPr>
      <w:kern w:val="2"/>
      <w:sz w:val="21"/>
      <w:szCs w:val="24"/>
    </w:rPr>
  </w:style>
  <w:style w:type="character" w:customStyle="1" w:styleId="75">
    <w:name w:val="纯文本 Char"/>
    <w:link w:val="2"/>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6"/>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3"/>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6"/>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5020D0-DA2D-40F4-9C9B-861C28FF33A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73</Pages>
  <Words>43399</Words>
  <Characters>46260</Characters>
  <Lines>381</Lines>
  <Paragraphs>107</Paragraphs>
  <TotalTime>8</TotalTime>
  <ScaleCrop>false</ScaleCrop>
  <LinksUpToDate>false</LinksUpToDate>
  <CharactersWithSpaces>49305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2022-04-26T08:04:49Z</dcterms:modified>
  <dc:title>招标编号：UHO2010-G0029</dc:title>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41A5D42664CF47C3B0239F23060D36F9</vt:lpwstr>
  </property>
</Properties>
</file>