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7"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医院微信公众号系统开发    和运营服务项目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项目编号：SZZZ2021-QC0402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二〇二一年十二月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"_Toc73613620"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_Toc73613621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_Toc73613622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_Toc73613625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_Toc73613626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"_Toc73613627"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_Toc73613627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"_Toc73613628"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_Toc73613628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_Toc73613629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_Toc73613630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_Toc73613631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_Toc73613632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_Toc73613633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_Toc73613634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_Toc73613635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"_Toc73613636" </w:instrText>
          </w:r>
          <w:r>
            <w:fldChar w:fldCharType="separate"/>
          </w:r>
          <w:r>
            <w:rPr>
              <w:rStyle w:val="57"/>
              <w:rFonts w:hint="eastAsia" w:ascii="仿宋_GB2312" w:eastAsia="仿宋_GB2312"/>
              <w:sz w:val="24"/>
            </w:rPr>
            <w:t>六、授予合同</w:t>
          </w:r>
          <w:r>
            <w:rPr>
              <w:rFonts w:hint="eastAsia" w:ascii="仿宋_GB2312" w:eastAsia="仿宋_GB2312"/>
              <w:sz w:val="24"/>
            </w:rPr>
            <w:tab/>
          </w:r>
          <w:bookmarkStart w:id="105" w:name="_GoBack"/>
          <w:bookmarkEnd w:id="105"/>
          <w:r>
            <w:rPr>
              <w:rFonts w:hint="eastAsia" w:ascii="仿宋_GB2312" w:eastAsia="仿宋_GB2312"/>
              <w:sz w:val="24"/>
            </w:rPr>
            <w:fldChar w:fldCharType="begin"/>
          </w:r>
          <w:r>
            <w:rPr>
              <w:rFonts w:hint="eastAsia" w:ascii="仿宋_GB2312" w:eastAsia="仿宋_GB2312"/>
              <w:sz w:val="24"/>
            </w:rPr>
            <w:instrText xml:space="preserve"> PAGEREF _Toc73613636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"_Toc73613637"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_Toc73613637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_Toc73613638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"_Toc73613639"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_Toc73613639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"_Toc73613642"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_Toc73613642 \h </w:instrText>
          </w:r>
          <w:r>
            <w:rPr>
              <w:rFonts w:hint="eastAsia" w:ascii="仿宋_GB2312" w:eastAsia="仿宋_GB2312"/>
              <w:sz w:val="24"/>
            </w:rPr>
            <w:fldChar w:fldCharType="separate"/>
          </w:r>
          <w:r>
            <w:rPr>
              <w:rFonts w:hint="eastAsia" w:ascii="仿宋_GB2312" w:eastAsia="仿宋_GB2312"/>
              <w:sz w:val="24"/>
            </w:rPr>
            <w:t>52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"_Toc73613643"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_Toc73613643 \h </w:instrText>
          </w:r>
          <w:r>
            <w:rPr>
              <w:rFonts w:hint="eastAsia" w:ascii="仿宋_GB2312" w:eastAsia="仿宋_GB2312"/>
              <w:sz w:val="24"/>
            </w:rPr>
            <w:fldChar w:fldCharType="separate"/>
          </w:r>
          <w:r>
            <w:rPr>
              <w:rFonts w:hint="eastAsia" w:ascii="仿宋_GB2312" w:eastAsia="仿宋_GB2312"/>
              <w:sz w:val="24"/>
            </w:rPr>
            <w:t>55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_Toc73613644 \h </w:instrText>
          </w:r>
          <w:r>
            <w:rPr>
              <w:rFonts w:hint="eastAsia" w:ascii="仿宋_GB2312" w:eastAsia="仿宋_GB2312"/>
              <w:sz w:val="24"/>
            </w:rPr>
            <w:fldChar w:fldCharType="separate"/>
          </w:r>
          <w:r>
            <w:rPr>
              <w:rFonts w:hint="eastAsia" w:ascii="仿宋_GB2312" w:eastAsia="仿宋_GB2312"/>
              <w:sz w:val="24"/>
            </w:rPr>
            <w:t>55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_Toc73613645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"_Toc73613646"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_Toc73613646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"_Toc73613647"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_Toc73613647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spacing w:line="360" w:lineRule="exact"/>
          </w:pPr>
          <w:r>
            <w:rPr>
              <w:rFonts w:hint="eastAsia" w:ascii="仿宋_GB2312" w:eastAsia="仿宋_GB2312"/>
              <w:sz w:val="24"/>
            </w:rPr>
            <w:fldChar w:fldCharType="end"/>
          </w:r>
        </w:p>
      </w:sdtContent>
    </w:sdt>
    <w:p>
      <w:pPr>
        <w:widowControl/>
        <w:jc w:val="left"/>
      </w:pPr>
      <w:r>
        <w:br w:type="page"/>
      </w:r>
    </w:p>
    <w:p/>
    <w:p>
      <w:pPr>
        <w:pStyle w:val="2"/>
      </w:pPr>
      <w:bookmarkStart w:id="0" w:name="_Toc736136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医院微信公众号系统开发和运营服务项目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（北京时间）前在</w:t>
      </w:r>
      <w:r>
        <w:rPr>
          <w:rFonts w:hint="eastAsia" w:ascii="宋体" w:hAnsi="宋体" w:cs="宋体"/>
          <w:color w:val="333333"/>
          <w:szCs w:val="21"/>
          <w:highlight w:val="yellow"/>
          <w:u w:val="single"/>
          <w:shd w:val="clear" w:color="auto" w:fill="FFFFFF"/>
        </w:rPr>
        <w:t>深圳市龙岗区龙西社区添利鑫创业园添利鑫大厦801</w:t>
      </w:r>
      <w:r>
        <w:rPr>
          <w:rFonts w:hint="eastAsia" w:ascii="宋体" w:hAnsi="宋体" w:cs="Arial Unicode MS"/>
          <w:snapToGrid w:val="0"/>
          <w:kern w:val="0"/>
          <w:szCs w:val="21"/>
        </w:rPr>
        <w:t>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SZZZ2021-QC0402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2、项目名称：医院微信公众号系统开发和运营服务项目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056"/>
        <w:gridCol w:w="682"/>
        <w:gridCol w:w="682"/>
        <w:gridCol w:w="255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pPr>
              <w:pStyle w:val="45"/>
              <w:spacing w:line="360" w:lineRule="auto"/>
              <w:jc w:val="center"/>
              <w:rPr>
                <w:sz w:val="21"/>
              </w:rPr>
            </w:pPr>
            <w:r>
              <w:rPr>
                <w:sz w:val="21"/>
              </w:rPr>
              <w:t>标的名称</w:t>
            </w:r>
          </w:p>
        </w:tc>
        <w:tc>
          <w:tcPr>
            <w:tcW w:w="682"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68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56"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医院微信公众号系统开发和运营服务项目</w:t>
            </w:r>
          </w:p>
        </w:tc>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212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所属行业：软件和信息技术服务业</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7、合同履行期限：签订合同后2个月完成主要功能上线，6个月内完成试运行，1年内完成项目终验。</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23</w:t>
      </w:r>
      <w:r>
        <w:rPr>
          <w:rFonts w:hint="eastAsia" w:ascii="宋体" w:hAnsi="宋体" w:eastAsia="宋体"/>
          <w:snapToGrid w:val="0"/>
          <w:color w:val="auto"/>
          <w:sz w:val="21"/>
          <w:szCs w:val="21"/>
          <w:u w:val="single"/>
        </w:rPr>
        <w:t>日至2021年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hint="eastAsia" w:ascii="宋体" w:hAnsi="宋体" w:eastAsia="宋体" w:cs="宋体"/>
          <w:color w:val="333333"/>
          <w:sz w:val="21"/>
          <w:szCs w:val="21"/>
          <w:highlight w:val="yellow"/>
          <w:u w:val="single"/>
          <w:shd w:val="clear" w:color="auto" w:fill="FFFFFF"/>
        </w:rPr>
        <w:t>深圳市龙岗区龙西社区添利鑫创业园添利鑫大厦801</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名称：深圳市龙岗区骨科医院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地址：深圳市龙岗区宝龙街道南同大道36号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联系方式：0755-89886366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rPr>
        <w:t>12</w:t>
      </w:r>
      <w:r>
        <w:rPr>
          <w:rFonts w:ascii="宋体" w:hAnsi="宋体"/>
          <w:snapToGrid w:val="0"/>
          <w:kern w:val="0"/>
          <w:sz w:val="24"/>
        </w:rPr>
        <w:t>月</w:t>
      </w:r>
      <w:r>
        <w:rPr>
          <w:rFonts w:hint="eastAsia" w:ascii="宋体" w:hAnsi="宋体"/>
          <w:snapToGrid w:val="0"/>
          <w:kern w:val="0"/>
          <w:sz w:val="24"/>
          <w:lang w:val="en-US" w:eastAsia="zh-CN"/>
        </w:rPr>
        <w:t>23</w:t>
      </w:r>
      <w:r>
        <w:rPr>
          <w:rFonts w:hint="eastAsia" w:ascii="宋体" w:hAnsi="宋体"/>
          <w:snapToGrid w:val="0"/>
          <w:kern w:val="0"/>
          <w:sz w:val="24"/>
        </w:rPr>
        <w:t>日</w:t>
      </w:r>
    </w:p>
    <w:p/>
    <w:p>
      <w:pPr>
        <w:widowControl/>
        <w:jc w:val="left"/>
      </w:pPr>
      <w:r>
        <w:br w:type="page"/>
      </w:r>
    </w:p>
    <w:p/>
    <w:p>
      <w:pPr>
        <w:pStyle w:val="2"/>
      </w:pPr>
      <w:bookmarkStart w:id="1" w:name="_Toc73613621"/>
      <w:r>
        <w:rPr>
          <w:rFonts w:hint="eastAsia"/>
        </w:rPr>
        <w:t>第二章  项目需求</w:t>
      </w:r>
      <w:bookmarkEnd w:id="1"/>
    </w:p>
    <w:p>
      <w:pPr>
        <w:spacing w:after="156"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703"/>
        <w:gridCol w:w="3848"/>
        <w:gridCol w:w="921"/>
        <w:gridCol w:w="922"/>
        <w:gridCol w:w="1701"/>
        <w:gridCol w:w="1701"/>
      </w:tblGrid>
      <w:tr>
        <w:tblPrEx>
          <w:tblCellMar>
            <w:top w:w="15" w:type="dxa"/>
            <w:left w:w="15" w:type="dxa"/>
            <w:bottom w:w="15" w:type="dxa"/>
            <w:right w:w="15" w:type="dxa"/>
          </w:tblCellMar>
        </w:tblPrEx>
        <w:trPr>
          <w:trHeight w:val="689" w:hRule="atLeast"/>
        </w:trPr>
        <w:tc>
          <w:tcPr>
            <w:tcW w:w="703"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84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医院微信公众号系统开发和运营服务项目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280,000.00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深圳市龙岗区骨科医院始建于2007年，直属深圳市龙岗区卫生健康局，是龙岗区创建最早，最具规模、技术力量最雄厚、设备最先进、功能最完善，集医、教、研、手功能康复与训练为一体的专科医院。</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随着新院区的启用，骨科医院从专科医院向小综合医院转型，各类门诊、检查、病房等应用系统上线，门诊服务窗口每天需要接待大量的就医患者，是人群高度集中而流程性较强的场所，也是医院日常管理工作的重要环节。门诊服务管理工作繁忙、琐碎、工作重复性强而缺乏新意，同时就诊科室种类和医生等信息多而杂，在就诊过程中就医流程冗长、现场排队，“三长一短”现象严重日益成为一个突出的问题。在一次门诊就医过程中，挂号需要排队，缴费需要排队，取报告又要排队。随着移动互联网理念和智能手机的普及，为提高患者就医服务质量开辟了新模式，医院微信平台使用创新的理念和技术解决传统门诊就医管理中存在的一系列问题，提高医院的工作效率、服务能力以及服务管理水平。</w:t>
      </w:r>
    </w:p>
    <w:p>
      <w:pPr>
        <w:pStyle w:val="506"/>
        <w:wordWrap/>
        <w:spacing w:afterLines="0" w:line="360" w:lineRule="auto"/>
        <w:ind w:firstLine="420"/>
        <w:rPr>
          <w:rFonts w:cs="Times New Roman"/>
          <w:snapToGrid/>
          <w:spacing w:val="0"/>
          <w:sz w:val="21"/>
          <w:szCs w:val="21"/>
        </w:rPr>
      </w:pPr>
    </w:p>
    <w:p>
      <w:pPr>
        <w:pStyle w:val="321"/>
        <w:ind w:firstLine="0" w:firstLineChars="0"/>
        <w:rPr>
          <w:b/>
          <w:bCs/>
          <w:color w:val="000000"/>
        </w:rPr>
      </w:pPr>
      <w:r>
        <w:rPr>
          <w:rFonts w:hint="eastAsia"/>
          <w:b/>
        </w:rPr>
        <w:t>二、项目服务要求</w:t>
      </w:r>
    </w:p>
    <w:p>
      <w:pPr>
        <w:pStyle w:val="509"/>
        <w:tabs>
          <w:tab w:val="clear" w:pos="840"/>
        </w:tabs>
        <w:snapToGrid w:val="0"/>
        <w:spacing w:line="540" w:lineRule="exact"/>
        <w:ind w:left="0" w:firstLine="0"/>
        <w:rPr>
          <w:rFonts w:ascii="宋体" w:hAnsi="宋体" w:cs="宋体"/>
          <w:b/>
          <w:bCs/>
          <w:kern w:val="0"/>
        </w:rPr>
      </w:pPr>
      <w:r>
        <w:rPr>
          <w:rFonts w:hint="eastAsia" w:ascii="宋体" w:hAnsi="宋体" w:cs="宋体"/>
          <w:b/>
          <w:bCs/>
          <w:kern w:val="0"/>
        </w:rPr>
        <w:t>（一）微信公众号平台技术要求</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059"/>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序号</w:t>
            </w:r>
          </w:p>
        </w:tc>
        <w:tc>
          <w:tcPr>
            <w:tcW w:w="1045"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服务名称</w:t>
            </w:r>
          </w:p>
        </w:tc>
        <w:tc>
          <w:tcPr>
            <w:tcW w:w="3527" w:type="pct"/>
            <w:vAlign w:val="center"/>
          </w:tcPr>
          <w:p>
            <w:pPr>
              <w:spacing w:line="460" w:lineRule="exact"/>
              <w:ind w:firstLine="2625" w:firstLineChars="1250"/>
              <w:rPr>
                <w:rFonts w:ascii="宋体" w:hAnsi="宋体" w:cs="宋体"/>
                <w:color w:val="000000"/>
                <w:kern w:val="0"/>
                <w:szCs w:val="21"/>
              </w:rPr>
            </w:pPr>
            <w:r>
              <w:rPr>
                <w:rFonts w:hint="eastAsia" w:ascii="宋体" w:hAnsi="宋体" w:cs="宋体"/>
                <w:color w:val="000000"/>
                <w:kern w:val="0"/>
                <w:szCs w:val="21"/>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000" w:type="pct"/>
            <w:gridSpan w:val="3"/>
            <w:vAlign w:val="center"/>
          </w:tcPr>
          <w:p>
            <w:pPr>
              <w:spacing w:line="460" w:lineRule="exact"/>
              <w:rPr>
                <w:rFonts w:ascii="宋体" w:hAnsi="宋体" w:cs="宋体"/>
                <w:color w:val="000000"/>
                <w:kern w:val="0"/>
                <w:szCs w:val="21"/>
              </w:rPr>
            </w:pPr>
            <w:bookmarkStart w:id="2" w:name="_Hlk91084068"/>
            <w:r>
              <w:rPr>
                <w:rFonts w:hint="eastAsia" w:ascii="宋体" w:hAnsi="宋体" w:cs="宋体"/>
                <w:color w:val="000000"/>
                <w:kern w:val="0"/>
                <w:szCs w:val="21"/>
              </w:rPr>
              <w:t>一、前、后端功能原型搭建，页面UI设计（创意设计）</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w:t>
            </w:r>
          </w:p>
        </w:tc>
        <w:tc>
          <w:tcPr>
            <w:tcW w:w="1045"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需求调研</w:t>
            </w:r>
          </w:p>
        </w:tc>
        <w:tc>
          <w:tcPr>
            <w:tcW w:w="3527" w:type="pct"/>
            <w:vAlign w:val="center"/>
          </w:tcPr>
          <w:p>
            <w:pPr>
              <w:rPr>
                <w:rFonts w:ascii="宋体" w:hAnsi="宋体" w:cs="宋体"/>
                <w:kern w:val="0"/>
                <w:sz w:val="24"/>
              </w:rPr>
            </w:pPr>
            <w:r>
              <w:rPr>
                <w:rFonts w:hint="eastAsia" w:ascii="宋体" w:hAnsi="宋体" w:cs="宋体"/>
                <w:color w:val="000000"/>
                <w:kern w:val="0"/>
                <w:szCs w:val="21"/>
              </w:rPr>
              <w:t>对整个项目需求进行调研分析，详细了解医院需求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w:t>
            </w:r>
          </w:p>
        </w:tc>
        <w:tc>
          <w:tcPr>
            <w:tcW w:w="1045"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产品规划</w:t>
            </w:r>
          </w:p>
        </w:tc>
        <w:tc>
          <w:tcPr>
            <w:tcW w:w="3527"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规划产品框架结构、功能细节策划，进行原型设计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ascii="宋体" w:hAnsi="宋体" w:cs="宋体"/>
                <w:color w:val="000000"/>
                <w:kern w:val="0"/>
                <w:szCs w:val="21"/>
              </w:rPr>
              <w:t>3</w:t>
            </w:r>
          </w:p>
        </w:tc>
        <w:tc>
          <w:tcPr>
            <w:tcW w:w="1045"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交互创意</w:t>
            </w:r>
          </w:p>
        </w:tc>
        <w:tc>
          <w:tcPr>
            <w:tcW w:w="3527"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互动创意动态交互规划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8" w:type="pct"/>
            <w:vAlign w:val="center"/>
          </w:tcPr>
          <w:p>
            <w:pPr>
              <w:spacing w:line="460" w:lineRule="exact"/>
              <w:rPr>
                <w:rFonts w:ascii="宋体" w:hAnsi="宋体" w:cs="宋体"/>
                <w:color w:val="000000"/>
                <w:kern w:val="0"/>
                <w:szCs w:val="21"/>
              </w:rPr>
            </w:pPr>
            <w:r>
              <w:rPr>
                <w:rFonts w:ascii="宋体" w:hAnsi="宋体" w:cs="宋体"/>
                <w:color w:val="000000"/>
                <w:kern w:val="0"/>
                <w:szCs w:val="21"/>
              </w:rPr>
              <w:t>4</w:t>
            </w:r>
          </w:p>
        </w:tc>
        <w:tc>
          <w:tcPr>
            <w:tcW w:w="1045"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▲页面UI设计</w:t>
            </w:r>
          </w:p>
        </w:tc>
        <w:tc>
          <w:tcPr>
            <w:tcW w:w="3527"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功能模块前、后端页面设计，列表页设计，详情页面等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000" w:type="pct"/>
            <w:gridSpan w:val="3"/>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二、功能模块开发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28" w:type="pct"/>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5</w:t>
            </w:r>
          </w:p>
        </w:tc>
        <w:tc>
          <w:tcPr>
            <w:tcW w:w="1045" w:type="pct"/>
            <w:vAlign w:val="center"/>
          </w:tcPr>
          <w:p>
            <w:pPr>
              <w:jc w:val="left"/>
            </w:pPr>
            <w:r>
              <w:rPr>
                <w:rFonts w:hint="eastAsia"/>
              </w:rPr>
              <w:t>医院简介</w:t>
            </w:r>
          </w:p>
        </w:tc>
        <w:tc>
          <w:tcPr>
            <w:tcW w:w="3527" w:type="pct"/>
            <w:vAlign w:val="center"/>
          </w:tcPr>
          <w:p>
            <w:r>
              <w:rPr>
                <w:rFonts w:hint="eastAsia"/>
              </w:rPr>
              <w:t>方便病人了解医院信息，科室介绍，医生介绍等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8" w:type="pct"/>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6</w:t>
            </w:r>
          </w:p>
        </w:tc>
        <w:tc>
          <w:tcPr>
            <w:tcW w:w="1045" w:type="pct"/>
            <w:vAlign w:val="center"/>
          </w:tcPr>
          <w:p>
            <w:pPr>
              <w:jc w:val="left"/>
            </w:pPr>
            <w:r>
              <w:rPr>
                <w:rFonts w:hint="eastAsia"/>
              </w:rPr>
              <w:t>满意度调查</w:t>
            </w:r>
          </w:p>
        </w:tc>
        <w:tc>
          <w:tcPr>
            <w:tcW w:w="3527" w:type="pct"/>
            <w:vAlign w:val="center"/>
          </w:tcPr>
          <w:p>
            <w:r>
              <w:rPr>
                <w:rFonts w:hint="eastAsia"/>
              </w:rPr>
              <w:t>患者就诊完成以后，系统自动推送满意度调查表到患者微信端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28" w:type="pct"/>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7</w:t>
            </w:r>
          </w:p>
        </w:tc>
        <w:tc>
          <w:tcPr>
            <w:tcW w:w="1045" w:type="pct"/>
            <w:vAlign w:val="center"/>
          </w:tcPr>
          <w:p>
            <w:pPr>
              <w:jc w:val="left"/>
            </w:pPr>
            <w:r>
              <w:rPr>
                <w:rFonts w:hint="eastAsia"/>
              </w:rPr>
              <w:t>用药指导</w:t>
            </w:r>
          </w:p>
        </w:tc>
        <w:tc>
          <w:tcPr>
            <w:tcW w:w="3527" w:type="pct"/>
            <w:vAlign w:val="center"/>
          </w:tcPr>
          <w:p>
            <w:r>
              <w:rPr>
                <w:rFonts w:hint="eastAsia"/>
              </w:rPr>
              <w:t>对接院内用药指导小程序，推送患者用药指导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8</w:t>
            </w:r>
          </w:p>
        </w:tc>
        <w:tc>
          <w:tcPr>
            <w:tcW w:w="1045" w:type="pct"/>
            <w:vAlign w:val="center"/>
          </w:tcPr>
          <w:p>
            <w:pPr>
              <w:jc w:val="left"/>
            </w:pPr>
            <w:r>
              <w:rPr>
                <w:rFonts w:hint="eastAsia"/>
              </w:rPr>
              <w:t>院内地图导航</w:t>
            </w:r>
          </w:p>
        </w:tc>
        <w:tc>
          <w:tcPr>
            <w:tcW w:w="3527" w:type="pct"/>
            <w:vAlign w:val="center"/>
          </w:tcPr>
          <w:p>
            <w:r>
              <w:rPr>
                <w:rFonts w:hint="eastAsia"/>
              </w:rPr>
              <w:t>对接院内地图导航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9</w:t>
            </w:r>
          </w:p>
        </w:tc>
        <w:tc>
          <w:tcPr>
            <w:tcW w:w="1045" w:type="pct"/>
            <w:vAlign w:val="center"/>
          </w:tcPr>
          <w:p>
            <w:pPr>
              <w:jc w:val="left"/>
            </w:pPr>
            <w:r>
              <w:rPr>
                <w:rFonts w:hint="eastAsia"/>
              </w:rPr>
              <w:t>诊疗卡管理</w:t>
            </w:r>
          </w:p>
        </w:tc>
        <w:tc>
          <w:tcPr>
            <w:tcW w:w="3527" w:type="pct"/>
            <w:vAlign w:val="center"/>
          </w:tcPr>
          <w:p>
            <w:r>
              <w:rPr>
                <w:rFonts w:hint="eastAsia"/>
              </w:rPr>
              <w:t>新建、管理和查看自己的就诊卡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428" w:type="pct"/>
            <w:vAlign w:val="center"/>
          </w:tcPr>
          <w:p>
            <w:pPr>
              <w:spacing w:line="460" w:lineRule="exact"/>
              <w:rPr>
                <w:rFonts w:ascii="宋体" w:hAnsi="宋体" w:cs="宋体"/>
                <w:color w:val="000000"/>
                <w:kern w:val="0"/>
                <w:szCs w:val="21"/>
              </w:rPr>
            </w:pPr>
          </w:p>
          <w:p>
            <w:pPr>
              <w:spacing w:line="460" w:lineRule="exact"/>
              <w:rPr>
                <w:rFonts w:ascii="宋体" w:hAnsi="宋体" w:cs="宋体"/>
                <w:color w:val="000000"/>
                <w:kern w:val="0"/>
                <w:szCs w:val="21"/>
              </w:rPr>
            </w:pPr>
            <w:r>
              <w:rPr>
                <w:rFonts w:hint="eastAsia" w:ascii="宋体" w:hAnsi="宋体" w:cs="宋体"/>
                <w:color w:val="000000"/>
                <w:kern w:val="0"/>
                <w:szCs w:val="21"/>
              </w:rPr>
              <w:t>10</w:t>
            </w:r>
          </w:p>
        </w:tc>
        <w:tc>
          <w:tcPr>
            <w:tcW w:w="1045" w:type="pct"/>
            <w:vAlign w:val="center"/>
          </w:tcPr>
          <w:p>
            <w:pPr>
              <w:jc w:val="left"/>
            </w:pPr>
            <w:r>
              <w:rPr>
                <w:rFonts w:hint="eastAsia"/>
              </w:rPr>
              <w:t>延续服务</w:t>
            </w:r>
          </w:p>
        </w:tc>
        <w:tc>
          <w:tcPr>
            <w:tcW w:w="3527" w:type="pct"/>
            <w:vAlign w:val="center"/>
          </w:tcPr>
          <w:p>
            <w:r>
              <w:rPr>
                <w:rFonts w:hint="eastAsia"/>
              </w:rPr>
              <w:t>对接医院延续护理服务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11</w:t>
            </w:r>
          </w:p>
        </w:tc>
        <w:tc>
          <w:tcPr>
            <w:tcW w:w="1045" w:type="pct"/>
            <w:vAlign w:val="center"/>
          </w:tcPr>
          <w:p>
            <w:pPr>
              <w:jc w:val="left"/>
            </w:pPr>
            <w:r>
              <w:rPr>
                <w:rFonts w:hint="eastAsia" w:ascii="宋体" w:hAnsi="宋体" w:cs="宋体"/>
                <w:color w:val="000000"/>
                <w:kern w:val="0"/>
                <w:szCs w:val="21"/>
              </w:rPr>
              <w:t>▲</w:t>
            </w:r>
            <w:r>
              <w:rPr>
                <w:rFonts w:hint="eastAsia"/>
              </w:rPr>
              <w:t>移动支付</w:t>
            </w:r>
          </w:p>
        </w:tc>
        <w:tc>
          <w:tcPr>
            <w:tcW w:w="3527" w:type="pct"/>
            <w:vAlign w:val="center"/>
          </w:tcPr>
          <w:p>
            <w:r>
              <w:rPr>
                <w:rFonts w:hint="eastAsia"/>
              </w:rPr>
              <w:t>包括微信缴纳门诊就医费和住院押金缴纳，支持自费和医保线上支付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12</w:t>
            </w:r>
          </w:p>
        </w:tc>
        <w:tc>
          <w:tcPr>
            <w:tcW w:w="1045" w:type="pct"/>
            <w:vAlign w:val="center"/>
          </w:tcPr>
          <w:p>
            <w:pPr>
              <w:jc w:val="left"/>
            </w:pPr>
            <w:r>
              <w:rPr>
                <w:rFonts w:hint="eastAsia"/>
              </w:rPr>
              <w:t>检验检查结果查询</w:t>
            </w:r>
          </w:p>
        </w:tc>
        <w:tc>
          <w:tcPr>
            <w:tcW w:w="3527" w:type="pct"/>
            <w:vAlign w:val="center"/>
          </w:tcPr>
          <w:p>
            <w:r>
              <w:rPr>
                <w:rFonts w:hint="eastAsia"/>
              </w:rPr>
              <w:t>患者可通过微信公众号自助查询检验检查结果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p>
        </w:tc>
        <w:tc>
          <w:tcPr>
            <w:tcW w:w="1045" w:type="pct"/>
            <w:vAlign w:val="center"/>
          </w:tcPr>
          <w:p>
            <w:pPr>
              <w:jc w:val="left"/>
            </w:pPr>
            <w:r>
              <w:rPr>
                <w:rFonts w:hint="eastAsia"/>
              </w:rPr>
              <w:t>费用查询</w:t>
            </w:r>
          </w:p>
        </w:tc>
        <w:tc>
          <w:tcPr>
            <w:tcW w:w="3527" w:type="pct"/>
            <w:vAlign w:val="center"/>
          </w:tcPr>
          <w:p>
            <w:r>
              <w:rPr>
                <w:rFonts w:hint="eastAsia"/>
              </w:rPr>
              <w:t>实现患者线上查询住院费用单据和门诊就医费用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p>
        </w:tc>
        <w:tc>
          <w:tcPr>
            <w:tcW w:w="1045" w:type="pct"/>
            <w:vAlign w:val="center"/>
          </w:tcPr>
          <w:p>
            <w:pPr>
              <w:jc w:val="left"/>
            </w:pPr>
            <w:r>
              <w:rPr>
                <w:rFonts w:hint="eastAsia"/>
              </w:rPr>
              <w:t>门诊排队提醒</w:t>
            </w:r>
          </w:p>
        </w:tc>
        <w:tc>
          <w:tcPr>
            <w:tcW w:w="3527" w:type="pct"/>
            <w:vAlign w:val="center"/>
          </w:tcPr>
          <w:p>
            <w:r>
              <w:rPr>
                <w:rFonts w:hint="eastAsia"/>
              </w:rPr>
              <w:t>提醒就医排队信息并可查看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w:t>
            </w:r>
          </w:p>
        </w:tc>
        <w:tc>
          <w:tcPr>
            <w:tcW w:w="1045" w:type="pct"/>
            <w:vAlign w:val="center"/>
          </w:tcPr>
          <w:p>
            <w:pPr>
              <w:jc w:val="left"/>
            </w:pPr>
            <w:r>
              <w:rPr>
                <w:rFonts w:hint="eastAsia"/>
              </w:rPr>
              <w:t>财务对账</w:t>
            </w:r>
          </w:p>
        </w:tc>
        <w:tc>
          <w:tcPr>
            <w:tcW w:w="3527" w:type="pct"/>
            <w:vAlign w:val="center"/>
          </w:tcPr>
          <w:p>
            <w:r>
              <w:rPr>
                <w:rFonts w:hint="eastAsia"/>
              </w:rPr>
              <w:t>接入医院的统一对账平台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28" w:type="pct"/>
            <w:vAlign w:val="center"/>
          </w:tcPr>
          <w:p>
            <w:pPr>
              <w:spacing w:line="460" w:lineRule="exact"/>
              <w:rPr>
                <w:rFonts w:ascii="宋体" w:hAnsi="宋体" w:cs="宋体"/>
                <w:color w:val="000000"/>
                <w:kern w:val="0"/>
                <w:szCs w:val="21"/>
              </w:rPr>
            </w:pPr>
            <w:r>
              <w:rPr>
                <w:rFonts w:ascii="宋体" w:hAnsi="宋体" w:cs="宋体"/>
                <w:color w:val="000000"/>
                <w:kern w:val="0"/>
                <w:szCs w:val="21"/>
              </w:rPr>
              <w:t>16</w:t>
            </w:r>
          </w:p>
        </w:tc>
        <w:tc>
          <w:tcPr>
            <w:tcW w:w="1045" w:type="pct"/>
            <w:vAlign w:val="center"/>
          </w:tcPr>
          <w:p>
            <w:pPr>
              <w:jc w:val="left"/>
            </w:pPr>
            <w:r>
              <w:rPr>
                <w:rFonts w:hint="eastAsia"/>
              </w:rPr>
              <w:t>入院登记</w:t>
            </w:r>
          </w:p>
        </w:tc>
        <w:tc>
          <w:tcPr>
            <w:tcW w:w="3527" w:type="pct"/>
            <w:vAlign w:val="center"/>
          </w:tcPr>
          <w:p>
            <w:r>
              <w:rPr>
                <w:rFonts w:hint="eastAsia"/>
              </w:rPr>
              <w:t>患者可以在微信上填写入院通知单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17</w:t>
            </w:r>
          </w:p>
        </w:tc>
        <w:tc>
          <w:tcPr>
            <w:tcW w:w="1045" w:type="pct"/>
            <w:vAlign w:val="center"/>
          </w:tcPr>
          <w:p>
            <w:pPr>
              <w:jc w:val="left"/>
            </w:pPr>
            <w:r>
              <w:rPr>
                <w:rFonts w:hint="eastAsia" w:ascii="宋体" w:hAnsi="宋体" w:cs="宋体"/>
                <w:color w:val="000000"/>
                <w:kern w:val="0"/>
                <w:szCs w:val="21"/>
              </w:rPr>
              <w:t>▲</w:t>
            </w:r>
            <w:r>
              <w:rPr>
                <w:rFonts w:hint="eastAsia"/>
              </w:rPr>
              <w:t>订餐服务</w:t>
            </w:r>
          </w:p>
        </w:tc>
        <w:tc>
          <w:tcPr>
            <w:tcW w:w="3527" w:type="pct"/>
            <w:vAlign w:val="center"/>
          </w:tcPr>
          <w:p>
            <w:r>
              <w:rPr>
                <w:rFonts w:hint="eastAsia"/>
              </w:rPr>
              <w:t>住院患者和员工可以通过微信进行订餐，有订餐后台具有维护菜单、订餐时间、权限管理、订餐信息导出等功能。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18</w:t>
            </w:r>
          </w:p>
        </w:tc>
        <w:tc>
          <w:tcPr>
            <w:tcW w:w="1045" w:type="pct"/>
            <w:vAlign w:val="center"/>
          </w:tcPr>
          <w:p>
            <w:pPr>
              <w:jc w:val="left"/>
            </w:pPr>
            <w:r>
              <w:rPr>
                <w:rFonts w:hint="eastAsia"/>
              </w:rPr>
              <w:t>智能导诊</w:t>
            </w:r>
          </w:p>
        </w:tc>
        <w:tc>
          <w:tcPr>
            <w:tcW w:w="3527" w:type="pct"/>
            <w:vAlign w:val="center"/>
          </w:tcPr>
          <w:p>
            <w:r>
              <w:rPr>
                <w:rFonts w:hint="eastAsia"/>
              </w:rPr>
              <w:t>对接智能导诊系统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19</w:t>
            </w:r>
          </w:p>
        </w:tc>
        <w:tc>
          <w:tcPr>
            <w:tcW w:w="1045" w:type="pct"/>
            <w:vAlign w:val="center"/>
          </w:tcPr>
          <w:p>
            <w:pPr>
              <w:jc w:val="left"/>
            </w:pPr>
            <w:r>
              <w:rPr>
                <w:rFonts w:hint="eastAsia" w:ascii="宋体" w:hAnsi="宋体" w:cs="宋体"/>
                <w:color w:val="000000"/>
                <w:kern w:val="0"/>
                <w:szCs w:val="21"/>
              </w:rPr>
              <w:t>▲</w:t>
            </w:r>
            <w:r>
              <w:rPr>
                <w:rFonts w:hint="eastAsia"/>
              </w:rPr>
              <w:t>安全检测</w:t>
            </w:r>
          </w:p>
        </w:tc>
        <w:tc>
          <w:tcPr>
            <w:tcW w:w="3527" w:type="pct"/>
            <w:vAlign w:val="center"/>
          </w:tcPr>
          <w:p>
            <w:r>
              <w:rPr>
                <w:rFonts w:hint="eastAsia" w:ascii="宋体" w:hAnsi="宋体" w:cs="宋体"/>
                <w:color w:val="000000"/>
                <w:kern w:val="0"/>
                <w:szCs w:val="21"/>
              </w:rPr>
              <w:t>协助</w:t>
            </w:r>
            <w:r>
              <w:rPr>
                <w:rFonts w:hint="eastAsia"/>
              </w:rPr>
              <w:t>进行系统漏扫渗透测试并整改，保障微信公众号应用的信息安全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20</w:t>
            </w:r>
          </w:p>
        </w:tc>
        <w:tc>
          <w:tcPr>
            <w:tcW w:w="1045" w:type="pct"/>
            <w:vAlign w:val="center"/>
          </w:tcPr>
          <w:p>
            <w:pPr>
              <w:jc w:val="left"/>
            </w:pPr>
            <w:r>
              <w:rPr>
                <w:rFonts w:hint="eastAsia"/>
              </w:rPr>
              <w:t>健康宣教</w:t>
            </w:r>
          </w:p>
        </w:tc>
        <w:tc>
          <w:tcPr>
            <w:tcW w:w="3527" w:type="pct"/>
            <w:vAlign w:val="center"/>
          </w:tcPr>
          <w:p>
            <w:r>
              <w:rPr>
                <w:rFonts w:hint="eastAsia"/>
              </w:rPr>
              <w:t>支持图文宣教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21</w:t>
            </w:r>
          </w:p>
        </w:tc>
        <w:tc>
          <w:tcPr>
            <w:tcW w:w="1045" w:type="pct"/>
            <w:vAlign w:val="center"/>
          </w:tcPr>
          <w:p>
            <w:pPr>
              <w:jc w:val="left"/>
            </w:pPr>
            <w:r>
              <w:rPr>
                <w:rFonts w:hint="eastAsia" w:ascii="宋体" w:hAnsi="宋体" w:cs="宋体"/>
                <w:color w:val="000000"/>
                <w:kern w:val="0"/>
                <w:szCs w:val="21"/>
              </w:rPr>
              <w:t>▲</w:t>
            </w:r>
            <w:r>
              <w:rPr>
                <w:rFonts w:hint="eastAsia"/>
              </w:rPr>
              <w:t>数据对接</w:t>
            </w:r>
          </w:p>
        </w:tc>
        <w:tc>
          <w:tcPr>
            <w:tcW w:w="3527" w:type="pct"/>
            <w:vAlign w:val="center"/>
          </w:tcPr>
          <w:p>
            <w:r>
              <w:rPr>
                <w:rFonts w:hint="eastAsia"/>
              </w:rPr>
              <w:t>对接</w:t>
            </w:r>
            <w:r>
              <w:rPr>
                <w:rFonts w:hint="eastAsia" w:ascii="宋体" w:hAnsi="宋体" w:cs="宋体"/>
                <w:color w:val="000000"/>
                <w:kern w:val="0"/>
                <w:szCs w:val="21"/>
              </w:rPr>
              <w:t>电子健康卡，智慧门诊、医院HIS、智慧病房等系统。</w:t>
            </w:r>
            <w:r>
              <w:rPr>
                <w:rFonts w:hint="eastAsia"/>
              </w:rPr>
              <w:t>在质保期内提供免费接口对接和升级及配合其他业务接入公众号，</w:t>
            </w:r>
            <w:r>
              <w:rPr>
                <w:rFonts w:hint="eastAsia" w:ascii="宋体" w:hAnsi="宋体" w:cs="宋体"/>
                <w:color w:val="000000"/>
                <w:kern w:val="0"/>
                <w:szCs w:val="21"/>
              </w:rPr>
              <w:t>提供医院要求的接口开发以及医院信息系统对接。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22</w:t>
            </w:r>
          </w:p>
        </w:tc>
        <w:tc>
          <w:tcPr>
            <w:tcW w:w="1045" w:type="pct"/>
            <w:vAlign w:val="center"/>
          </w:tcPr>
          <w:p>
            <w:pPr>
              <w:jc w:val="left"/>
            </w:pPr>
            <w:r>
              <w:rPr>
                <w:rFonts w:hint="eastAsia"/>
              </w:rPr>
              <w:t>预约挂号取号</w:t>
            </w:r>
          </w:p>
        </w:tc>
        <w:tc>
          <w:tcPr>
            <w:tcW w:w="3527" w:type="pct"/>
            <w:vAlign w:val="center"/>
          </w:tcPr>
          <w:p>
            <w:r>
              <w:rPr>
                <w:rFonts w:hint="eastAsia"/>
              </w:rPr>
              <w:t>患者线上预约挂号、取号缴费、取消预约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23</w:t>
            </w:r>
          </w:p>
        </w:tc>
        <w:tc>
          <w:tcPr>
            <w:tcW w:w="1045" w:type="pct"/>
            <w:vAlign w:val="center"/>
          </w:tcPr>
          <w:p>
            <w:pPr>
              <w:jc w:val="left"/>
            </w:pPr>
            <w:r>
              <w:rPr>
                <w:rFonts w:hint="eastAsia" w:ascii="宋体" w:hAnsi="宋体" w:cs="宋体"/>
                <w:kern w:val="0"/>
                <w:sz w:val="24"/>
              </w:rPr>
              <w:t>▲</w:t>
            </w:r>
            <w:r>
              <w:rPr>
                <w:rFonts w:hint="eastAsia"/>
              </w:rPr>
              <w:t>电子陪护证</w:t>
            </w:r>
          </w:p>
        </w:tc>
        <w:tc>
          <w:tcPr>
            <w:tcW w:w="3527" w:type="pct"/>
            <w:vAlign w:val="center"/>
          </w:tcPr>
          <w:p>
            <w:r>
              <w:rPr>
                <w:rFonts w:hint="eastAsia"/>
              </w:rPr>
              <w:t>具有电子陪护证申请、陪护证申请记录查询、陪护人员考核功能。和HIS系统互联互通，护士站可以直接查询和管理陪护人员信息。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24</w:t>
            </w:r>
          </w:p>
        </w:tc>
        <w:tc>
          <w:tcPr>
            <w:tcW w:w="1045" w:type="pct"/>
            <w:vAlign w:val="center"/>
          </w:tcPr>
          <w:p>
            <w:pPr>
              <w:jc w:val="left"/>
            </w:pPr>
            <w:r>
              <w:rPr>
                <w:rFonts w:hint="eastAsia"/>
              </w:rPr>
              <w:t>电子票据</w:t>
            </w:r>
          </w:p>
        </w:tc>
        <w:tc>
          <w:tcPr>
            <w:tcW w:w="3527"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缴费后可调用并查看电子票据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25</w:t>
            </w:r>
          </w:p>
        </w:tc>
        <w:tc>
          <w:tcPr>
            <w:tcW w:w="1045" w:type="pct"/>
            <w:vAlign w:val="center"/>
          </w:tcPr>
          <w:p>
            <w:pPr>
              <w:jc w:val="left"/>
            </w:pPr>
            <w:r>
              <w:rPr>
                <w:rFonts w:hint="eastAsia" w:ascii="宋体" w:hAnsi="宋体" w:cs="宋体"/>
                <w:kern w:val="0"/>
                <w:sz w:val="24"/>
              </w:rPr>
              <w:t>▲</w:t>
            </w:r>
            <w:r>
              <w:rPr>
                <w:rFonts w:hint="eastAsia"/>
              </w:rPr>
              <w:t>二次开发接口</w:t>
            </w:r>
          </w:p>
        </w:tc>
        <w:tc>
          <w:tcPr>
            <w:tcW w:w="3527"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提供医院二次开发接口, 医保、社保、医院要求的接口开发以及信息系统对接。</w:t>
            </w:r>
          </w:p>
        </w:tc>
      </w:tr>
    </w:tbl>
    <w:p>
      <w:pPr>
        <w:pStyle w:val="509"/>
        <w:tabs>
          <w:tab w:val="clear" w:pos="840"/>
        </w:tabs>
        <w:snapToGrid w:val="0"/>
        <w:spacing w:line="540" w:lineRule="exact"/>
        <w:ind w:left="0" w:firstLine="0"/>
        <w:rPr>
          <w:rFonts w:ascii="宋体" w:hAnsi="宋体" w:cs="宋体"/>
          <w:b/>
          <w:bCs/>
          <w:kern w:val="0"/>
        </w:rPr>
      </w:pPr>
      <w:r>
        <w:rPr>
          <w:rFonts w:hint="eastAsia" w:ascii="宋体" w:hAnsi="宋体" w:cs="宋体"/>
          <w:b/>
          <w:bCs/>
          <w:kern w:val="0"/>
        </w:rPr>
        <w:t>（二）服务技术要求</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066"/>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28" w:type="pct"/>
            <w:vAlign w:val="center"/>
          </w:tcPr>
          <w:p>
            <w:pPr>
              <w:jc w:val="center"/>
              <w:rPr>
                <w:rFonts w:ascii="宋体" w:hAnsi="宋体" w:cs="宋体"/>
                <w:color w:val="000000"/>
                <w:kern w:val="0"/>
                <w:szCs w:val="21"/>
              </w:rPr>
            </w:pPr>
            <w:r>
              <w:rPr>
                <w:rFonts w:hint="eastAsia" w:ascii="宋体" w:hAnsi="宋体" w:cs="宋体"/>
                <w:color w:val="000000"/>
                <w:kern w:val="0"/>
                <w:szCs w:val="21"/>
              </w:rPr>
              <w:t>序号</w:t>
            </w:r>
          </w:p>
        </w:tc>
        <w:tc>
          <w:tcPr>
            <w:tcW w:w="1048" w:type="pct"/>
            <w:vAlign w:val="center"/>
          </w:tcPr>
          <w:p>
            <w:pPr>
              <w:jc w:val="center"/>
              <w:rPr>
                <w:rFonts w:ascii="宋体" w:hAnsi="宋体" w:cs="宋体"/>
                <w:color w:val="000000"/>
                <w:kern w:val="0"/>
                <w:szCs w:val="21"/>
              </w:rPr>
            </w:pPr>
            <w:r>
              <w:rPr>
                <w:rFonts w:hint="eastAsia" w:ascii="宋体" w:hAnsi="宋体" w:cs="宋体"/>
                <w:color w:val="000000"/>
                <w:kern w:val="0"/>
                <w:szCs w:val="21"/>
              </w:rPr>
              <w:t>服务名称</w:t>
            </w:r>
          </w:p>
        </w:tc>
        <w:tc>
          <w:tcPr>
            <w:tcW w:w="3522" w:type="pct"/>
            <w:vAlign w:val="center"/>
          </w:tcPr>
          <w:p>
            <w:pPr>
              <w:jc w:val="center"/>
              <w:rPr>
                <w:rFonts w:ascii="宋体" w:hAnsi="宋体" w:cs="宋体"/>
                <w:kern w:val="0"/>
                <w:sz w:val="24"/>
              </w:rPr>
            </w:pPr>
            <w:r>
              <w:rPr>
                <w:rFonts w:hint="eastAsia" w:ascii="宋体" w:hAnsi="宋体" w:cs="宋体"/>
                <w:color w:val="000000"/>
                <w:kern w:val="0"/>
                <w:szCs w:val="21"/>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1</w:t>
            </w:r>
          </w:p>
        </w:tc>
        <w:tc>
          <w:tcPr>
            <w:tcW w:w="104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服务要求</w:t>
            </w:r>
          </w:p>
        </w:tc>
        <w:tc>
          <w:tcPr>
            <w:tcW w:w="3522"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7*24小时响应，提供1小时内响应服务，故障解决时间不得超过2小时，</w:t>
            </w:r>
            <w:r>
              <w:rPr>
                <w:rFonts w:ascii="宋体" w:hAnsi="宋体" w:cs="宋体"/>
                <w:color w:val="000000"/>
                <w:kern w:val="0"/>
                <w:szCs w:val="21"/>
              </w:rPr>
              <w:t>提供公众</w:t>
            </w:r>
            <w:r>
              <w:rPr>
                <w:rFonts w:hint="eastAsia" w:ascii="宋体" w:hAnsi="宋体" w:cs="宋体"/>
                <w:color w:val="000000"/>
                <w:kern w:val="0"/>
                <w:szCs w:val="21"/>
              </w:rPr>
              <w:t>号</w:t>
            </w:r>
            <w:r>
              <w:rPr>
                <w:rFonts w:ascii="宋体" w:hAnsi="宋体" w:cs="宋体"/>
                <w:color w:val="000000"/>
                <w:kern w:val="0"/>
                <w:szCs w:val="21"/>
              </w:rPr>
              <w:t>的</w:t>
            </w:r>
            <w:r>
              <w:rPr>
                <w:rFonts w:hint="eastAsia" w:ascii="宋体" w:hAnsi="宋体" w:cs="宋体"/>
                <w:color w:val="000000"/>
                <w:kern w:val="0"/>
                <w:szCs w:val="21"/>
              </w:rPr>
              <w:t>1年运营</w:t>
            </w:r>
            <w:r>
              <w:rPr>
                <w:rFonts w:ascii="宋体" w:hAnsi="宋体" w:cs="宋体"/>
                <w:color w:val="000000"/>
                <w:kern w:val="0"/>
                <w:szCs w:val="21"/>
              </w:rPr>
              <w:t>服务</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2</w:t>
            </w:r>
          </w:p>
        </w:tc>
        <w:tc>
          <w:tcPr>
            <w:tcW w:w="104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培训要求</w:t>
            </w:r>
          </w:p>
        </w:tc>
        <w:tc>
          <w:tcPr>
            <w:tcW w:w="3522"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提供微信公众号培训2次。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3</w:t>
            </w:r>
          </w:p>
        </w:tc>
        <w:tc>
          <w:tcPr>
            <w:tcW w:w="1048" w:type="pct"/>
            <w:vAlign w:val="center"/>
          </w:tcPr>
          <w:p>
            <w:pPr>
              <w:pStyle w:val="509"/>
              <w:tabs>
                <w:tab w:val="clear" w:pos="840"/>
              </w:tabs>
              <w:snapToGrid w:val="0"/>
              <w:spacing w:line="460" w:lineRule="exact"/>
              <w:ind w:left="0" w:firstLine="0"/>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 w:val="21"/>
                <w:szCs w:val="21"/>
              </w:rPr>
              <w:t>公众号可用性监测服务</w:t>
            </w:r>
          </w:p>
        </w:tc>
        <w:tc>
          <w:tcPr>
            <w:tcW w:w="3522" w:type="pct"/>
            <w:vAlign w:val="center"/>
          </w:tcPr>
          <w:p>
            <w:pPr>
              <w:pStyle w:val="455"/>
              <w:spacing w:line="480" w:lineRule="exact"/>
              <w:ind w:firstLine="0" w:firstLineChars="0"/>
              <w:rPr>
                <w:rFonts w:ascii="宋体" w:hAnsi="宋体"/>
                <w:szCs w:val="21"/>
              </w:rPr>
            </w:pPr>
            <w:r>
              <w:rPr>
                <w:rFonts w:hint="eastAsia" w:ascii="宋体" w:hAnsi="宋体"/>
                <w:szCs w:val="21"/>
              </w:rPr>
              <w:t>对医院公众号进行7×24小时的远程公众号安全监测服务。</w:t>
            </w:r>
          </w:p>
          <w:p>
            <w:pPr>
              <w:pStyle w:val="455"/>
              <w:spacing w:line="480" w:lineRule="exact"/>
              <w:ind w:firstLine="0" w:firstLineChars="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公众号运行情况监控。</w:t>
            </w:r>
          </w:p>
          <w:p>
            <w:pPr>
              <w:pStyle w:val="455"/>
              <w:spacing w:line="480" w:lineRule="exact"/>
              <w:ind w:firstLine="0" w:firstLineChars="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公众号可用率监控。</w:t>
            </w:r>
          </w:p>
          <w:p>
            <w:pPr>
              <w:pStyle w:val="455"/>
              <w:spacing w:line="480" w:lineRule="exact"/>
              <w:ind w:firstLine="0" w:firstLineChars="0"/>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公众号响应请求的延时情况。</w:t>
            </w:r>
          </w:p>
          <w:p>
            <w:pPr>
              <w:pStyle w:val="455"/>
              <w:spacing w:line="480" w:lineRule="exact"/>
              <w:ind w:firstLine="0" w:firstLineChars="0"/>
              <w:rPr>
                <w:rFonts w:ascii="宋体" w:hAnsi="宋体"/>
                <w:szCs w:val="21"/>
              </w:rPr>
            </w:pPr>
            <w:r>
              <w:rPr>
                <w:rFonts w:hint="eastAsia" w:ascii="宋体" w:hAnsi="宋体"/>
                <w:szCs w:val="21"/>
              </w:rPr>
              <w:t>服务内容：</w:t>
            </w:r>
          </w:p>
          <w:p>
            <w:pPr>
              <w:pStyle w:val="455"/>
              <w:spacing w:line="480" w:lineRule="exact"/>
              <w:ind w:firstLine="0" w:firstLineChars="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对监测到的断网事件，及时通知运维人员处置，并协助运维人员分析断网原因。</w:t>
            </w:r>
          </w:p>
          <w:p>
            <w:pPr>
              <w:pStyle w:val="455"/>
              <w:spacing w:line="480" w:lineRule="exact"/>
              <w:ind w:firstLine="0" w:firstLineChars="0"/>
              <w:rPr>
                <w:rFonts w:ascii="宋体" w:hAnsi="宋体" w:cs="宋体"/>
                <w:color w:val="000000"/>
                <w:kern w:val="0"/>
                <w:szCs w:val="21"/>
              </w:rPr>
            </w:pPr>
            <w:r>
              <w:rPr>
                <w:rFonts w:hint="eastAsia" w:ascii="宋体" w:hAnsi="宋体"/>
                <w:szCs w:val="21"/>
              </w:rPr>
              <w:t>2.</w:t>
            </w:r>
            <w:r>
              <w:rPr>
                <w:rFonts w:hint="eastAsia" w:ascii="宋体" w:hAnsi="宋体"/>
                <w:szCs w:val="21"/>
              </w:rPr>
              <w:tab/>
            </w:r>
            <w:r>
              <w:rPr>
                <w:rFonts w:hint="eastAsia" w:ascii="宋体" w:hAnsi="宋体"/>
                <w:szCs w:val="21"/>
              </w:rPr>
              <w:t>总结一年内的断网情况，为改进公众号可用性提供可靠的分析数据。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4</w:t>
            </w:r>
          </w:p>
        </w:tc>
        <w:tc>
          <w:tcPr>
            <w:tcW w:w="104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公众号安全性监测服务</w:t>
            </w:r>
          </w:p>
        </w:tc>
        <w:tc>
          <w:tcPr>
            <w:tcW w:w="3522" w:type="pct"/>
            <w:vAlign w:val="center"/>
          </w:tcPr>
          <w:p>
            <w:pPr>
              <w:spacing w:line="460" w:lineRule="exact"/>
              <w:rPr>
                <w:rFonts w:ascii="宋体" w:hAnsi="宋体" w:cs="宋体"/>
                <w:color w:val="000000"/>
                <w:kern w:val="0"/>
                <w:szCs w:val="21"/>
              </w:rPr>
            </w:pPr>
            <w:r>
              <w:rPr>
                <w:rFonts w:hint="eastAsia" w:ascii="宋体" w:hAnsi="宋体"/>
                <w:szCs w:val="21"/>
              </w:rPr>
              <w:t>检测公众号是否发布了敏感数据，如病患、医护人员的个人信息。检测公众号是否存在黑链、涉黄内容、政治性言论、法轮功和其它非业务发布信息等。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5</w:t>
            </w:r>
          </w:p>
        </w:tc>
        <w:tc>
          <w:tcPr>
            <w:tcW w:w="104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▲公众号渗透测试、风险评估服务</w:t>
            </w:r>
          </w:p>
        </w:tc>
        <w:tc>
          <w:tcPr>
            <w:tcW w:w="3522"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微信公众号渗透测试技术服务，根据医院实际情况编写微信公众号的安全演练方案，确保可以适应最新情况和外部的最新安全威胁，强化应急相关工作人员的应急操作水平，</w:t>
            </w:r>
            <w:r>
              <w:rPr>
                <w:rFonts w:hint="eastAsia" w:ascii="宋体" w:hAnsi="宋体" w:cs="宋体"/>
                <w:color w:val="000000"/>
                <w:kern w:val="0"/>
                <w:szCs w:val="21"/>
                <w:highlight w:val="yellow"/>
              </w:rPr>
              <w:t>提供国家信息安全风险评估资质单位出具的《渗透测试和风险评估报告》。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6</w:t>
            </w:r>
          </w:p>
        </w:tc>
        <w:tc>
          <w:tcPr>
            <w:tcW w:w="1048" w:type="pct"/>
            <w:vAlign w:val="center"/>
          </w:tcPr>
          <w:p>
            <w:pPr>
              <w:spacing w:line="460" w:lineRule="exact"/>
              <w:rPr>
                <w:rFonts w:ascii="宋体" w:hAnsi="宋体" w:cs="宋体"/>
                <w:color w:val="000000"/>
                <w:kern w:val="0"/>
                <w:szCs w:val="21"/>
              </w:rPr>
            </w:pPr>
            <w:r>
              <w:rPr>
                <w:rFonts w:hint="eastAsia" w:ascii="宋体" w:hAnsi="宋体" w:cs="宋体"/>
                <w:color w:val="000000"/>
                <w:kern w:val="0"/>
                <w:szCs w:val="21"/>
              </w:rPr>
              <w:t>▲公众号等级保护服务</w:t>
            </w:r>
          </w:p>
        </w:tc>
        <w:tc>
          <w:tcPr>
            <w:tcW w:w="3522" w:type="pct"/>
            <w:vAlign w:val="center"/>
          </w:tcPr>
          <w:p>
            <w:pPr>
              <w:spacing w:line="480" w:lineRule="exact"/>
              <w:rPr>
                <w:rFonts w:ascii="宋体" w:hAnsi="宋体" w:cs="宋体"/>
                <w:color w:val="000000"/>
                <w:kern w:val="0"/>
                <w:szCs w:val="21"/>
              </w:rPr>
            </w:pPr>
            <w:r>
              <w:rPr>
                <w:rFonts w:hint="eastAsia"/>
              </w:rPr>
              <w:t>根据国家有关信息系统安全等级有关规定，微信公众号平台需满足</w:t>
            </w:r>
            <w:r>
              <w:rPr>
                <w:rFonts w:hint="eastAsia" w:ascii="宋体" w:hAnsi="宋体" w:cs="宋体"/>
                <w:color w:val="000000"/>
                <w:kern w:val="0"/>
                <w:szCs w:val="21"/>
              </w:rPr>
              <w:t>等级保护要求：包含差距测评，根据差距测评结果制定整改方案，按照国家的相关规范和技术标准，使用符合国家相关规定，满足系统等级需求产品，并调试及进行公众号的安全整改工作。</w:t>
            </w:r>
          </w:p>
        </w:tc>
      </w:tr>
    </w:tbl>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（一）服务期限：签订合同后2个月完成主要功能上线，6个月内完成试运行，1年内完成项目终验。</w:t>
      </w:r>
      <w:r>
        <w:rPr>
          <w:rFonts w:hint="eastAsia" w:asciiTheme="minorEastAsia" w:hAnsiTheme="minorEastAsia" w:eastAsiaTheme="minorEastAsia"/>
          <w:b/>
          <w:highlight w:val="yellow"/>
        </w:rPr>
        <w:br w:type="textWrapping"/>
      </w: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（二）质保期：1年，时间自验收合格之日起计算。</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（三）项目服务人员要求：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1）本项目服务要求投标人需为本项目配备经验丰富的项目经理，并配备各专业的专业工程师和技术咨询人员，团队人员不少于5人。项目经理1人，软件开发工程师至少2人（其中软件开发工程师1人需在质保期内常驻医院现场，至少有3年以上公众号开发经验，经甲方同意后驻场）,美工设计师1人，信息安全保障人员1人，需提供每季度1次的安全检测和提供相关检查报告。</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（2）投标组人员在项目执行过程中全职参与，不得以任何理由不参与调研、会议、维护等服务工作，如需更换人员，则新替换人员所有条件不得低于被替换人员，并经采购人审核后方可更换。</w:t>
      </w:r>
      <w:bookmarkStart w:id="3" w:name="_Toc32569"/>
      <w:bookmarkStart w:id="4" w:name="_Toc23918"/>
      <w:bookmarkStart w:id="5" w:name="_Toc6528"/>
      <w:bookmarkStart w:id="6" w:name="_Toc27826"/>
      <w:bookmarkStart w:id="7" w:name="_Toc12308"/>
      <w:bookmarkStart w:id="8" w:name="_Toc30303"/>
      <w:bookmarkStart w:id="9" w:name="_Toc30758"/>
      <w:bookmarkStart w:id="10" w:name="_Toc356312632"/>
      <w:bookmarkStart w:id="11" w:name="_Toc484743320"/>
      <w:bookmarkStart w:id="12" w:name="_Toc493005306"/>
      <w:bookmarkStart w:id="13" w:name="_Toc497019427"/>
    </w:p>
    <w:bookmarkEnd w:id="3"/>
    <w:bookmarkEnd w:id="4"/>
    <w:bookmarkEnd w:id="5"/>
    <w:bookmarkEnd w:id="6"/>
    <w:bookmarkEnd w:id="7"/>
    <w:bookmarkEnd w:id="8"/>
    <w:bookmarkEnd w:id="9"/>
    <w:bookmarkEnd w:id="10"/>
    <w:p>
      <w:pPr>
        <w:pStyle w:val="255"/>
        <w:spacing w:beforeLines="0" w:line="360" w:lineRule="auto"/>
        <w:ind w:firstLine="0" w:firstLineChars="0"/>
        <w:rPr>
          <w:rFonts w:asciiTheme="minorEastAsia" w:hAnsiTheme="minorEastAsia" w:eastAsiaTheme="minorEastAsia"/>
          <w:b/>
        </w:rPr>
      </w:pPr>
      <w:bookmarkStart w:id="14" w:name="_Toc280262401"/>
      <w:bookmarkStart w:id="15" w:name="_Toc356312633"/>
      <w:bookmarkStart w:id="16" w:name="_Toc8053"/>
      <w:r>
        <w:rPr>
          <w:rFonts w:hint="eastAsia" w:asciiTheme="minorEastAsia" w:hAnsiTheme="minorEastAsia" w:eastAsiaTheme="minorEastAsia"/>
          <w:b/>
        </w:rPr>
        <w:t>（四）付款方式</w:t>
      </w:r>
      <w:bookmarkEnd w:id="14"/>
      <w:bookmarkEnd w:id="15"/>
      <w:bookmarkEnd w:id="16"/>
      <w:r>
        <w:rPr>
          <w:rFonts w:hint="eastAsia" w:asciiTheme="minorEastAsia" w:hAnsiTheme="minorEastAsia" w:eastAsiaTheme="minorEastAsia"/>
          <w:b/>
        </w:rPr>
        <w:t>：</w:t>
      </w:r>
    </w:p>
    <w:p>
      <w:pPr>
        <w:pStyle w:val="255"/>
        <w:spacing w:beforeLines="0" w:line="360" w:lineRule="auto"/>
        <w:ind w:firstLine="0" w:firstLineChars="0"/>
        <w:rPr>
          <w:rFonts w:asciiTheme="minorEastAsia" w:hAnsiTheme="minorEastAsia" w:eastAsiaTheme="minorEastAsia"/>
          <w:bCs/>
        </w:rPr>
      </w:pPr>
      <w:r>
        <w:rPr>
          <w:rFonts w:hint="eastAsia" w:asciiTheme="minorEastAsia" w:hAnsiTheme="minorEastAsia" w:eastAsiaTheme="minorEastAsia"/>
          <w:bCs/>
        </w:rPr>
        <w:t>（1）合同签订后，项目人员进场，支付合同总额的50%预付款。</w:t>
      </w:r>
    </w:p>
    <w:p>
      <w:pPr>
        <w:pStyle w:val="255"/>
        <w:spacing w:beforeLines="0" w:line="360" w:lineRule="auto"/>
        <w:ind w:firstLine="0" w:firstLineChars="0"/>
        <w:rPr>
          <w:rFonts w:asciiTheme="minorEastAsia" w:hAnsiTheme="minorEastAsia" w:eastAsiaTheme="minorEastAsia"/>
          <w:bCs/>
        </w:rPr>
      </w:pPr>
      <w:r>
        <w:rPr>
          <w:rFonts w:hint="eastAsia" w:asciiTheme="minorEastAsia" w:hAnsiTheme="minorEastAsia" w:eastAsiaTheme="minorEastAsia"/>
          <w:bCs/>
        </w:rPr>
        <w:t>（2）系统试运行合格后,支付30%进度款。</w:t>
      </w:r>
    </w:p>
    <w:p>
      <w:pPr>
        <w:pStyle w:val="255"/>
        <w:spacing w:beforeLines="0" w:line="360" w:lineRule="auto"/>
        <w:ind w:firstLine="0" w:firstLineChars="0"/>
        <w:rPr>
          <w:rFonts w:asciiTheme="minorEastAsia" w:hAnsiTheme="minorEastAsia" w:eastAsiaTheme="minorEastAsia"/>
          <w:bCs/>
        </w:rPr>
      </w:pPr>
      <w:r>
        <w:rPr>
          <w:rFonts w:hint="eastAsia" w:asciiTheme="minorEastAsia" w:hAnsiTheme="minorEastAsia" w:eastAsiaTheme="minorEastAsia"/>
          <w:bCs/>
        </w:rPr>
        <w:t>（3) 完成系统和服务验收后,支付20%合同尾款。</w:t>
      </w:r>
    </w:p>
    <w:bookmarkEnd w:id="11"/>
    <w:bookmarkEnd w:id="12"/>
    <w:bookmarkEnd w:id="13"/>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2"/>
      </w:pPr>
      <w:bookmarkStart w:id="17" w:name="_Toc73613622"/>
      <w:r>
        <w:rPr>
          <w:rFonts w:hint="eastAsia"/>
        </w:rPr>
        <w:t>第三章  投标文件初审</w:t>
      </w:r>
      <w:bookmarkEnd w:id="17"/>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2"/>
        <w:spacing w:after="0"/>
      </w:pPr>
      <w:bookmarkStart w:id="18" w:name="_Toc73613623"/>
      <w:r>
        <w:rPr>
          <w:rFonts w:hint="eastAsia"/>
        </w:rPr>
        <w:t>第四章  评标方法和标准</w:t>
      </w:r>
      <w:bookmarkEnd w:id="18"/>
    </w:p>
    <w:p/>
    <w:p>
      <w:pPr>
        <w:pStyle w:val="4"/>
        <w:spacing w:before="0" w:after="0"/>
      </w:pPr>
      <w:bookmarkStart w:id="19" w:name="_Toc44691393"/>
      <w:bookmarkStart w:id="20" w:name="_Toc44690429"/>
      <w:bookmarkStart w:id="21" w:name="_Toc44691161"/>
      <w:bookmarkStart w:id="22" w:name="_Toc44690702"/>
      <w:bookmarkStart w:id="23" w:name="_Toc73613624"/>
      <w:r>
        <w:rPr>
          <w:rFonts w:hint="eastAsia"/>
        </w:rPr>
        <w:t>一、</w:t>
      </w:r>
      <w:r>
        <w:t>评标方法</w:t>
      </w:r>
      <w:bookmarkEnd w:id="19"/>
      <w:bookmarkEnd w:id="20"/>
      <w:bookmarkEnd w:id="21"/>
      <w:bookmarkEnd w:id="22"/>
      <w:bookmarkEnd w:id="23"/>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24" w:name="_Toc73613625"/>
      <w:r>
        <w:rPr>
          <w:rFonts w:hint="eastAsia"/>
        </w:rPr>
        <w:t>二、评标标准</w:t>
      </w:r>
      <w:bookmarkEnd w:id="24"/>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keepNext w:val="0"/>
              <w:keepLines w:val="0"/>
              <w:pageBreakBefore w:val="0"/>
              <w:kinsoku/>
              <w:wordWrap/>
              <w:overflowPunct/>
              <w:topLinePunct w:val="0"/>
              <w:bidi w:val="0"/>
              <w:spacing w:before="0" w:beforeAutospacing="0" w:after="0" w:afterAutospacing="0" w:line="360" w:lineRule="auto"/>
              <w:ind w:left="420" w:hanging="420"/>
              <w:textAlignment w:val="auto"/>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keepNext w:val="0"/>
              <w:keepLines w:val="0"/>
              <w:pageBreakBefore w:val="0"/>
              <w:kinsoku/>
              <w:wordWrap/>
              <w:overflowPunct/>
              <w:topLinePunct w:val="0"/>
              <w:bidi w:val="0"/>
              <w:spacing w:before="0" w:beforeAutospacing="0" w:after="0" w:afterAutospacing="0" w:line="360" w:lineRule="auto"/>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×20</w:t>
            </w:r>
          </w:p>
          <w:p>
            <w:pPr>
              <w:pStyle w:val="45"/>
              <w:keepNext w:val="0"/>
              <w:keepLines w:val="0"/>
              <w:pageBreakBefore w:val="0"/>
              <w:kinsoku/>
              <w:wordWrap/>
              <w:overflowPunct/>
              <w:topLinePunct w:val="0"/>
              <w:bidi w:val="0"/>
              <w:spacing w:before="0" w:beforeAutospacing="0" w:after="0" w:afterAutospacing="0" w:line="360" w:lineRule="auto"/>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keepNext w:val="0"/>
              <w:keepLines w:val="0"/>
              <w:pageBreakBefore w:val="0"/>
              <w:kinsoku/>
              <w:wordWrap/>
              <w:overflowPunct/>
              <w:topLinePunct w:val="0"/>
              <w:bidi w:val="0"/>
              <w:spacing w:before="0" w:beforeAutospacing="0" w:after="0" w:afterAutospacing="0" w:line="360" w:lineRule="auto"/>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keepNext w:val="0"/>
              <w:keepLines w:val="0"/>
              <w:pageBreakBefore w:val="0"/>
              <w:kinsoku/>
              <w:wordWrap/>
              <w:overflowPunct/>
              <w:topLinePunct w:val="0"/>
              <w:bidi w:val="0"/>
              <w:spacing w:before="0" w:beforeAutospacing="0" w:after="0" w:afterAutospacing="0" w:line="360" w:lineRule="auto"/>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ascii="宋体" w:hAnsi="宋体" w:cs="仿宋"/>
                <w:b/>
                <w:szCs w:val="21"/>
              </w:rPr>
              <w:t>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Cs w:val="21"/>
              </w:rPr>
            </w:pPr>
            <w:r>
              <w:rPr>
                <w:rFonts w:hint="eastAsia" w:ascii="宋体" w:hAnsi="宋体"/>
                <w:szCs w:val="21"/>
              </w:rPr>
              <w:t>投标人对本项目的整体方案</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Cs w:val="21"/>
              </w:rPr>
            </w:pPr>
            <w:r>
              <w:rPr>
                <w:rFonts w:hint="eastAsia" w:ascii="宋体" w:hAnsi="宋体" w:cs="宋体"/>
                <w:kern w:val="0"/>
                <w:szCs w:val="21"/>
              </w:rPr>
              <w:t>15</w:t>
            </w:r>
          </w:p>
        </w:tc>
        <w:tc>
          <w:tcPr>
            <w:tcW w:w="5953" w:type="dxa"/>
            <w:vAlign w:val="center"/>
          </w:tcPr>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考察投标人针对医院微信公众号的整体规划、需求理解与现状分析，功能页面设计的成熟度、对项目整体服务内容的理解、保障措施、工作计划、安全性与保密性等内容。</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（二）评分标准：</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（1）整体方案根据招标文件服务需求编写，方案内容详细，具体；</w:t>
            </w:r>
            <w:r>
              <w:rPr>
                <w:rFonts w:hint="eastAsia" w:ascii="宋体" w:hAnsi="宋体"/>
                <w:szCs w:val="21"/>
              </w:rPr>
              <w:br w:type="textWrapping"/>
            </w:r>
            <w:r>
              <w:rPr>
                <w:rFonts w:hint="eastAsia" w:ascii="宋体" w:hAnsi="宋体"/>
                <w:szCs w:val="21"/>
              </w:rPr>
              <w:t>（2）对本项目整体规划、需求理解与现状分析全面、清晰到位；</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（3）保障措施完善，有较强的安全性与保密性；</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（4）功能页面设计方案图文并茂，设计理念成熟；</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满足以上四项要求的得15分，满足其中三项要求的得10分，满足其中二项要求的得5分，其他情况不得分。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rPr>
              <w:t>2</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szCs w:val="21"/>
              </w:rPr>
            </w:pPr>
          </w:p>
          <w:p>
            <w:pPr>
              <w:keepNext w:val="0"/>
              <w:keepLines w:val="0"/>
              <w:pageBreakBefore w:val="0"/>
              <w:widowControl/>
              <w:kinsoku/>
              <w:wordWrap/>
              <w:overflowPunct/>
              <w:topLinePunct w:val="0"/>
              <w:bidi w:val="0"/>
              <w:spacing w:line="360" w:lineRule="auto"/>
              <w:jc w:val="center"/>
              <w:textAlignment w:val="auto"/>
              <w:rPr>
                <w:rFonts w:ascii="宋体" w:hAnsi="宋体"/>
                <w:szCs w:val="21"/>
              </w:rPr>
            </w:pPr>
            <w:r>
              <w:rPr>
                <w:rFonts w:hint="eastAsia" w:ascii="宋体" w:hAnsi="宋体"/>
                <w:szCs w:val="21"/>
              </w:rPr>
              <w:t>项目服务要求响应情况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Cs w:val="21"/>
              </w:rPr>
            </w:pPr>
            <w:r>
              <w:rPr>
                <w:rFonts w:hint="eastAsia" w:ascii="宋体" w:hAnsi="宋体"/>
                <w:szCs w:val="21"/>
              </w:rPr>
              <w:t>3</w:t>
            </w:r>
            <w:r>
              <w:rPr>
                <w:rFonts w:ascii="宋体" w:hAnsi="宋体"/>
                <w:szCs w:val="21"/>
              </w:rPr>
              <w:t>6</w:t>
            </w:r>
          </w:p>
        </w:tc>
        <w:tc>
          <w:tcPr>
            <w:tcW w:w="5953" w:type="dxa"/>
            <w:vAlign w:val="center"/>
          </w:tcPr>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lang w:val="en-US" w:eastAsia="zh-CN"/>
              </w:rPr>
              <w:t>以</w:t>
            </w:r>
            <w:r>
              <w:rPr>
                <w:rFonts w:hint="eastAsia" w:ascii="宋体" w:hAnsi="宋体"/>
                <w:szCs w:val="21"/>
              </w:rPr>
              <w:t>投标文件《服务要求偏离表》为评审依据，各项要求全部满足的得3</w:t>
            </w:r>
            <w:r>
              <w:rPr>
                <w:rFonts w:ascii="宋体" w:hAnsi="宋体"/>
                <w:szCs w:val="21"/>
              </w:rPr>
              <w:t>6</w:t>
            </w:r>
            <w:r>
              <w:rPr>
                <w:rFonts w:hint="eastAsia" w:ascii="宋体" w:hAnsi="宋体"/>
                <w:szCs w:val="21"/>
              </w:rPr>
              <w:t>分，带▲的重要参数每负偏离一项扣</w:t>
            </w:r>
            <w:r>
              <w:rPr>
                <w:rFonts w:ascii="宋体" w:hAnsi="宋体"/>
                <w:szCs w:val="21"/>
              </w:rPr>
              <w:t>6</w:t>
            </w:r>
            <w:r>
              <w:rPr>
                <w:rFonts w:hint="eastAsia" w:ascii="宋体" w:hAnsi="宋体"/>
                <w:szCs w:val="21"/>
              </w:rPr>
              <w:t>分，其他一般参数每负偏离1项扣</w:t>
            </w:r>
            <w:r>
              <w:rPr>
                <w:rFonts w:ascii="宋体" w:hAnsi="宋体"/>
                <w:szCs w:val="21"/>
              </w:rPr>
              <w:t>3</w:t>
            </w:r>
            <w:r>
              <w:rPr>
                <w:rFonts w:hint="eastAsia" w:ascii="宋体" w:hAnsi="宋体"/>
                <w:szCs w:val="21"/>
              </w:rPr>
              <w:t>分，最低得0分。</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投标人应如实填写《服务要求偏离表》，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Cs w:val="21"/>
              </w:rPr>
            </w:pPr>
            <w:r>
              <w:rPr>
                <w:rFonts w:hint="eastAsia" w:ascii="宋体" w:hAnsi="宋体"/>
                <w:kern w:val="0"/>
                <w:szCs w:val="21"/>
              </w:rPr>
              <w:t>6</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szCs w:val="21"/>
              </w:rPr>
            </w:pPr>
            <w:r>
              <w:rPr>
                <w:rFonts w:hint="eastAsia" w:ascii="宋体" w:hAnsi="宋体"/>
                <w:szCs w:val="21"/>
              </w:rPr>
              <w:t>拟安排的项目负责人情况(仅限1人）</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cs="宋体"/>
                <w:kern w:val="0"/>
                <w:szCs w:val="21"/>
              </w:rPr>
            </w:pPr>
            <w:r>
              <w:rPr>
                <w:rFonts w:hint="eastAsia" w:ascii="宋体" w:hAnsi="宋体" w:cs="宋体"/>
                <w:kern w:val="0"/>
                <w:szCs w:val="21"/>
              </w:rPr>
              <w:t>10</w:t>
            </w:r>
          </w:p>
        </w:tc>
        <w:tc>
          <w:tcPr>
            <w:tcW w:w="5953" w:type="dxa"/>
            <w:vAlign w:val="center"/>
          </w:tcPr>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拟安排的项目负责人(仅限1人）需为投标人正式聘任员工，提供社保证明或</w:t>
            </w:r>
            <w:r>
              <w:rPr>
                <w:rFonts w:ascii="宋体" w:hAnsi="宋体"/>
                <w:szCs w:val="21"/>
              </w:rPr>
              <w:t>劳动合同证明</w:t>
            </w:r>
            <w:r>
              <w:rPr>
                <w:rFonts w:hint="eastAsia" w:ascii="宋体" w:hAnsi="宋体"/>
                <w:szCs w:val="21"/>
              </w:rPr>
              <w:t>，否则本项不得分。在此基础上，按以下标准评分：</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（1）具有高级信息系统项目管理师认证；</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 xml:space="preserve">（2）具有中级或以上电子数据取证分析员认证； </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szCs w:val="21"/>
                <w:lang w:eastAsia="zh-CN"/>
              </w:rPr>
            </w:pPr>
            <w:r>
              <w:rPr>
                <w:rFonts w:hint="eastAsia" w:ascii="宋体" w:hAnsi="宋体"/>
                <w:szCs w:val="21"/>
              </w:rPr>
              <w:t>（3）具有信息安全保障人员认证（认证方向：应急服务）</w:t>
            </w:r>
            <w:r>
              <w:rPr>
                <w:rFonts w:hint="eastAsia" w:ascii="宋体" w:hAnsi="宋体"/>
                <w:szCs w:val="21"/>
                <w:lang w:eastAsia="zh-CN"/>
              </w:rPr>
              <w:t>；</w:t>
            </w:r>
          </w:p>
          <w:p>
            <w:pPr>
              <w:keepNext w:val="0"/>
              <w:keepLines w:val="0"/>
              <w:pageBreakBefore w:val="0"/>
              <w:widowControl/>
              <w:kinsoku/>
              <w:wordWrap/>
              <w:overflowPunct/>
              <w:topLinePunct w:val="0"/>
              <w:bidi w:val="0"/>
              <w:spacing w:line="360" w:lineRule="auto"/>
              <w:jc w:val="left"/>
              <w:textAlignment w:val="auto"/>
              <w:rPr>
                <w:rFonts w:hint="default" w:ascii="宋体" w:hAnsi="宋体"/>
                <w:szCs w:val="21"/>
                <w:lang w:val="en-US"/>
              </w:rPr>
            </w:pPr>
            <w:r>
              <w:rPr>
                <w:rFonts w:hint="eastAsia" w:ascii="宋体" w:hAnsi="宋体"/>
                <w:szCs w:val="21"/>
              </w:rPr>
              <w:t>（4）具有ITIL服务认证证书。</w:t>
            </w:r>
            <w:r>
              <w:rPr>
                <w:rFonts w:hint="eastAsia" w:ascii="宋体" w:hAnsi="宋体"/>
                <w:szCs w:val="21"/>
              </w:rPr>
              <w:br w:type="textWrapping"/>
            </w:r>
            <w:r>
              <w:rPr>
                <w:rFonts w:hint="eastAsia" w:ascii="宋体" w:hAnsi="宋体"/>
                <w:szCs w:val="21"/>
                <w:lang w:val="en-US" w:eastAsia="zh-CN"/>
              </w:rPr>
              <w:t>项目负责人同时具备以上四项证书的得10分，具备以上其中三项证书的得5分，其他情况不得分。</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（二）评分依据：</w:t>
            </w:r>
          </w:p>
          <w:p>
            <w:pPr>
              <w:keepNext w:val="0"/>
              <w:keepLines w:val="0"/>
              <w:pageBreakBefore w:val="0"/>
              <w:widowControl/>
              <w:kinsoku/>
              <w:wordWrap/>
              <w:overflowPunct/>
              <w:topLinePunct w:val="0"/>
              <w:bidi w:val="0"/>
              <w:spacing w:line="360" w:lineRule="auto"/>
              <w:jc w:val="left"/>
              <w:textAlignment w:val="auto"/>
              <w:rPr>
                <w:rFonts w:hint="default" w:ascii="宋体" w:hAnsi="宋体" w:eastAsia="宋体"/>
                <w:szCs w:val="21"/>
                <w:lang w:val="en-US" w:eastAsia="zh-CN"/>
              </w:rPr>
            </w:pPr>
            <w:r>
              <w:rPr>
                <w:rFonts w:hint="eastAsia" w:ascii="宋体" w:hAnsi="宋体"/>
                <w:szCs w:val="21"/>
              </w:rPr>
              <w:t>1.提供项目负责人上述认证证书；</w:t>
            </w:r>
            <w:r>
              <w:rPr>
                <w:rFonts w:hint="eastAsia" w:ascii="宋体" w:hAnsi="宋体"/>
                <w:szCs w:val="21"/>
              </w:rPr>
              <w:br w:type="textWrapping"/>
            </w:r>
            <w:r>
              <w:rPr>
                <w:rFonts w:hint="eastAsia" w:ascii="宋体" w:hAnsi="宋体"/>
                <w:szCs w:val="21"/>
              </w:rPr>
              <w:t>2.提供通过投标单位缴纳的载有社保部门公章的近三个月个人社保证明，如开标日前近一个月的社保证明因社保部门原因暂时无法提供，可往前顺延一个月；</w:t>
            </w:r>
            <w:r>
              <w:rPr>
                <w:rFonts w:hint="eastAsia" w:ascii="宋体" w:hAnsi="宋体"/>
                <w:szCs w:val="21"/>
              </w:rPr>
              <w:br w:type="textWrapping"/>
            </w:r>
            <w:r>
              <w:rPr>
                <w:rFonts w:hint="eastAsia" w:ascii="宋体" w:hAnsi="宋体"/>
                <w:szCs w:val="21"/>
                <w:lang w:val="en-US" w:eastAsia="zh-CN"/>
              </w:rPr>
              <w:t>3.提供劳动合同证明；</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lang w:val="en-US" w:eastAsia="zh-CN"/>
              </w:rPr>
              <w:t>4</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hint="eastAsia" w:ascii="宋体" w:hAnsi="宋体" w:cs="仿宋"/>
                <w:b/>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b/>
                <w:szCs w:val="21"/>
              </w:rPr>
            </w:pPr>
            <w:r>
              <w:rPr>
                <w:rFonts w:ascii="宋体" w:hAnsi="宋体" w:cs="仿宋"/>
                <w:b/>
                <w:szCs w:val="21"/>
              </w:rPr>
              <w:t>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lang w:val="zh-CN"/>
              </w:rPr>
              <w:t>1</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ascii="宋体" w:hAnsi="宋体"/>
                <w:kern w:val="0"/>
                <w:szCs w:val="21"/>
              </w:rPr>
            </w:pPr>
            <w:r>
              <w:rPr>
                <w:rFonts w:hint="eastAsia" w:ascii="宋体" w:hAnsi="宋体" w:cs="宋体"/>
                <w:color w:val="000000"/>
                <w:kern w:val="0"/>
                <w:szCs w:val="21"/>
              </w:rPr>
              <w:t>投标人体系认证情况</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ascii="宋体" w:hAnsi="宋体"/>
                <w:kern w:val="0"/>
                <w:szCs w:val="21"/>
              </w:rPr>
            </w:pPr>
            <w:r>
              <w:rPr>
                <w:rFonts w:hint="eastAsia" w:ascii="宋体" w:hAnsi="宋体" w:cs="宋体"/>
                <w:szCs w:val="21"/>
              </w:rPr>
              <w:t>8</w:t>
            </w:r>
          </w:p>
        </w:tc>
        <w:tc>
          <w:tcPr>
            <w:tcW w:w="5953" w:type="dxa"/>
            <w:vAlign w:val="center"/>
          </w:tcPr>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投标人具有以下有效认证证书：</w:t>
            </w:r>
            <w:r>
              <w:rPr>
                <w:rFonts w:hint="eastAsia" w:ascii="宋体" w:hAnsi="宋体"/>
                <w:szCs w:val="21"/>
              </w:rPr>
              <w:br w:type="textWrapping"/>
            </w:r>
            <w:r>
              <w:rPr>
                <w:rFonts w:hint="eastAsia" w:ascii="宋体" w:hAnsi="宋体"/>
                <w:szCs w:val="21"/>
              </w:rPr>
              <w:t>（1）国家级高新技术企业；</w:t>
            </w:r>
            <w:r>
              <w:rPr>
                <w:rFonts w:hint="eastAsia" w:ascii="宋体" w:hAnsi="宋体"/>
                <w:szCs w:val="21"/>
              </w:rPr>
              <w:br w:type="textWrapping"/>
            </w:r>
            <w:r>
              <w:rPr>
                <w:rFonts w:hint="eastAsia" w:ascii="宋体" w:hAnsi="宋体"/>
                <w:szCs w:val="21"/>
              </w:rPr>
              <w:t>（2）ISO9001质量管理体系认证证书；</w:t>
            </w:r>
            <w:r>
              <w:rPr>
                <w:rFonts w:hint="eastAsia" w:ascii="宋体" w:hAnsi="宋体"/>
                <w:szCs w:val="21"/>
              </w:rPr>
              <w:br w:type="textWrapping"/>
            </w:r>
            <w:r>
              <w:rPr>
                <w:rFonts w:hint="eastAsia" w:ascii="宋体" w:hAnsi="宋体"/>
                <w:szCs w:val="21"/>
              </w:rPr>
              <w:t>（3）</w:t>
            </w:r>
            <w:r>
              <w:rPr>
                <w:rFonts w:ascii="宋体" w:hAnsi="宋体"/>
                <w:szCs w:val="21"/>
              </w:rPr>
              <w:t>ISO14001</w:t>
            </w:r>
            <w:r>
              <w:rPr>
                <w:rFonts w:hint="eastAsia" w:ascii="宋体" w:hAnsi="宋体"/>
                <w:szCs w:val="21"/>
              </w:rPr>
              <w:t>环境管理体系认证证书；</w:t>
            </w:r>
            <w:r>
              <w:rPr>
                <w:rFonts w:hint="eastAsia" w:ascii="宋体" w:hAnsi="宋体"/>
                <w:szCs w:val="21"/>
              </w:rPr>
              <w:br w:type="textWrapping"/>
            </w:r>
            <w:r>
              <w:rPr>
                <w:rFonts w:hint="eastAsia" w:ascii="宋体" w:hAnsi="宋体"/>
                <w:szCs w:val="21"/>
              </w:rPr>
              <w:t>（4）</w:t>
            </w:r>
            <w:r>
              <w:rPr>
                <w:rFonts w:ascii="宋体" w:hAnsi="宋体"/>
                <w:szCs w:val="21"/>
              </w:rPr>
              <w:t>OHSAS18001</w:t>
            </w:r>
            <w:r>
              <w:rPr>
                <w:rFonts w:hint="eastAsia" w:ascii="宋体" w:hAnsi="宋体"/>
                <w:szCs w:val="21"/>
              </w:rPr>
              <w:t>或ISO45001职业健康安全管理体系认证证书。每提供1个有效认证证书得2分，最高得8分。</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（二）评分依据：</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1.提供有效认证证书；</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2.提供证书官网或权威机构认证信息查询截图（截图需显示证书状态为有效）。相关证书在公开渠道无法查询的，投标人需提供颁发部门或者监管机构的证明材料，证明证书真实有效且为合法机构颁发；</w:t>
            </w:r>
          </w:p>
          <w:p>
            <w:pPr>
              <w:keepNext w:val="0"/>
              <w:keepLines w:val="0"/>
              <w:pageBreakBefore w:val="0"/>
              <w:widowControl/>
              <w:kinsoku/>
              <w:wordWrap/>
              <w:overflowPunct/>
              <w:topLinePunct w:val="0"/>
              <w:bidi w:val="0"/>
              <w:spacing w:line="360" w:lineRule="auto"/>
              <w:jc w:val="left"/>
              <w:textAlignment w:val="auto"/>
              <w:rPr>
                <w:rFonts w:ascii="宋体" w:hAnsi="宋体"/>
                <w:kern w:val="0"/>
                <w:szCs w:val="21"/>
              </w:rPr>
            </w:pPr>
            <w:r>
              <w:rPr>
                <w:rFonts w:hint="eastAsia" w:ascii="宋体" w:hAnsi="宋体"/>
                <w:szCs w:val="21"/>
              </w:rPr>
              <w:t>3. 以上证明文件均提供复印件或扫描件（或官方网站截图）加盖投标人公章，原件备查。对于未提供证明文件，未提供查询记录且无其他证明材料的，或者提供不清晰导致评委无法判断的，均作不得分处理。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hint="eastAsia" w:ascii="宋体" w:hAnsi="宋体" w:cs="仿宋"/>
                <w:szCs w:val="21"/>
              </w:rPr>
              <w:t>2</w:t>
            </w:r>
          </w:p>
        </w:tc>
        <w:tc>
          <w:tcPr>
            <w:tcW w:w="1143"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snapToGrid w:val="0"/>
                <w:kern w:val="0"/>
                <w:szCs w:val="21"/>
              </w:rPr>
            </w:pPr>
            <w:r>
              <w:rPr>
                <w:rFonts w:ascii="宋体" w:hAnsi="宋体"/>
                <w:snapToGrid w:val="0"/>
                <w:kern w:val="0"/>
                <w:szCs w:val="21"/>
              </w:rPr>
              <w:t>6</w:t>
            </w:r>
          </w:p>
        </w:tc>
        <w:tc>
          <w:tcPr>
            <w:tcW w:w="5953" w:type="dxa"/>
            <w:vAlign w:val="center"/>
          </w:tcPr>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（一）评分内容：</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201</w:t>
            </w:r>
            <w:r>
              <w:rPr>
                <w:rFonts w:ascii="宋体" w:hAnsi="宋体"/>
                <w:szCs w:val="21"/>
              </w:rPr>
              <w:t>8</w:t>
            </w:r>
            <w:r>
              <w:rPr>
                <w:rFonts w:hint="eastAsia" w:ascii="宋体" w:hAnsi="宋体"/>
                <w:szCs w:val="21"/>
              </w:rPr>
              <w:t>年1月1日至本项目投标截止日（以合同签订日期为准），投标人具有同类项目（软件开发项目）业绩的，每提供1个项目得</w:t>
            </w:r>
            <w:r>
              <w:rPr>
                <w:rFonts w:ascii="宋体" w:hAnsi="宋体"/>
                <w:szCs w:val="21"/>
              </w:rPr>
              <w:t>3</w:t>
            </w:r>
            <w:r>
              <w:rPr>
                <w:rFonts w:hint="eastAsia" w:ascii="宋体" w:hAnsi="宋体"/>
                <w:szCs w:val="21"/>
              </w:rPr>
              <w:t>分,最高得</w:t>
            </w:r>
            <w:r>
              <w:rPr>
                <w:rFonts w:ascii="宋体" w:hAnsi="宋体"/>
                <w:szCs w:val="21"/>
              </w:rPr>
              <w:t>6</w:t>
            </w:r>
            <w:r>
              <w:rPr>
                <w:rFonts w:hint="eastAsia" w:ascii="宋体" w:hAnsi="宋体"/>
                <w:szCs w:val="21"/>
              </w:rPr>
              <w:t>分。同一项目续签合同的不可重复得分。</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（二）评分依据：</w:t>
            </w:r>
          </w:p>
          <w:p>
            <w:pPr>
              <w:keepNext w:val="0"/>
              <w:keepLines w:val="0"/>
              <w:pageBreakBefore w:val="0"/>
              <w:widowControl/>
              <w:kinsoku/>
              <w:wordWrap/>
              <w:overflowPunct/>
              <w:topLinePunct w:val="0"/>
              <w:bidi w:val="0"/>
              <w:spacing w:line="360" w:lineRule="auto"/>
              <w:jc w:val="left"/>
              <w:textAlignment w:val="auto"/>
              <w:rPr>
                <w:rFonts w:ascii="宋体" w:hAnsi="宋体"/>
                <w:szCs w:val="21"/>
              </w:rPr>
            </w:pPr>
            <w:r>
              <w:rPr>
                <w:rFonts w:hint="eastAsia" w:ascii="宋体" w:hAnsi="宋体"/>
                <w:szCs w:val="21"/>
              </w:rPr>
              <w:t>1.提供合同关键页且提供的材料各项信息不得有任何遮挡，合同需体现签订日期；</w:t>
            </w:r>
          </w:p>
          <w:p>
            <w:pPr>
              <w:keepNext w:val="0"/>
              <w:keepLines w:val="0"/>
              <w:pageBreakBefore w:val="0"/>
              <w:widowControl/>
              <w:kinsoku/>
              <w:wordWrap/>
              <w:overflowPunct/>
              <w:topLinePunct w:val="0"/>
              <w:bidi w:val="0"/>
              <w:spacing w:line="360" w:lineRule="auto"/>
              <w:jc w:val="left"/>
              <w:textAlignment w:val="auto"/>
              <w:rPr>
                <w:rFonts w:ascii="宋体" w:hAnsi="宋体"/>
                <w:b/>
                <w:bCs/>
                <w:kern w:val="0"/>
                <w:szCs w:val="21"/>
              </w:rPr>
            </w:pPr>
            <w:r>
              <w:rPr>
                <w:rFonts w:hint="eastAsia" w:ascii="宋体" w:hAnsi="宋体"/>
                <w:szCs w:val="21"/>
              </w:rPr>
              <w:t>2.以上证明文件均提供复印件或扫描件加盖投标人公章，原件备查。未按要求提供有效证明材料或提供不清晰导致评委无法识别的不计得分。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ascii="宋体" w:hAnsi="宋体" w:cs="仿宋"/>
                <w:szCs w:val="21"/>
                <w:lang w:val="zh-CN"/>
              </w:rPr>
            </w:pPr>
            <w:r>
              <w:rPr>
                <w:rFonts w:ascii="宋体" w:hAnsi="宋体" w:cs="仿宋"/>
                <w:szCs w:val="21"/>
              </w:rPr>
              <w:t>3</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仿宋"/>
                <w:szCs w:val="21"/>
              </w:rPr>
              <w:t>诚信评审</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rPr>
            </w:pPr>
            <w:r>
              <w:rPr>
                <w:rFonts w:hint="eastAsia" w:ascii="宋体" w:hAnsi="宋体" w:cs="仿宋"/>
                <w:szCs w:val="21"/>
              </w:rPr>
              <w:t>5</w:t>
            </w:r>
          </w:p>
        </w:tc>
        <w:tc>
          <w:tcPr>
            <w:tcW w:w="5953" w:type="dxa"/>
            <w:vAlign w:val="center"/>
          </w:tcPr>
          <w:p>
            <w:pPr>
              <w:keepNext w:val="0"/>
              <w:keepLines w:val="0"/>
              <w:pageBreakBefore w:val="0"/>
              <w:tabs>
                <w:tab w:val="left" w:pos="175"/>
              </w:tabs>
              <w:kinsoku/>
              <w:wordWrap/>
              <w:overflowPunct/>
              <w:topLinePunct w:val="0"/>
              <w:bidi w:val="0"/>
              <w:spacing w:line="360" w:lineRule="auto"/>
              <w:ind w:left="33"/>
              <w:jc w:val="left"/>
              <w:textAlignment w:val="auto"/>
              <w:rPr>
                <w:rFonts w:ascii="宋体" w:hAnsi="宋体" w:cs="仿宋"/>
                <w:szCs w:val="21"/>
              </w:rPr>
            </w:pPr>
            <w:r>
              <w:rPr>
                <w:rFonts w:hint="eastAsia" w:ascii="宋体" w:hAnsi="宋体" w:cs="仿宋"/>
                <w:szCs w:val="21"/>
              </w:rPr>
              <w:t>（一）评分内容：</w:t>
            </w:r>
          </w:p>
          <w:p>
            <w:pPr>
              <w:keepNext w:val="0"/>
              <w:keepLines w:val="0"/>
              <w:pageBreakBefore w:val="0"/>
              <w:tabs>
                <w:tab w:val="left" w:pos="175"/>
              </w:tabs>
              <w:kinsoku/>
              <w:wordWrap/>
              <w:overflowPunct/>
              <w:topLinePunct w:val="0"/>
              <w:bidi w:val="0"/>
              <w:spacing w:line="360" w:lineRule="auto"/>
              <w:ind w:left="33"/>
              <w:jc w:val="left"/>
              <w:textAlignment w:val="auto"/>
              <w:rPr>
                <w:rFonts w:ascii="宋体" w:hAnsi="宋体" w:cs="仿宋"/>
                <w:szCs w:val="21"/>
              </w:rPr>
            </w:pPr>
            <w:r>
              <w:rPr>
                <w:rFonts w:hint="eastAsia" w:ascii="宋体" w:hAnsi="宋体" w:cs="仿宋"/>
                <w:szCs w:val="21"/>
              </w:rPr>
              <w:t>投标人参与政府采购活动在诚信管理中受过主管部门通报处理且仍在实施期限内的本项不得分，否则得5分。</w:t>
            </w:r>
          </w:p>
          <w:p>
            <w:pPr>
              <w:keepNext w:val="0"/>
              <w:keepLines w:val="0"/>
              <w:pageBreakBefore w:val="0"/>
              <w:tabs>
                <w:tab w:val="left" w:pos="175"/>
              </w:tabs>
              <w:kinsoku/>
              <w:wordWrap/>
              <w:overflowPunct/>
              <w:topLinePunct w:val="0"/>
              <w:bidi w:val="0"/>
              <w:spacing w:line="360" w:lineRule="auto"/>
              <w:ind w:left="33"/>
              <w:jc w:val="left"/>
              <w:textAlignment w:val="auto"/>
              <w:rPr>
                <w:rFonts w:ascii="宋体" w:hAnsi="宋体" w:cs="仿宋"/>
                <w:szCs w:val="21"/>
              </w:rPr>
            </w:pPr>
            <w:r>
              <w:rPr>
                <w:rFonts w:hint="eastAsia" w:ascii="宋体" w:hAnsi="宋体" w:cs="仿宋"/>
                <w:szCs w:val="21"/>
              </w:rPr>
              <w:t>（二）评分依据：</w:t>
            </w:r>
          </w:p>
          <w:p>
            <w:pPr>
              <w:keepNext w:val="0"/>
              <w:keepLines w:val="0"/>
              <w:pageBreakBefore w:val="0"/>
              <w:tabs>
                <w:tab w:val="left" w:pos="175"/>
              </w:tabs>
              <w:kinsoku/>
              <w:wordWrap/>
              <w:overflowPunct/>
              <w:topLinePunct w:val="0"/>
              <w:bidi w:val="0"/>
              <w:spacing w:line="360" w:lineRule="auto"/>
              <w:ind w:left="33"/>
              <w:jc w:val="left"/>
              <w:textAlignment w:val="auto"/>
              <w:rPr>
                <w:rFonts w:ascii="宋体" w:hAnsi="宋体" w:cs="仿宋"/>
                <w:szCs w:val="21"/>
              </w:rPr>
            </w:pPr>
            <w:r>
              <w:rPr>
                <w:rFonts w:hint="eastAsia" w:ascii="宋体" w:hAnsi="宋体" w:cs="仿宋"/>
                <w:szCs w:val="21"/>
              </w:rPr>
              <w:t>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25" w:name="_Toc44690703"/>
      <w:bookmarkStart w:id="26" w:name="_Toc73613626"/>
      <w:bookmarkStart w:id="27" w:name="_Toc44691162"/>
      <w:bookmarkStart w:id="28" w:name="_Toc44690430"/>
      <w:bookmarkStart w:id="29" w:name="_Toc44691394"/>
      <w:r>
        <w:rPr>
          <w:rFonts w:hint="eastAsia" w:asciiTheme="minorEastAsia" w:hAnsiTheme="minorEastAsia"/>
          <w:bCs w:val="0"/>
          <w:sz w:val="21"/>
          <w:szCs w:val="21"/>
        </w:rPr>
        <w:t>备注：</w:t>
      </w:r>
      <w:bookmarkEnd w:id="25"/>
      <w:bookmarkEnd w:id="26"/>
      <w:bookmarkEnd w:id="27"/>
      <w:bookmarkEnd w:id="28"/>
      <w:bookmarkEnd w:id="29"/>
    </w:p>
    <w:p>
      <w:pPr>
        <w:pStyle w:val="3"/>
        <w:spacing w:before="0" w:after="0"/>
      </w:pPr>
      <w:bookmarkStart w:id="30" w:name="_Toc73613627"/>
      <w:r>
        <w:rPr>
          <w:rFonts w:hint="eastAsia"/>
        </w:rPr>
        <w:t>1、资质证书有效期</w:t>
      </w:r>
      <w:bookmarkEnd w:id="30"/>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31" w:name="_Toc73613628"/>
      <w:r>
        <w:rPr>
          <w:rFonts w:hint="eastAsia" w:asciiTheme="minorEastAsia" w:hAnsiTheme="minorEastAsia" w:eastAsiaTheme="minorEastAsia"/>
        </w:rPr>
        <w:t>2、政府采购优惠政策</w:t>
      </w:r>
      <w:bookmarkEnd w:id="31"/>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p/>
    <w:p>
      <w:pPr>
        <w:pStyle w:val="2"/>
        <w:spacing w:before="0"/>
      </w:pPr>
      <w:bookmarkStart w:id="32" w:name="_Toc73613629"/>
      <w:r>
        <w:rPr>
          <w:rFonts w:hint="eastAsia"/>
        </w:rPr>
        <w:t>第五章  投标人须知前附表</w:t>
      </w:r>
      <w:bookmarkEnd w:id="32"/>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医院微信公众号系统开发和运营服务项目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深圳市龙岗区骨科医院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04</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highlight w:val="yellow"/>
              </w:rPr>
              <w:t>深圳市龙岗区龙西社区添利鑫创业园添利鑫大厦801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04</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2"/>
        <w:spacing w:before="0" w:after="0"/>
        <w:rPr>
          <w:sz w:val="21"/>
          <w:szCs w:val="21"/>
        </w:rPr>
      </w:pPr>
    </w:p>
    <w:p>
      <w:pPr>
        <w:rPr>
          <w:rFonts w:eastAsiaTheme="minorEastAsia"/>
          <w:kern w:val="44"/>
        </w:rPr>
      </w:pPr>
      <w:r>
        <w:rPr>
          <w:szCs w:val="21"/>
        </w:rPr>
        <w:br w:type="page"/>
      </w:r>
    </w:p>
    <w:p>
      <w:pPr>
        <w:pStyle w:val="2"/>
        <w:spacing w:before="0" w:after="0"/>
        <w:rPr>
          <w:sz w:val="21"/>
          <w:szCs w:val="21"/>
        </w:rPr>
      </w:pPr>
    </w:p>
    <w:p>
      <w:pPr>
        <w:pStyle w:val="2"/>
      </w:pPr>
      <w:bookmarkStart w:id="33" w:name="_Toc73613630"/>
      <w:r>
        <w:rPr>
          <w:rFonts w:hint="eastAsia"/>
        </w:rPr>
        <w:t>第六章  投标人须知</w:t>
      </w:r>
      <w:bookmarkEnd w:id="33"/>
    </w:p>
    <w:p>
      <w:pPr>
        <w:pStyle w:val="4"/>
        <w:spacing w:before="0" w:after="0"/>
      </w:pPr>
      <w:bookmarkStart w:id="34" w:name="_Toc73613631"/>
      <w:r>
        <w:rPr>
          <w:rFonts w:hint="eastAsia"/>
        </w:rPr>
        <w:t>一、说</w:t>
      </w:r>
      <w:r>
        <w:t xml:space="preserve">  </w:t>
      </w:r>
      <w:r>
        <w:rPr>
          <w:rFonts w:hint="eastAsia"/>
        </w:rPr>
        <w:t>明</w:t>
      </w:r>
      <w:bookmarkEnd w:id="3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35" w:name="q5"/>
      <w:bookmarkEnd w:id="35"/>
    </w:p>
    <w:p>
      <w:pPr>
        <w:pStyle w:val="4"/>
        <w:spacing w:before="0" w:after="0"/>
      </w:pPr>
      <w:bookmarkStart w:id="36" w:name="_Toc73613632"/>
      <w:r>
        <w:rPr>
          <w:rFonts w:hint="eastAsia"/>
        </w:rPr>
        <w:t>二、招标文件说明</w:t>
      </w:r>
      <w:bookmarkEnd w:id="3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37" w:name="q6"/>
      <w:bookmarkEnd w:id="37"/>
      <w:bookmarkStart w:id="38" w:name="_Toc73613633"/>
      <w:r>
        <w:rPr>
          <w:rFonts w:hint="eastAsia"/>
        </w:rPr>
        <w:t>三、投标文件的编写</w:t>
      </w:r>
      <w:bookmarkEnd w:id="3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（11）招标文件要求的其他资料或投标人认为需要补充的资料（投标文件格式10）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39" w:name="q7"/>
      <w:bookmarkEnd w:id="39"/>
      <w:bookmarkStart w:id="40" w:name="_Toc73613634"/>
      <w:r>
        <w:rPr>
          <w:rFonts w:hint="eastAsia"/>
        </w:rPr>
        <w:t>四、投标文件的递交</w:t>
      </w:r>
      <w:bookmarkEnd w:id="4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41" w:name="_Hlt35050056"/>
      <w:bookmarkEnd w:id="41"/>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42" w:name="q8"/>
      <w:bookmarkEnd w:id="42"/>
      <w:bookmarkStart w:id="43" w:name="_Toc73613635"/>
      <w:r>
        <w:rPr>
          <w:rFonts w:hint="eastAsia"/>
        </w:rPr>
        <w:t>五、开标和评标</w:t>
      </w:r>
      <w:bookmarkEnd w:id="4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44" w:name="q9"/>
      <w:bookmarkEnd w:id="44"/>
    </w:p>
    <w:p>
      <w:pPr>
        <w:pStyle w:val="4"/>
        <w:spacing w:before="0" w:after="0"/>
      </w:pPr>
      <w:bookmarkStart w:id="45" w:name="_Toc73613636"/>
      <w:r>
        <w:rPr>
          <w:rFonts w:hint="eastAsia"/>
        </w:rPr>
        <w:t>六、授予合同</w:t>
      </w:r>
      <w:bookmarkEnd w:id="45"/>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3"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2"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1"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0"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39"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38"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7"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6"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5"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4"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3"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2"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1"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0"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1029"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jc w:val="center"/>
        <w:rPr>
          <w:b/>
          <w:sz w:val="52"/>
          <w:szCs w:val="52"/>
        </w:rPr>
      </w:pPr>
    </w:p>
    <w:p/>
    <w:p/>
    <w:p/>
    <w:p/>
    <w:p/>
    <w:p/>
    <w:p/>
    <w:p/>
    <w:p/>
    <w:p/>
    <w:p/>
    <w:p/>
    <w:p/>
    <w:p>
      <w:pPr>
        <w:widowControl/>
        <w:jc w:val="left"/>
      </w:pPr>
      <w:r>
        <w:br w:type="page"/>
      </w:r>
    </w:p>
    <w:p/>
    <w:p>
      <w:pPr>
        <w:pStyle w:val="2"/>
      </w:pPr>
      <w:bookmarkStart w:id="46" w:name="_Toc73613637"/>
      <w:r>
        <w:rPr>
          <w:rFonts w:hint="eastAsia"/>
        </w:rPr>
        <w:t>第七章  投标文件格式</w:t>
      </w:r>
      <w:bookmarkEnd w:id="46"/>
    </w:p>
    <w:p>
      <w:pPr>
        <w:jc w:val="center"/>
        <w:rPr>
          <w:b/>
          <w:sz w:val="52"/>
          <w:szCs w:val="52"/>
        </w:rPr>
      </w:pPr>
    </w:p>
    <w:p>
      <w:pPr>
        <w:pStyle w:val="4"/>
        <w:spacing w:line="400" w:lineRule="exact"/>
        <w:rPr>
          <w:rFonts w:ascii="仿宋" w:hAnsi="仿宋" w:eastAsia="仿宋"/>
        </w:rPr>
      </w:pPr>
      <w:bookmarkStart w:id="47" w:name="_Toc44691163"/>
      <w:bookmarkStart w:id="48" w:name="_Toc44690431"/>
      <w:bookmarkStart w:id="49" w:name="_Toc11772"/>
      <w:bookmarkStart w:id="50" w:name="_Toc25194"/>
      <w:bookmarkStart w:id="51" w:name="_Toc73613638"/>
      <w:bookmarkStart w:id="52" w:name="_Toc31468"/>
      <w:bookmarkStart w:id="53" w:name="_Toc44690704"/>
      <w:bookmarkStart w:id="54" w:name="_Toc44691395"/>
      <w:bookmarkStart w:id="55" w:name="_Toc14934"/>
      <w:r>
        <w:rPr>
          <w:rFonts w:hint="eastAsia" w:ascii="仿宋" w:hAnsi="仿宋" w:eastAsia="仿宋"/>
        </w:rPr>
        <w:t>投标文件编制说明</w:t>
      </w:r>
      <w:bookmarkEnd w:id="47"/>
      <w:bookmarkEnd w:id="48"/>
      <w:bookmarkEnd w:id="49"/>
      <w:bookmarkEnd w:id="50"/>
      <w:bookmarkEnd w:id="51"/>
      <w:bookmarkEnd w:id="52"/>
      <w:bookmarkEnd w:id="53"/>
      <w:bookmarkEnd w:id="54"/>
      <w:bookmarkEnd w:id="55"/>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56" w:name="_投标文件格式（第一册）"/>
      <w:bookmarkEnd w:id="56"/>
      <w:bookmarkStart w:id="57"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58" w:name="_Toc73613639"/>
      <w:r>
        <w:rPr>
          <w:rFonts w:hint="eastAsia" w:ascii="仿宋" w:hAnsi="仿宋" w:eastAsia="仿宋"/>
        </w:rPr>
        <w:t>投标文件格式</w:t>
      </w:r>
      <w:bookmarkEnd w:id="58"/>
    </w:p>
    <w:bookmarkEnd w:id="57"/>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招标代理机构。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9" w:name="_格式1__投标人资格证明文件"/>
      <w:bookmarkEnd w:id="59"/>
      <w:r>
        <w:br w:type="page"/>
      </w:r>
    </w:p>
    <w:p>
      <w:pPr>
        <w:adjustRightInd w:val="0"/>
        <w:snapToGrid w:val="0"/>
        <w:spacing w:line="300" w:lineRule="auto"/>
        <w:jc w:val="center"/>
      </w:pPr>
    </w:p>
    <w:p>
      <w:pPr>
        <w:pStyle w:val="4"/>
        <w:spacing w:line="400" w:lineRule="exact"/>
        <w:rPr>
          <w:rFonts w:ascii="仿宋" w:hAnsi="仿宋" w:eastAsia="仿宋"/>
        </w:rPr>
      </w:pPr>
      <w:bookmarkStart w:id="60" w:name="_Toc73613640"/>
      <w:r>
        <w:rPr>
          <w:rFonts w:hint="eastAsia" w:ascii="仿宋" w:hAnsi="仿宋" w:eastAsia="仿宋"/>
        </w:rPr>
        <w:t>评标指引表</w:t>
      </w:r>
      <w:bookmarkEnd w:id="6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61" w:name="_Toc44690705"/>
      <w:bookmarkStart w:id="62" w:name="_Toc44691164"/>
      <w:bookmarkStart w:id="63" w:name="_Toc44691396"/>
      <w:bookmarkStart w:id="64" w:name="_Toc44690432"/>
      <w:r>
        <w:rPr>
          <w:rFonts w:hint="eastAsia" w:asciiTheme="minorEastAsia" w:hAnsiTheme="minorEastAsia" w:eastAsiaTheme="minorEastAsia"/>
          <w:sz w:val="24"/>
        </w:rPr>
        <w:t>格式1  投标人资格证明文件</w:t>
      </w:r>
      <w:bookmarkEnd w:id="61"/>
      <w:bookmarkEnd w:id="62"/>
      <w:bookmarkEnd w:id="63"/>
      <w:bookmarkEnd w:id="6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65" w:name="_Toc73613641"/>
      <w:r>
        <w:rPr>
          <w:rFonts w:hint="eastAsia" w:asciiTheme="minorEastAsia" w:hAnsiTheme="minorEastAsia" w:eastAsiaTheme="minorEastAsia"/>
          <w:kern w:val="0"/>
          <w:sz w:val="28"/>
          <w:szCs w:val="28"/>
        </w:rPr>
        <w:t>股东构成审查表</w:t>
      </w:r>
      <w:bookmarkEnd w:id="65"/>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8"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7"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66" w:name="_Toc226217114"/>
      <w:r>
        <w:rPr>
          <w:rFonts w:ascii="宋体"/>
        </w:rPr>
        <w:pict>
          <v:rect id="Rectangle 2" o:spid="_x0000_s1045"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6"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6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Toc44690706"/>
      <w:bookmarkStart w:id="68" w:name="_Toc44691397"/>
      <w:bookmarkStart w:id="69" w:name="_Toc44690433"/>
      <w:bookmarkStart w:id="70" w:name="_Toc44691165"/>
      <w:r>
        <w:rPr>
          <w:rFonts w:hint="eastAsia" w:asciiTheme="minorEastAsia" w:hAnsiTheme="minorEastAsia" w:eastAsiaTheme="minorEastAsia"/>
          <w:sz w:val="24"/>
        </w:rPr>
        <w:t>格式5  开标一览表</w:t>
      </w:r>
      <w:bookmarkEnd w:id="67"/>
      <w:bookmarkEnd w:id="68"/>
      <w:bookmarkEnd w:id="69"/>
      <w:bookmarkEnd w:id="7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医院微信公众号系统开发和运营服务项目</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Toc44690434"/>
      <w:bookmarkStart w:id="72" w:name="_Toc44691166"/>
      <w:bookmarkStart w:id="73" w:name="_Toc44690707"/>
      <w:bookmarkStart w:id="74" w:name="_Toc44691398"/>
      <w:r>
        <w:rPr>
          <w:rFonts w:hint="eastAsia" w:asciiTheme="minorEastAsia" w:hAnsiTheme="minorEastAsia" w:eastAsiaTheme="minorEastAsia"/>
          <w:sz w:val="24"/>
        </w:rPr>
        <w:t>格式6  报价表</w:t>
      </w:r>
      <w:bookmarkEnd w:id="71"/>
      <w:bookmarkEnd w:id="72"/>
      <w:bookmarkEnd w:id="73"/>
      <w:bookmarkEnd w:id="7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5" w:name="_Toc44691399"/>
      <w:bookmarkStart w:id="76" w:name="_Toc44691167"/>
      <w:bookmarkStart w:id="77" w:name="_Toc44690708"/>
      <w:bookmarkStart w:id="78" w:name="_Toc44690435"/>
      <w:r>
        <w:rPr>
          <w:rFonts w:hint="eastAsia" w:asciiTheme="minorEastAsia" w:hAnsiTheme="minorEastAsia" w:eastAsiaTheme="minorEastAsia"/>
          <w:sz w:val="24"/>
        </w:rPr>
        <w:t>格式7  服务方案</w:t>
      </w:r>
      <w:bookmarkEnd w:id="75"/>
      <w:bookmarkEnd w:id="76"/>
      <w:bookmarkEnd w:id="77"/>
      <w:bookmarkEnd w:id="78"/>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1、投标人对本项目的整体方案</w:t>
      </w:r>
    </w:p>
    <w:p>
      <w:pPr>
        <w:spacing w:line="360" w:lineRule="auto"/>
        <w:ind w:firstLine="420" w:firstLineChars="200"/>
        <w:rPr>
          <w:rFonts w:ascii="宋体" w:hAnsi="宋体"/>
          <w:szCs w:val="21"/>
        </w:rPr>
      </w:pPr>
      <w:r>
        <w:rPr>
          <w:rFonts w:hint="eastAsia" w:ascii="宋体" w:hAnsi="宋体"/>
          <w:szCs w:val="21"/>
        </w:rPr>
        <w:t>2、拟投入人员情况：包括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3、投标人认为必要的其他方案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3"/>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9" w:name="_Toc44691168"/>
      <w:bookmarkStart w:id="80" w:name="_Toc44690709"/>
      <w:bookmarkStart w:id="81" w:name="_Toc44690436"/>
      <w:bookmarkStart w:id="82" w:name="_Toc44691400"/>
      <w:r>
        <w:rPr>
          <w:rFonts w:hint="eastAsia" w:asciiTheme="minorEastAsia" w:hAnsiTheme="minorEastAsia" w:eastAsiaTheme="minorEastAsia"/>
          <w:sz w:val="24"/>
        </w:rPr>
        <w:t>格式9  偏离表</w:t>
      </w:r>
      <w:bookmarkEnd w:id="79"/>
      <w:bookmarkEnd w:id="80"/>
      <w:bookmarkEnd w:id="81"/>
      <w:bookmarkEnd w:id="82"/>
    </w:p>
    <w:p>
      <w:pPr>
        <w:adjustRightInd w:val="0"/>
        <w:snapToGrid w:val="0"/>
        <w:spacing w:line="360" w:lineRule="auto"/>
        <w:rPr>
          <w:rFonts w:ascii="宋体" w:hAnsi="宋体"/>
        </w:rPr>
      </w:pPr>
    </w:p>
    <w:p>
      <w:pPr>
        <w:pStyle w:val="6"/>
        <w:numPr>
          <w:ilvl w:val="0"/>
          <w:numId w:val="0"/>
        </w:numPr>
        <w:tabs>
          <w:tab w:val="clear" w:pos="2111"/>
        </w:tabs>
        <w:spacing w:before="120" w:after="120"/>
        <w:rPr>
          <w:rFonts w:asciiTheme="minorEastAsia" w:hAnsiTheme="minorEastAsia" w:eastAsiaTheme="minorEastAsia"/>
          <w:sz w:val="24"/>
        </w:rPr>
      </w:pPr>
    </w:p>
    <w:p>
      <w:pPr>
        <w:adjustRightInd w:val="0"/>
        <w:snapToGrid w:val="0"/>
        <w:spacing w:line="360" w:lineRule="auto"/>
        <w:rPr>
          <w:rFonts w:ascii="宋体" w:hAnsi="宋体"/>
        </w:rPr>
      </w:pPr>
    </w:p>
    <w:p>
      <w:pPr>
        <w:snapToGrid w:val="0"/>
        <w:spacing w:line="360" w:lineRule="auto"/>
        <w:jc w:val="center"/>
        <w:rPr>
          <w:b/>
        </w:rPr>
      </w:pPr>
      <w:r>
        <w:rPr>
          <w:rFonts w:hint="eastAsia"/>
          <w:b/>
        </w:rPr>
        <w:t>服务要求偏离表</w:t>
      </w:r>
    </w:p>
    <w:tbl>
      <w:tblPr>
        <w:tblStyle w:val="50"/>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3058"/>
        <w:gridCol w:w="2693"/>
        <w:gridCol w:w="184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70" w:type="dxa"/>
            <w:vAlign w:val="center"/>
          </w:tcPr>
          <w:p>
            <w:pPr>
              <w:spacing w:line="360" w:lineRule="auto"/>
              <w:jc w:val="center"/>
              <w:rPr>
                <w:rFonts w:ascii="宋体" w:hAnsi="宋体"/>
                <w:szCs w:val="21"/>
              </w:rPr>
            </w:pPr>
            <w:r>
              <w:rPr>
                <w:rFonts w:hint="eastAsia" w:ascii="宋体" w:hAnsi="宋体"/>
                <w:szCs w:val="21"/>
              </w:rPr>
              <w:t>序号</w:t>
            </w:r>
          </w:p>
        </w:tc>
        <w:tc>
          <w:tcPr>
            <w:tcW w:w="3058" w:type="dxa"/>
            <w:vAlign w:val="center"/>
          </w:tcPr>
          <w:p>
            <w:pPr>
              <w:spacing w:line="360" w:lineRule="auto"/>
              <w:jc w:val="center"/>
              <w:rPr>
                <w:rFonts w:ascii="宋体" w:hAnsi="宋体"/>
                <w:szCs w:val="21"/>
              </w:rPr>
            </w:pPr>
            <w:r>
              <w:rPr>
                <w:rFonts w:hint="eastAsia" w:ascii="宋体" w:hAnsi="宋体"/>
                <w:szCs w:val="21"/>
              </w:rPr>
              <w:t>招标服务要求</w:t>
            </w:r>
          </w:p>
        </w:tc>
        <w:tc>
          <w:tcPr>
            <w:tcW w:w="2693" w:type="dxa"/>
            <w:vAlign w:val="center"/>
          </w:tcPr>
          <w:p>
            <w:pPr>
              <w:spacing w:line="360" w:lineRule="auto"/>
              <w:jc w:val="center"/>
              <w:rPr>
                <w:rFonts w:ascii="宋体" w:hAnsi="宋体"/>
                <w:szCs w:val="21"/>
              </w:rPr>
            </w:pPr>
            <w:r>
              <w:rPr>
                <w:rFonts w:hint="eastAsia" w:ascii="宋体" w:hAnsi="宋体"/>
                <w:szCs w:val="21"/>
              </w:rPr>
              <w:t>投标服务响应</w:t>
            </w:r>
          </w:p>
        </w:tc>
        <w:tc>
          <w:tcPr>
            <w:tcW w:w="1843" w:type="dxa"/>
            <w:vAlign w:val="center"/>
          </w:tcPr>
          <w:p>
            <w:pPr>
              <w:spacing w:line="360" w:lineRule="auto"/>
              <w:jc w:val="center"/>
              <w:rPr>
                <w:rFonts w:ascii="宋体" w:hAnsi="宋体"/>
                <w:szCs w:val="21"/>
              </w:rPr>
            </w:pPr>
            <w:r>
              <w:rPr>
                <w:rFonts w:hint="eastAsia" w:ascii="宋体" w:hAnsi="宋体"/>
                <w:szCs w:val="21"/>
              </w:rPr>
              <w:t>偏离情况</w:t>
            </w:r>
          </w:p>
        </w:tc>
        <w:tc>
          <w:tcPr>
            <w:tcW w:w="139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70" w:type="dxa"/>
            <w:vAlign w:val="center"/>
          </w:tcPr>
          <w:p>
            <w:pPr>
              <w:spacing w:line="360" w:lineRule="auto"/>
              <w:jc w:val="center"/>
              <w:rPr>
                <w:rFonts w:ascii="宋体" w:hAnsi="宋体"/>
                <w:szCs w:val="21"/>
              </w:rPr>
            </w:pPr>
          </w:p>
        </w:tc>
        <w:tc>
          <w:tcPr>
            <w:tcW w:w="3058" w:type="dxa"/>
            <w:vAlign w:val="center"/>
          </w:tcPr>
          <w:p>
            <w:pPr>
              <w:spacing w:line="360" w:lineRule="auto"/>
              <w:jc w:val="center"/>
              <w:rPr>
                <w:rFonts w:ascii="宋体" w:hAnsi="宋体"/>
                <w:szCs w:val="21"/>
              </w:rPr>
            </w:pPr>
          </w:p>
        </w:tc>
        <w:tc>
          <w:tcPr>
            <w:tcW w:w="269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139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70" w:type="dxa"/>
            <w:vAlign w:val="center"/>
          </w:tcPr>
          <w:p>
            <w:pPr>
              <w:spacing w:line="360" w:lineRule="auto"/>
              <w:jc w:val="center"/>
              <w:rPr>
                <w:rFonts w:ascii="宋体" w:hAnsi="宋体"/>
                <w:szCs w:val="21"/>
              </w:rPr>
            </w:pPr>
          </w:p>
        </w:tc>
        <w:tc>
          <w:tcPr>
            <w:tcW w:w="3058" w:type="dxa"/>
            <w:vAlign w:val="center"/>
          </w:tcPr>
          <w:p>
            <w:pPr>
              <w:spacing w:line="360" w:lineRule="auto"/>
              <w:jc w:val="center"/>
              <w:rPr>
                <w:rFonts w:ascii="宋体" w:hAnsi="宋体"/>
                <w:szCs w:val="21"/>
              </w:rPr>
            </w:pPr>
          </w:p>
        </w:tc>
        <w:tc>
          <w:tcPr>
            <w:tcW w:w="269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p>
        </w:tc>
        <w:tc>
          <w:tcPr>
            <w:tcW w:w="1395"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招标服务要求</w:t>
      </w:r>
      <w:r>
        <w:rPr>
          <w:rFonts w:hint="eastAsia" w:ascii="宋体" w:hAnsi="宋体" w:cs="Arial"/>
          <w:bCs/>
          <w:szCs w:val="21"/>
        </w:rPr>
        <w:t>”一栏逐一列出招标文件第二章《项目需求》中“</w:t>
      </w:r>
      <w:r>
        <w:rPr>
          <w:rFonts w:hint="eastAsia" w:ascii="宋体" w:hAnsi="宋体" w:cs="Arial"/>
          <w:b/>
          <w:bCs/>
          <w:szCs w:val="21"/>
        </w:rPr>
        <w:t>二、项目</w:t>
      </w:r>
      <w:r>
        <w:rPr>
          <w:rFonts w:hint="eastAsia" w:ascii="宋体" w:hAnsi="宋体"/>
          <w:b/>
          <w:bCs/>
          <w:snapToGrid w:val="0"/>
          <w:szCs w:val="21"/>
        </w:rPr>
        <w:t>服务要求</w:t>
      </w:r>
      <w:r>
        <w:rPr>
          <w:rFonts w:hint="eastAsia" w:ascii="宋体" w:hAnsi="宋体" w:cs="Arial"/>
          <w:bCs/>
          <w:szCs w:val="21"/>
        </w:rPr>
        <w:t>”的内容；“</w:t>
      </w:r>
      <w:r>
        <w:rPr>
          <w:rFonts w:hint="eastAsia" w:ascii="宋体" w:hAnsi="宋体"/>
          <w:szCs w:val="21"/>
        </w:rPr>
        <w:t>投标服务响应</w:t>
      </w:r>
      <w:r>
        <w:rPr>
          <w:rFonts w:hint="eastAsia" w:ascii="宋体" w:hAnsi="宋体" w:cs="Arial"/>
          <w:bCs/>
          <w:szCs w:val="21"/>
        </w:rPr>
        <w:t>”一栏应填写具体响应情况。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Theme="minorEastAsia" w:hAnsiTheme="minorEastAsia" w:eastAsiaTheme="minorEastAsia"/>
          <w:szCs w:val="21"/>
        </w:rPr>
        <w:t>★条款为不可负偏离条款，投标文件响应为“负偏离”的，投标文件将按无效投标处理。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招标文件第二章《项目需求》中“二、项目</w:t>
      </w:r>
      <w:r>
        <w:rPr>
          <w:rFonts w:hint="eastAsia" w:ascii="宋体" w:hAnsi="宋体"/>
          <w:b/>
          <w:bCs/>
          <w:snapToGrid w:val="0"/>
          <w:szCs w:val="21"/>
        </w:rPr>
        <w:t>服务要求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投标人应在“说明”一栏中列出技术参数的证明资料名称，并注明该证明资料在投标文件中的具体位置。未要求提供相应证明材料的，投标人可以不提供。</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三、项目商务要求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p>
    <w:p>
      <w:pPr>
        <w:spacing w:line="400" w:lineRule="exact"/>
        <w:ind w:firstLine="420" w:firstLineChars="200"/>
      </w:pPr>
      <w:r>
        <w:rPr>
          <w:rFonts w:hint="eastAsia" w:asciiTheme="minorEastAsia" w:hAnsiTheme="minorEastAsia" w:eastAsiaTheme="minorEastAsia"/>
          <w:szCs w:val="21"/>
        </w:rPr>
        <w:t>3、★条款为不可负偏离条款，投标文件响应为“负偏离”的，投标文件将按无效投标处理。</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jc w:val="right"/>
        <w:rPr>
          <w:snapToGrid w:val="0"/>
          <w:kern w:val="0"/>
        </w:rPr>
      </w:pPr>
      <w:r>
        <w:rPr>
          <w:rFonts w:hint="eastAsia"/>
          <w:snapToGrid w:val="0"/>
          <w:kern w:val="0"/>
        </w:rPr>
        <w:t>年    月   日</w:t>
      </w:r>
    </w:p>
    <w:p>
      <w:pPr>
        <w:wordWrap w:val="0"/>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83" w:name="q15"/>
      <w:bookmarkEnd w:id="83"/>
      <w:bookmarkStart w:id="84" w:name="_格式5__"/>
      <w:bookmarkEnd w:id="84"/>
      <w:bookmarkStart w:id="85" w:name="q16"/>
      <w:bookmarkEnd w:id="85"/>
      <w:bookmarkStart w:id="86" w:name="q17"/>
      <w:bookmarkEnd w:id="86"/>
      <w:bookmarkStart w:id="87" w:name="_格式4__"/>
      <w:bookmarkEnd w:id="87"/>
      <w:bookmarkStart w:id="88" w:name="_格式2__投标保证金凭证"/>
      <w:bookmarkEnd w:id="88"/>
      <w:bookmarkStart w:id="89" w:name="_格式3__"/>
      <w:bookmarkEnd w:id="89"/>
      <w:r>
        <w:rPr>
          <w:rFonts w:asciiTheme="minorEastAsia" w:hAnsiTheme="minorEastAsia" w:eastAsiaTheme="minorEastAsia"/>
          <w:sz w:val="24"/>
        </w:rPr>
        <w:tab/>
      </w:r>
      <w:bookmarkStart w:id="90" w:name="_Toc44691401"/>
      <w:bookmarkStart w:id="91" w:name="_Toc44691169"/>
      <w:bookmarkStart w:id="92" w:name="_Toc44690710"/>
      <w:bookmarkStart w:id="93" w:name="_Toc44690437"/>
      <w:r>
        <w:rPr>
          <w:rFonts w:hint="eastAsia" w:asciiTheme="minorEastAsia" w:hAnsiTheme="minorEastAsia" w:eastAsiaTheme="minorEastAsia"/>
          <w:sz w:val="24"/>
        </w:rPr>
        <w:t xml:space="preserve">格式10  </w:t>
      </w:r>
      <w:bookmarkEnd w:id="90"/>
      <w:bookmarkEnd w:id="91"/>
      <w:bookmarkEnd w:id="92"/>
      <w:bookmarkEnd w:id="93"/>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pPr>
      <w:bookmarkStart w:id="94" w:name="_Toc7361364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5" w:name="_Toc73610161"/>
      <w:bookmarkStart w:id="96" w:name="_Toc73613643"/>
      <w:r>
        <w:rPr>
          <w:rFonts w:hint="eastAsia"/>
        </w:rPr>
        <w:t>第九章  附件</w:t>
      </w:r>
      <w:bookmarkEnd w:id="95"/>
      <w:bookmarkEnd w:id="96"/>
    </w:p>
    <w:p>
      <w:pPr>
        <w:pStyle w:val="3"/>
        <w:spacing w:before="0" w:after="0"/>
        <w:jc w:val="center"/>
      </w:pPr>
      <w:bookmarkStart w:id="97" w:name="_Toc73613644"/>
      <w:bookmarkStart w:id="98" w:name="_Toc73610162"/>
      <w:r>
        <w:rPr>
          <w:rFonts w:hint="eastAsia"/>
        </w:rPr>
        <w:t>一、财政部 工业和信息化部关于印发《政府采购促进中小企业发展管理办法》的通知</w:t>
      </w:r>
      <w:bookmarkEnd w:id="97"/>
      <w:bookmarkEnd w:id="9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99" w:name="_Toc73613645"/>
      <w:bookmarkStart w:id="100" w:name="_Toc73610163"/>
      <w:r>
        <w:rPr>
          <w:rFonts w:hint="eastAsia"/>
        </w:rPr>
        <w:t>二、关于印发中小企业划型标准规定的通知</w:t>
      </w:r>
      <w:bookmarkEnd w:id="99"/>
      <w:bookmarkEnd w:id="100"/>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101" w:name="_Toc73613646"/>
      <w:bookmarkStart w:id="102"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101"/>
      <w:bookmarkEnd w:id="102"/>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103" w:name="_Toc73610165"/>
      <w:bookmarkStart w:id="104" w:name="_Toc73613647"/>
      <w:r>
        <w:rPr>
          <w:rFonts w:hint="eastAsia"/>
        </w:rPr>
        <w:t>四、</w:t>
      </w:r>
      <w:r>
        <w:t>财政部 民政部 中国残疾人联合会关于促进残疾人就业 政府采购政策的通知</w:t>
      </w:r>
      <w:bookmarkEnd w:id="103"/>
      <w:bookmarkEnd w:id="104"/>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21</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u w:val="single"/>
      </w:rPr>
    </w:pPr>
    <w:r>
      <w:tab/>
    </w:r>
    <w:r>
      <w:rPr>
        <w:rFonts w:hint="eastAsia"/>
        <w:u w:val="single"/>
      </w:rPr>
      <w:t>项目名称：</w:t>
    </w:r>
    <w:r>
      <w:rPr>
        <w:rFonts w:hint="eastAsia" w:asciiTheme="minorEastAsia" w:hAnsiTheme="minorEastAsia" w:eastAsiaTheme="minorEastAsia"/>
        <w:u w:val="single"/>
      </w:rPr>
      <w:t xml:space="preserve">医院微信公众号系统开发和运营服务项目        </w:t>
    </w:r>
    <w:r>
      <w:rPr>
        <w:rFonts w:hint="eastAsia"/>
        <w:u w:val="single"/>
      </w:rPr>
      <w:t xml:space="preserve">                       项目编号：</w:t>
    </w:r>
    <w:r>
      <w:rPr>
        <w:rFonts w:hint="eastAsia" w:asciiTheme="minorEastAsia" w:hAnsiTheme="minorEastAsia" w:eastAsiaTheme="minorEastAsia"/>
        <w:u w:val="single"/>
      </w:rPr>
      <w:t>SZZZ2021-QC0402</w:t>
    </w:r>
    <w:r>
      <w:rPr>
        <w:u w:val="single"/>
      </w:rPr>
      <w:tab/>
    </w:r>
    <w:r>
      <w:rPr>
        <w:rFonts w:hint="eastAsia"/>
      </w:rPr>
      <w:t xml:space="preserve">                                                            </w:t>
    </w: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562"/>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66B"/>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CE4"/>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098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1C9"/>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640"/>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1E7"/>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D7"/>
    <w:rsid w:val="00553F48"/>
    <w:rsid w:val="0055408C"/>
    <w:rsid w:val="00555289"/>
    <w:rsid w:val="00557BE8"/>
    <w:rsid w:val="00560452"/>
    <w:rsid w:val="0056097F"/>
    <w:rsid w:val="00560E39"/>
    <w:rsid w:val="005618E0"/>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B0942"/>
    <w:rsid w:val="005B15EF"/>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662"/>
    <w:rsid w:val="00603B00"/>
    <w:rsid w:val="00604586"/>
    <w:rsid w:val="00604A3E"/>
    <w:rsid w:val="00604E98"/>
    <w:rsid w:val="00604FB6"/>
    <w:rsid w:val="00605593"/>
    <w:rsid w:val="00607D49"/>
    <w:rsid w:val="00607E9C"/>
    <w:rsid w:val="00610586"/>
    <w:rsid w:val="00610A0E"/>
    <w:rsid w:val="00610D9A"/>
    <w:rsid w:val="00611ED2"/>
    <w:rsid w:val="00613239"/>
    <w:rsid w:val="006133AF"/>
    <w:rsid w:val="00614D9F"/>
    <w:rsid w:val="00615CF7"/>
    <w:rsid w:val="0061600A"/>
    <w:rsid w:val="00616037"/>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4C7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955"/>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04C"/>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826"/>
    <w:rsid w:val="00AD72BC"/>
    <w:rsid w:val="00AD79BF"/>
    <w:rsid w:val="00AD7C84"/>
    <w:rsid w:val="00AE07E1"/>
    <w:rsid w:val="00AE1D52"/>
    <w:rsid w:val="00AE2133"/>
    <w:rsid w:val="00AE28B1"/>
    <w:rsid w:val="00AE2AD5"/>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48F"/>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32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3E6"/>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BB7"/>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77B"/>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69B"/>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A45"/>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6D3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473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173377"/>
    <w:rsid w:val="05C87DB9"/>
    <w:rsid w:val="06D41513"/>
    <w:rsid w:val="07A32DA5"/>
    <w:rsid w:val="0961739E"/>
    <w:rsid w:val="098E6083"/>
    <w:rsid w:val="0AD478A0"/>
    <w:rsid w:val="0B205B2B"/>
    <w:rsid w:val="0B782559"/>
    <w:rsid w:val="0B842F15"/>
    <w:rsid w:val="0D566BC9"/>
    <w:rsid w:val="0D590418"/>
    <w:rsid w:val="0E180322"/>
    <w:rsid w:val="0E8C4995"/>
    <w:rsid w:val="0EF27BFB"/>
    <w:rsid w:val="0F450A1B"/>
    <w:rsid w:val="0FBC50EF"/>
    <w:rsid w:val="10296E30"/>
    <w:rsid w:val="10425AEA"/>
    <w:rsid w:val="10E75C62"/>
    <w:rsid w:val="110F243E"/>
    <w:rsid w:val="115F3FD7"/>
    <w:rsid w:val="116758B9"/>
    <w:rsid w:val="11A259DD"/>
    <w:rsid w:val="120474A0"/>
    <w:rsid w:val="13102ABE"/>
    <w:rsid w:val="14BE4C4A"/>
    <w:rsid w:val="156351AF"/>
    <w:rsid w:val="15D60646"/>
    <w:rsid w:val="15EF1D1E"/>
    <w:rsid w:val="167D280D"/>
    <w:rsid w:val="16977A43"/>
    <w:rsid w:val="17047766"/>
    <w:rsid w:val="17935895"/>
    <w:rsid w:val="17F52C18"/>
    <w:rsid w:val="184530EF"/>
    <w:rsid w:val="19227A4B"/>
    <w:rsid w:val="197C6E5B"/>
    <w:rsid w:val="19E27916"/>
    <w:rsid w:val="19F84395"/>
    <w:rsid w:val="1B3E182A"/>
    <w:rsid w:val="1B4B5195"/>
    <w:rsid w:val="1C174C6F"/>
    <w:rsid w:val="1C7C020D"/>
    <w:rsid w:val="1C8F78BA"/>
    <w:rsid w:val="1C9B0D84"/>
    <w:rsid w:val="1CDD3F3B"/>
    <w:rsid w:val="1D4D6869"/>
    <w:rsid w:val="1EE43BB1"/>
    <w:rsid w:val="1F454D13"/>
    <w:rsid w:val="21760101"/>
    <w:rsid w:val="218918C1"/>
    <w:rsid w:val="225B045D"/>
    <w:rsid w:val="225D3992"/>
    <w:rsid w:val="22B25284"/>
    <w:rsid w:val="22C07D9F"/>
    <w:rsid w:val="23056CBA"/>
    <w:rsid w:val="234C1E42"/>
    <w:rsid w:val="23C6059E"/>
    <w:rsid w:val="23C95079"/>
    <w:rsid w:val="24031A53"/>
    <w:rsid w:val="24307C26"/>
    <w:rsid w:val="248E5D4C"/>
    <w:rsid w:val="24C47897"/>
    <w:rsid w:val="24E337F8"/>
    <w:rsid w:val="25215AF0"/>
    <w:rsid w:val="258D3B57"/>
    <w:rsid w:val="262336EE"/>
    <w:rsid w:val="269E4C0C"/>
    <w:rsid w:val="27024D1A"/>
    <w:rsid w:val="284637DE"/>
    <w:rsid w:val="28523534"/>
    <w:rsid w:val="28BB3C7D"/>
    <w:rsid w:val="29547739"/>
    <w:rsid w:val="2A3F1ACF"/>
    <w:rsid w:val="2AA6567B"/>
    <w:rsid w:val="2AD85037"/>
    <w:rsid w:val="2BD0253B"/>
    <w:rsid w:val="2C444480"/>
    <w:rsid w:val="2C564DC3"/>
    <w:rsid w:val="2D0F2378"/>
    <w:rsid w:val="2D33376F"/>
    <w:rsid w:val="2D6C141D"/>
    <w:rsid w:val="2E8C5377"/>
    <w:rsid w:val="2EB64B4B"/>
    <w:rsid w:val="2EDB590A"/>
    <w:rsid w:val="2EF57020"/>
    <w:rsid w:val="2F0A29E3"/>
    <w:rsid w:val="2F9F1E5D"/>
    <w:rsid w:val="30817D6A"/>
    <w:rsid w:val="315274C4"/>
    <w:rsid w:val="3157114E"/>
    <w:rsid w:val="31EE268C"/>
    <w:rsid w:val="31F2037F"/>
    <w:rsid w:val="329B11F6"/>
    <w:rsid w:val="32F2059B"/>
    <w:rsid w:val="336E087E"/>
    <w:rsid w:val="33C3087D"/>
    <w:rsid w:val="340919FB"/>
    <w:rsid w:val="34274F41"/>
    <w:rsid w:val="35961B12"/>
    <w:rsid w:val="35EF6503"/>
    <w:rsid w:val="364523AD"/>
    <w:rsid w:val="364D3FA1"/>
    <w:rsid w:val="36700D38"/>
    <w:rsid w:val="36C4673D"/>
    <w:rsid w:val="36CB6401"/>
    <w:rsid w:val="36E52C7B"/>
    <w:rsid w:val="37B10B63"/>
    <w:rsid w:val="37CD0F81"/>
    <w:rsid w:val="37D17C49"/>
    <w:rsid w:val="38950836"/>
    <w:rsid w:val="390721D7"/>
    <w:rsid w:val="393B510C"/>
    <w:rsid w:val="393F4767"/>
    <w:rsid w:val="39A97E97"/>
    <w:rsid w:val="39B97522"/>
    <w:rsid w:val="39BC2AB4"/>
    <w:rsid w:val="39C078A7"/>
    <w:rsid w:val="3A260C29"/>
    <w:rsid w:val="3AD073B5"/>
    <w:rsid w:val="3B57268D"/>
    <w:rsid w:val="3B6176CE"/>
    <w:rsid w:val="3BF9504C"/>
    <w:rsid w:val="3C3E0EF2"/>
    <w:rsid w:val="3CA06A1E"/>
    <w:rsid w:val="3CF11603"/>
    <w:rsid w:val="3D2968CC"/>
    <w:rsid w:val="3D7507FB"/>
    <w:rsid w:val="3E186F85"/>
    <w:rsid w:val="3EA34F1D"/>
    <w:rsid w:val="3EB5127A"/>
    <w:rsid w:val="3EFC1CA2"/>
    <w:rsid w:val="3F503E5E"/>
    <w:rsid w:val="3FC16214"/>
    <w:rsid w:val="4026093F"/>
    <w:rsid w:val="41576FF8"/>
    <w:rsid w:val="41846D2A"/>
    <w:rsid w:val="418D51FA"/>
    <w:rsid w:val="41D9164E"/>
    <w:rsid w:val="41DD521D"/>
    <w:rsid w:val="423B7022"/>
    <w:rsid w:val="4389060E"/>
    <w:rsid w:val="43C8028A"/>
    <w:rsid w:val="43D51667"/>
    <w:rsid w:val="443B2C25"/>
    <w:rsid w:val="445E528A"/>
    <w:rsid w:val="448421F1"/>
    <w:rsid w:val="454C687F"/>
    <w:rsid w:val="45D37D9B"/>
    <w:rsid w:val="48194FD5"/>
    <w:rsid w:val="484514CB"/>
    <w:rsid w:val="48B30754"/>
    <w:rsid w:val="48C86EE1"/>
    <w:rsid w:val="493E77B1"/>
    <w:rsid w:val="49FA6EF8"/>
    <w:rsid w:val="4A784961"/>
    <w:rsid w:val="4ACF3A3C"/>
    <w:rsid w:val="4AF73EDA"/>
    <w:rsid w:val="4B1700DF"/>
    <w:rsid w:val="4B525ACA"/>
    <w:rsid w:val="4B5772D8"/>
    <w:rsid w:val="4B5D0306"/>
    <w:rsid w:val="4C273050"/>
    <w:rsid w:val="4DB220EA"/>
    <w:rsid w:val="4DEA77E2"/>
    <w:rsid w:val="4F0F6A19"/>
    <w:rsid w:val="50170DA0"/>
    <w:rsid w:val="51D10A66"/>
    <w:rsid w:val="528A390F"/>
    <w:rsid w:val="528C6991"/>
    <w:rsid w:val="52C3297B"/>
    <w:rsid w:val="54054633"/>
    <w:rsid w:val="540605E4"/>
    <w:rsid w:val="547F0032"/>
    <w:rsid w:val="54A02A20"/>
    <w:rsid w:val="55BE7628"/>
    <w:rsid w:val="55C87B3E"/>
    <w:rsid w:val="56E26E8E"/>
    <w:rsid w:val="57CB6A8E"/>
    <w:rsid w:val="58D67D8C"/>
    <w:rsid w:val="58E10577"/>
    <w:rsid w:val="59165EF7"/>
    <w:rsid w:val="59702A12"/>
    <w:rsid w:val="59993A04"/>
    <w:rsid w:val="5A3C427A"/>
    <w:rsid w:val="5AED2A9C"/>
    <w:rsid w:val="5AF0740D"/>
    <w:rsid w:val="5BC746C9"/>
    <w:rsid w:val="5BFB7AB4"/>
    <w:rsid w:val="5C3A0B24"/>
    <w:rsid w:val="5CC61F72"/>
    <w:rsid w:val="5CF206F7"/>
    <w:rsid w:val="5D811F83"/>
    <w:rsid w:val="5EA0340D"/>
    <w:rsid w:val="5ED66C3C"/>
    <w:rsid w:val="5F73472A"/>
    <w:rsid w:val="5FDD643B"/>
    <w:rsid w:val="60BA3E42"/>
    <w:rsid w:val="6194383B"/>
    <w:rsid w:val="61CB5375"/>
    <w:rsid w:val="61CC1044"/>
    <w:rsid w:val="623348CA"/>
    <w:rsid w:val="62947902"/>
    <w:rsid w:val="62C42703"/>
    <w:rsid w:val="64F35C91"/>
    <w:rsid w:val="65CA685B"/>
    <w:rsid w:val="65CF34A7"/>
    <w:rsid w:val="65F660EF"/>
    <w:rsid w:val="6673798C"/>
    <w:rsid w:val="673905B6"/>
    <w:rsid w:val="681C3942"/>
    <w:rsid w:val="68460AAC"/>
    <w:rsid w:val="68AC1CFE"/>
    <w:rsid w:val="68C82564"/>
    <w:rsid w:val="68CB0FFA"/>
    <w:rsid w:val="69E740BB"/>
    <w:rsid w:val="6ACE6765"/>
    <w:rsid w:val="6B1C2615"/>
    <w:rsid w:val="6BCD1DE6"/>
    <w:rsid w:val="6C505023"/>
    <w:rsid w:val="6C854EF7"/>
    <w:rsid w:val="6D14299F"/>
    <w:rsid w:val="6D672A1E"/>
    <w:rsid w:val="6DC237D1"/>
    <w:rsid w:val="6EDF1A0D"/>
    <w:rsid w:val="6F40725E"/>
    <w:rsid w:val="711172CF"/>
    <w:rsid w:val="71357A5C"/>
    <w:rsid w:val="713B78E3"/>
    <w:rsid w:val="71FD54DD"/>
    <w:rsid w:val="72A13EA4"/>
    <w:rsid w:val="73C63E4C"/>
    <w:rsid w:val="73E85653"/>
    <w:rsid w:val="7410294D"/>
    <w:rsid w:val="74CB6D33"/>
    <w:rsid w:val="74F12F9F"/>
    <w:rsid w:val="75140738"/>
    <w:rsid w:val="76763F61"/>
    <w:rsid w:val="768823A5"/>
    <w:rsid w:val="769851DA"/>
    <w:rsid w:val="76D71644"/>
    <w:rsid w:val="776C2FB6"/>
    <w:rsid w:val="787837BE"/>
    <w:rsid w:val="78E23DD4"/>
    <w:rsid w:val="79982284"/>
    <w:rsid w:val="7998662D"/>
    <w:rsid w:val="79C70E5A"/>
    <w:rsid w:val="7A214220"/>
    <w:rsid w:val="7A8C5878"/>
    <w:rsid w:val="7B3B3ED8"/>
    <w:rsid w:val="7B471854"/>
    <w:rsid w:val="7BAF2A2F"/>
    <w:rsid w:val="7C552333"/>
    <w:rsid w:val="7CA86C55"/>
    <w:rsid w:val="7CBD22CE"/>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qFormat/>
    <w:uiPriority w:val="0"/>
    <w:rPr>
      <w:kern w:val="2"/>
      <w:sz w:val="18"/>
      <w:szCs w:val="18"/>
    </w:rPr>
  </w:style>
  <w:style w:type="character" w:customStyle="1" w:styleId="464">
    <w:name w:val="正文首行缩进（绿盟科技） Char"/>
    <w:link w:val="465"/>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1级列项"/>
    <w:basedOn w:val="1"/>
    <w:uiPriority w:val="0"/>
    <w:pPr>
      <w:tabs>
        <w:tab w:val="left" w:pos="840"/>
      </w:tabs>
      <w:spacing w:line="480" w:lineRule="exact"/>
      <w:ind w:left="840" w:hanging="360"/>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DDD79-0D35-4E96-80BB-8844B191AAF0}">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65</Pages>
  <Words>7139</Words>
  <Characters>40695</Characters>
  <Lines>339</Lines>
  <Paragraphs>95</Paragraphs>
  <TotalTime>15</TotalTime>
  <ScaleCrop>false</ScaleCrop>
  <LinksUpToDate>false</LinksUpToDate>
  <CharactersWithSpaces>47739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2021-12-23T08:38:28Z</dcterms:modified>
  <dc:title>招标编号：UHO2010-G0029</dc:title>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E7EFCA99BA2A42C1A83BB3F37221F387</vt:lpwstr>
  </property>
</Properties>
</file>