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食堂家具采购项目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项目编号：SZZZ2021-QA0372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二〇二二年一月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bookmarkStart w:id="87" w:name="_GoBack"/>
          <w:bookmarkEnd w:id="87"/>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
      <w:pPr>
        <w:pStyle w:val="3"/>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食堂家具采购项目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24</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SZZZ2021-QA0372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2、项目名称：食堂家具采购项目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65.859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65.859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食堂家具采购项目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7、合同履行期限：合同签订后30日</w:t>
      </w:r>
      <w:r>
        <w:rPr>
          <w:rFonts w:hint="eastAsia" w:ascii="宋体" w:hAnsi="宋体" w:eastAsia="宋体"/>
          <w:snapToGrid w:val="0"/>
          <w:color w:val="auto"/>
          <w:sz w:val="21"/>
          <w:szCs w:val="21"/>
          <w:lang w:val="en-US" w:eastAsia="zh-CN"/>
        </w:rPr>
        <w:t>历日</w:t>
      </w:r>
      <w:r>
        <w:rPr>
          <w:rFonts w:hint="eastAsia" w:ascii="宋体" w:hAnsi="宋体" w:eastAsia="宋体"/>
          <w:snapToGrid w:val="0"/>
          <w:color w:val="auto"/>
          <w:sz w:val="21"/>
          <w:szCs w:val="21"/>
        </w:rPr>
        <w:t>内。</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日至202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深圳市儿童医院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sz w:val="21"/>
          <w:szCs w:val="21"/>
          <w:shd w:val="clear" w:color="auto" w:fill="FFFFFF"/>
        </w:rPr>
        <w:t>广东省深圳市福田区益田路</w:t>
      </w:r>
      <w:r>
        <w:rPr>
          <w:rFonts w:hint="eastAsia" w:ascii="Arial" w:hAnsi="Arial" w:eastAsia="Arial" w:cs="Arial"/>
          <w:sz w:val="21"/>
          <w:szCs w:val="21"/>
          <w:shd w:val="clear" w:color="auto" w:fill="FFFFFF"/>
        </w:rPr>
        <w:t>7019</w:t>
      </w:r>
      <w:r>
        <w:rPr>
          <w:rFonts w:hint="eastAsia" w:ascii="宋体" w:hAnsi="宋体" w:eastAsia="宋体" w:cs="宋体"/>
          <w:sz w:val="21"/>
          <w:szCs w:val="21"/>
          <w:shd w:val="clear" w:color="auto" w:fill="FFFFFF"/>
        </w:rPr>
        <w:t>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联系方式：杨工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2</w:t>
      </w:r>
      <w:r>
        <w:rPr>
          <w:rFonts w:ascii="宋体" w:hAnsi="宋体"/>
          <w:snapToGrid w:val="0"/>
          <w:kern w:val="0"/>
          <w:sz w:val="24"/>
        </w:rPr>
        <w:t>年</w:t>
      </w:r>
      <w:r>
        <w:rPr>
          <w:rFonts w:hint="eastAsia" w:ascii="宋体" w:hAnsi="宋体"/>
          <w:snapToGrid w:val="0"/>
          <w:kern w:val="0"/>
          <w:sz w:val="24"/>
        </w:rPr>
        <w:t>1</w:t>
      </w:r>
      <w:r>
        <w:rPr>
          <w:rFonts w:ascii="宋体" w:hAnsi="宋体"/>
          <w:snapToGrid w:val="0"/>
          <w:kern w:val="0"/>
          <w:sz w:val="24"/>
        </w:rPr>
        <w:t>月</w:t>
      </w:r>
      <w:r>
        <w:rPr>
          <w:rFonts w:hint="eastAsia" w:ascii="宋体" w:hAnsi="宋体"/>
          <w:snapToGrid w:val="0"/>
          <w:kern w:val="0"/>
          <w:sz w:val="24"/>
          <w:lang w:val="en-US" w:eastAsia="zh-CN"/>
        </w:rPr>
        <w:t>10</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食堂家具采购项目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cs="宋体" w:asciiTheme="minorEastAsia" w:hAnsiTheme="minorEastAsia" w:eastAsiaTheme="minorEastAsia"/>
                <w:bCs/>
                <w:kern w:val="0"/>
                <w:szCs w:val="21"/>
              </w:rPr>
            </w:pPr>
            <w:r>
              <w:rPr>
                <w:rFonts w:hint="eastAsia" w:asciiTheme="minorEastAsia" w:hAnsiTheme="minorEastAsia" w:eastAsiaTheme="minorEastAsia"/>
                <w:szCs w:val="21"/>
              </w:rPr>
              <w:t>658,590.00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lang w:eastAsia="en-US"/>
              </w:rPr>
              <w:t>方形餐桌</w:t>
            </w:r>
            <w:r>
              <w:rPr>
                <w:rFonts w:hint="eastAsia"/>
                <w:lang w:val="en-US" w:eastAsia="zh-CN"/>
              </w:rPr>
              <w:t>1</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31</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lang w:eastAsia="en-US"/>
              </w:rPr>
              <w:t>方形餐桌</w:t>
            </w:r>
            <w:r>
              <w:rPr>
                <w:rFonts w:hint="eastAsia"/>
                <w:lang w:val="en-US" w:eastAsia="zh-CN"/>
              </w:rPr>
              <w:t>2</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7</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3969" w:type="dxa"/>
            <w:vAlign w:val="center"/>
          </w:tcPr>
          <w:p>
            <w:pPr>
              <w:widowControl/>
              <w:spacing w:line="360" w:lineRule="auto"/>
              <w:jc w:val="center"/>
              <w:rPr>
                <w:rFonts w:ascii="宋体" w:hAnsi="宋体" w:cs="宋体"/>
                <w:kern w:val="0"/>
                <w:szCs w:val="21"/>
              </w:rPr>
            </w:pPr>
            <w:r>
              <w:rPr>
                <w:rFonts w:ascii="宋体" w:hAnsi="宋体" w:cs="宋体"/>
                <w:kern w:val="0"/>
                <w:szCs w:val="21"/>
              </w:rPr>
              <w:t>圆</w:t>
            </w:r>
            <w:r>
              <w:rPr>
                <w:rFonts w:ascii="宋体" w:hAnsi="宋体" w:cs="宋体"/>
                <w:kern w:val="0"/>
                <w:szCs w:val="21"/>
                <w:lang w:eastAsia="en-US"/>
              </w:rPr>
              <w:t>形餐桌</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4</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lang w:eastAsia="en-US"/>
              </w:rPr>
              <w:t>方形餐桌</w:t>
            </w:r>
            <w:r>
              <w:rPr>
                <w:rFonts w:hint="eastAsia"/>
                <w:lang w:val="en-US" w:eastAsia="zh-CN"/>
              </w:rPr>
              <w:t>3</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5</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lang w:eastAsia="en-US"/>
              </w:rPr>
              <w:t>餐桌</w:t>
            </w:r>
            <w:r>
              <w:rPr>
                <w:rFonts w:hint="eastAsia"/>
                <w:lang w:val="en-US" w:eastAsia="zh-CN"/>
              </w:rPr>
              <w:t>1</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2</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rPr>
              <w:t>餐椅</w:t>
            </w:r>
            <w:r>
              <w:rPr>
                <w:rFonts w:hint="eastAsia"/>
                <w:lang w:val="en-US" w:eastAsia="zh-CN"/>
              </w:rPr>
              <w:t>1</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16</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rPr>
              <w:t>餐椅</w:t>
            </w:r>
            <w:r>
              <w:rPr>
                <w:rFonts w:hint="eastAsia" w:ascii="宋体" w:hAnsi="宋体" w:cs="宋体"/>
                <w:kern w:val="0"/>
                <w:szCs w:val="21"/>
                <w:lang w:val="en-US" w:eastAsia="zh-CN"/>
              </w:rPr>
              <w:t>2</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146</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rPr>
              <w:t>吧台餐椅</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8</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lang w:eastAsia="en-US"/>
              </w:rPr>
              <w:t>方形餐桌</w:t>
            </w:r>
            <w:r>
              <w:rPr>
                <w:rFonts w:hint="eastAsia"/>
                <w:lang w:val="en-US" w:eastAsia="zh-CN"/>
              </w:rPr>
              <w:t>4</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45</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lang w:eastAsia="en-US"/>
              </w:rPr>
              <w:t>方形餐桌</w:t>
            </w:r>
            <w:r>
              <w:rPr>
                <w:rFonts w:hint="eastAsia"/>
                <w:lang w:val="en-US" w:eastAsia="zh-CN"/>
              </w:rPr>
              <w:t>5</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24</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rPr>
              <w:t>餐椅</w:t>
            </w:r>
            <w:r>
              <w:rPr>
                <w:rFonts w:hint="eastAsia"/>
                <w:lang w:val="en-US" w:eastAsia="zh-CN"/>
              </w:rPr>
              <w:t>3</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302</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rPr>
              <w:t>餐桌</w:t>
            </w:r>
            <w:r>
              <w:rPr>
                <w:rFonts w:hint="eastAsia"/>
                <w:lang w:val="en-US" w:eastAsia="zh-CN"/>
              </w:rPr>
              <w:t>2</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3</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3969" w:type="dxa"/>
            <w:vAlign w:val="center"/>
          </w:tcPr>
          <w:p>
            <w:pPr>
              <w:widowControl/>
              <w:spacing w:line="360" w:lineRule="auto"/>
              <w:jc w:val="center"/>
              <w:rPr>
                <w:rFonts w:hint="eastAsia" w:ascii="宋体" w:hAnsi="宋体" w:eastAsia="宋体" w:cs="宋体"/>
                <w:kern w:val="0"/>
                <w:szCs w:val="21"/>
                <w:lang w:val="en-US" w:eastAsia="zh-CN"/>
              </w:rPr>
            </w:pPr>
            <w:r>
              <w:rPr>
                <w:rFonts w:ascii="宋体" w:hAnsi="宋体" w:cs="宋体"/>
                <w:kern w:val="0"/>
                <w:szCs w:val="21"/>
              </w:rPr>
              <w:t>餐椅</w:t>
            </w:r>
            <w:r>
              <w:rPr>
                <w:rFonts w:hint="eastAsia"/>
                <w:lang w:val="en-US" w:eastAsia="zh-CN"/>
              </w:rPr>
              <w:t>4</w:t>
            </w:r>
          </w:p>
        </w:tc>
        <w:tc>
          <w:tcPr>
            <w:tcW w:w="1081" w:type="dxa"/>
            <w:vAlign w:val="center"/>
          </w:tcPr>
          <w:p>
            <w:pPr>
              <w:widowControl/>
              <w:spacing w:line="360" w:lineRule="auto"/>
              <w:jc w:val="center"/>
              <w:rPr>
                <w:rFonts w:ascii="宋体" w:hAnsi="宋体" w:cs="宋体"/>
                <w:kern w:val="0"/>
                <w:szCs w:val="21"/>
              </w:rPr>
            </w:pPr>
            <w:r>
              <w:rPr>
                <w:rFonts w:ascii="宋体" w:hAnsi="宋体" w:cs="宋体"/>
                <w:kern w:val="0"/>
                <w:szCs w:val="21"/>
              </w:rPr>
              <w:t>24</w:t>
            </w:r>
          </w:p>
        </w:tc>
        <w:tc>
          <w:tcPr>
            <w:tcW w:w="1134" w:type="dxa"/>
            <w:vAlign w:val="center"/>
          </w:tcPr>
          <w:p>
            <w:pPr>
              <w:widowControl/>
              <w:spacing w:line="360" w:lineRule="auto"/>
              <w:jc w:val="center"/>
              <w:rPr>
                <w:rFonts w:ascii="宋体" w:hAnsi="宋体" w:cs="宋体"/>
                <w:kern w:val="0"/>
                <w:szCs w:val="21"/>
              </w:rPr>
            </w:pPr>
            <w:r>
              <w:rPr>
                <w:rFonts w:ascii="宋体" w:hAnsi="宋体" w:cs="宋体"/>
                <w:kern w:val="0"/>
                <w:szCs w:val="21"/>
              </w:rPr>
              <w:t>张</w:t>
            </w:r>
          </w:p>
        </w:tc>
        <w:tc>
          <w:tcPr>
            <w:tcW w:w="1896" w:type="dxa"/>
          </w:tcPr>
          <w:p>
            <w:pPr>
              <w:widowControl/>
              <w:spacing w:line="360" w:lineRule="auto"/>
              <w:jc w:val="center"/>
              <w:rPr>
                <w:rFonts w:ascii="宋体" w:hAnsi="宋体" w:cs="宋体"/>
                <w:kern w:val="0"/>
                <w:szCs w:val="21"/>
              </w:rPr>
            </w:pPr>
            <w:r>
              <w:rPr>
                <w:rFonts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w:t>
      </w:r>
      <w:r>
        <w:rPr>
          <w:rFonts w:hint="eastAsia" w:ascii="宋体" w:hAnsi="宋体"/>
          <w:b/>
          <w:bCs/>
          <w:snapToGrid w:val="0"/>
          <w:szCs w:val="21"/>
          <w:highlight w:val="yellow"/>
        </w:rPr>
        <w:t>本项目核心产品为：</w:t>
      </w:r>
      <w:r>
        <w:rPr>
          <w:rFonts w:hint="eastAsia" w:ascii="宋体" w:hAnsi="宋体"/>
          <w:b/>
          <w:bCs/>
          <w:snapToGrid w:val="0"/>
          <w:szCs w:val="21"/>
          <w:highlight w:val="red"/>
          <w:u w:val="single"/>
        </w:rPr>
        <w:t xml:space="preserve">  </w:t>
      </w:r>
      <w:r>
        <w:rPr>
          <w:rFonts w:ascii="宋体" w:hAnsi="宋体" w:cs="宋体"/>
          <w:kern w:val="0"/>
          <w:szCs w:val="21"/>
          <w:highlight w:val="red"/>
          <w:u w:val="single"/>
          <w:lang w:eastAsia="en-US"/>
        </w:rPr>
        <w:t>方形餐桌</w:t>
      </w:r>
      <w:r>
        <w:rPr>
          <w:rFonts w:hint="eastAsia" w:ascii="宋体" w:hAnsi="宋体"/>
          <w:b/>
          <w:bCs/>
          <w:snapToGrid w:val="0"/>
          <w:szCs w:val="21"/>
          <w:highlight w:val="red"/>
          <w:u w:val="single"/>
        </w:rPr>
        <w:t xml:space="preserve"> </w:t>
      </w:r>
      <w:r>
        <w:rPr>
          <w:rFonts w:hint="eastAsia" w:ascii="宋体" w:hAnsi="宋体"/>
          <w:b/>
          <w:bCs/>
          <w:snapToGrid w:val="0"/>
          <w:szCs w:val="21"/>
          <w:highlight w:val="red"/>
          <w:u w:val="single"/>
          <w:lang w:val="en-US" w:eastAsia="zh-CN"/>
        </w:rPr>
        <w:t xml:space="preserve">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Align w:val="center"/>
          </w:tcPr>
          <w:p>
            <w:pPr>
              <w:autoSpaceDE w:val="0"/>
              <w:autoSpaceDN w:val="0"/>
              <w:spacing w:line="360" w:lineRule="auto"/>
              <w:jc w:val="center"/>
              <w:rPr>
                <w:rFonts w:hint="eastAsia" w:eastAsia="宋体" w:asciiTheme="minorEastAsia" w:hAnsiTheme="minorEastAsia"/>
                <w:b/>
                <w:szCs w:val="21"/>
                <w:lang w:val="en-US" w:eastAsia="zh-CN"/>
              </w:rPr>
            </w:pPr>
            <w:r>
              <w:rPr>
                <w:color w:val="000000"/>
                <w:spacing w:val="-4"/>
                <w:szCs w:val="21"/>
                <w:lang w:eastAsia="en-US"/>
              </w:rPr>
              <w:t>方形餐桌</w:t>
            </w:r>
            <w:r>
              <w:rPr>
                <w:rFonts w:hint="eastAsia"/>
                <w:color w:val="000000"/>
                <w:spacing w:val="-4"/>
                <w:szCs w:val="21"/>
                <w:lang w:val="en-US" w:eastAsia="zh-CN"/>
              </w:rPr>
              <w:t xml:space="preserve"> 1</w:t>
            </w:r>
          </w:p>
        </w:tc>
        <w:tc>
          <w:tcPr>
            <w:tcW w:w="6737" w:type="dxa"/>
          </w:tcPr>
          <w:p>
            <w:pPr>
              <w:autoSpaceDE w:val="0"/>
              <w:autoSpaceDN w:val="0"/>
              <w:spacing w:line="360" w:lineRule="auto"/>
              <w:jc w:val="left"/>
              <w:rPr>
                <w:rFonts w:ascii="宋体" w:hAnsi="宋体" w:cs="宋体"/>
                <w:szCs w:val="21"/>
                <w:lang w:eastAsia="en-US"/>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1200*</w:t>
            </w:r>
            <w:r>
              <w:rPr>
                <w:rFonts w:hint="eastAsia" w:ascii="宋体" w:hAnsi="宋体" w:cs="宋体"/>
                <w:szCs w:val="21"/>
                <w:lang w:val="en-US" w:eastAsia="zh-CN"/>
              </w:rPr>
              <w:t>D</w:t>
            </w:r>
            <w:r>
              <w:rPr>
                <w:rFonts w:hint="eastAsia" w:ascii="宋体" w:hAnsi="宋体" w:cs="宋体"/>
                <w:szCs w:val="21"/>
                <w:lang w:eastAsia="en-US"/>
              </w:rPr>
              <w:t>700*</w:t>
            </w:r>
            <w:r>
              <w:rPr>
                <w:rFonts w:hint="eastAsia" w:ascii="宋体" w:hAnsi="宋体" w:cs="宋体"/>
                <w:szCs w:val="21"/>
                <w:lang w:val="en-US" w:eastAsia="zh-CN"/>
              </w:rPr>
              <w:t>H</w:t>
            </w:r>
            <w:r>
              <w:rPr>
                <w:rFonts w:hint="eastAsia" w:ascii="宋体" w:hAnsi="宋体" w:cs="宋体"/>
                <w:szCs w:val="21"/>
                <w:lang w:eastAsia="en-US"/>
              </w:rPr>
              <w:t>750</w:t>
            </w:r>
            <w:r>
              <w:rPr>
                <w:rFonts w:hint="eastAsia"/>
                <w:lang w:val="en-US" w:eastAsia="zh-CN"/>
              </w:rPr>
              <w:t>/</w:t>
            </w:r>
            <w:r>
              <w:rPr>
                <w:rFonts w:hint="eastAsia" w:ascii="宋体" w:hAnsi="宋体" w:cs="宋体"/>
                <w:szCs w:val="21"/>
                <w:lang w:val="en-US" w:eastAsia="zh-CN"/>
              </w:rPr>
              <w:t>mm</w:t>
            </w:r>
          </w:p>
          <w:p>
            <w:pPr>
              <w:numPr>
                <w:ilvl w:val="0"/>
                <w:numId w:val="4"/>
              </w:numPr>
              <w:autoSpaceDE w:val="0"/>
              <w:autoSpaceDN w:val="0"/>
              <w:spacing w:line="360" w:lineRule="auto"/>
              <w:jc w:val="left"/>
              <w:rPr>
                <w:rFonts w:ascii="宋体" w:hAnsi="宋体" w:cs="宋体"/>
                <w:szCs w:val="21"/>
              </w:rPr>
            </w:pPr>
            <w:r>
              <w:rPr>
                <w:rFonts w:hint="eastAsia" w:ascii="宋体" w:hAnsi="宋体" w:cs="宋体"/>
                <w:szCs w:val="21"/>
              </w:rPr>
              <w:t>桌面：人造大理石材,厚度15MM，倒斜边，倒圆边处理台架：直径</w:t>
            </w:r>
            <w:r>
              <w:rPr>
                <w:rFonts w:hint="eastAsia" w:ascii="宋体" w:hAnsi="宋体" w:cs="宋体"/>
                <w:szCs w:val="21"/>
                <w:lang w:val="en-US" w:eastAsia="zh-CN"/>
              </w:rPr>
              <w:t>φ</w:t>
            </w:r>
            <w:r>
              <w:rPr>
                <w:rFonts w:hint="eastAsia" w:ascii="宋体" w:hAnsi="宋体" w:cs="宋体"/>
                <w:szCs w:val="21"/>
              </w:rPr>
              <w:t>400</w:t>
            </w:r>
            <w:r>
              <w:rPr>
                <w:rFonts w:hint="eastAsia" w:ascii="宋体" w:hAnsi="宋体" w:cs="宋体"/>
                <w:szCs w:val="21"/>
                <w:lang w:val="en-US" w:eastAsia="zh-CN"/>
              </w:rPr>
              <w:t>mm</w:t>
            </w:r>
            <w:r>
              <w:rPr>
                <w:rFonts w:hint="eastAsia" w:ascii="宋体" w:hAnsi="宋体" w:cs="宋体"/>
                <w:szCs w:val="21"/>
              </w:rPr>
              <w:t>圆不锈钢表面静电喷粉防锈处理底盘，配300</w:t>
            </w:r>
            <w:r>
              <w:rPr>
                <w:rFonts w:hint="eastAsia" w:ascii="宋体" w:hAnsi="宋体" w:cs="宋体"/>
                <w:szCs w:val="21"/>
                <w:lang w:val="en-US" w:eastAsia="zh-CN"/>
              </w:rPr>
              <w:t>mm</w:t>
            </w:r>
            <w:r>
              <w:rPr>
                <w:rFonts w:hint="eastAsia" w:ascii="宋体" w:hAnsi="宋体" w:cs="宋体"/>
                <w:szCs w:val="21"/>
              </w:rPr>
              <w:t>*300</w:t>
            </w:r>
            <w:r>
              <w:rPr>
                <w:rFonts w:hint="eastAsia" w:ascii="宋体" w:hAnsi="宋体" w:cs="宋体"/>
                <w:szCs w:val="21"/>
                <w:lang w:val="en-US" w:eastAsia="zh-CN"/>
              </w:rPr>
              <w:t>mm</w:t>
            </w:r>
            <w:r>
              <w:rPr>
                <w:rFonts w:hint="eastAsia" w:ascii="宋体" w:hAnsi="宋体" w:cs="宋体"/>
                <w:szCs w:val="21"/>
              </w:rPr>
              <w:t>托盘</w:t>
            </w:r>
          </w:p>
          <w:p>
            <w:pPr>
              <w:pStyle w:val="20"/>
              <w:numPr>
                <w:ilvl w:val="0"/>
                <w:numId w:val="4"/>
              </w:numPr>
              <w:spacing w:line="360" w:lineRule="auto"/>
              <w:rPr>
                <w:rFonts w:asciiTheme="minorEastAsia" w:hAnsiTheme="minorEastAsia" w:eastAsiaTheme="minorEastAsia"/>
                <w:szCs w:val="21"/>
              </w:rPr>
            </w:pPr>
            <w:r>
              <w:rPr>
                <w:rFonts w:hint="eastAsia" w:ascii="宋体" w:hAnsi="宋体" w:cs="宋体"/>
                <w:szCs w:val="21"/>
              </w:rPr>
              <w:t>▲投标人须出具2021年1月1日后，由副省级家具质量监督检测中心出具的家具原材料抽样检验合格报告（复印件或扫描件并加盖投标人公章）：木纹转印电解钢板：符合 GB/T 3325-2017《金属家具通用技术条件》检测标准，检测结果要求金属喷漆(塑)涂层硬度≥4H，耐腐蚀试验合格，抗盐雾试验无锈点;依据GB/T 1741-2007《漆膜耐霉菌性测定法》标准，耐霉菌性能达到1级或以上。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0" w:type="dxa"/>
            <w:vAlign w:val="center"/>
          </w:tcPr>
          <w:p>
            <w:pPr>
              <w:autoSpaceDE w:val="0"/>
              <w:autoSpaceDN w:val="0"/>
              <w:spacing w:line="360" w:lineRule="auto"/>
              <w:jc w:val="center"/>
              <w:rPr>
                <w:rFonts w:hint="eastAsia" w:eastAsia="宋体" w:asciiTheme="minorEastAsia" w:hAnsiTheme="minorEastAsia"/>
                <w:b/>
                <w:szCs w:val="21"/>
                <w:lang w:val="en-US" w:eastAsia="zh-CN"/>
              </w:rPr>
            </w:pPr>
            <w:r>
              <w:rPr>
                <w:color w:val="000000"/>
                <w:spacing w:val="-4"/>
                <w:szCs w:val="21"/>
                <w:lang w:eastAsia="en-US"/>
              </w:rPr>
              <w:t>方形餐桌</w:t>
            </w:r>
            <w:r>
              <w:rPr>
                <w:rFonts w:hint="eastAsia"/>
                <w:color w:val="000000"/>
                <w:spacing w:val="-4"/>
                <w:szCs w:val="21"/>
                <w:lang w:val="en-US" w:eastAsia="zh-CN"/>
              </w:rPr>
              <w:t xml:space="preserve"> 2</w:t>
            </w:r>
          </w:p>
        </w:tc>
        <w:tc>
          <w:tcPr>
            <w:tcW w:w="6737" w:type="dxa"/>
          </w:tcPr>
          <w:p>
            <w:pPr>
              <w:autoSpaceDE w:val="0"/>
              <w:autoSpaceDN w:val="0"/>
              <w:spacing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rPr>
              <w:t>700*</w:t>
            </w:r>
            <w:r>
              <w:rPr>
                <w:rFonts w:hint="eastAsia" w:ascii="宋体" w:hAnsi="宋体" w:cs="宋体"/>
                <w:szCs w:val="21"/>
                <w:lang w:val="en-US" w:eastAsia="zh-CN"/>
              </w:rPr>
              <w:t>D</w:t>
            </w:r>
            <w:r>
              <w:rPr>
                <w:rFonts w:hint="eastAsia" w:ascii="宋体" w:hAnsi="宋体" w:cs="宋体"/>
                <w:szCs w:val="21"/>
              </w:rPr>
              <w:t>700*</w:t>
            </w:r>
            <w:r>
              <w:rPr>
                <w:rFonts w:hint="eastAsia" w:ascii="宋体" w:hAnsi="宋体" w:cs="宋体"/>
                <w:szCs w:val="21"/>
                <w:lang w:val="en-US" w:eastAsia="zh-CN"/>
              </w:rPr>
              <w:t>H</w:t>
            </w:r>
            <w:r>
              <w:rPr>
                <w:rFonts w:hint="eastAsia" w:ascii="宋体" w:hAnsi="宋体" w:cs="宋体"/>
                <w:szCs w:val="21"/>
              </w:rPr>
              <w:t>750</w:t>
            </w:r>
            <w:r>
              <w:rPr>
                <w:rFonts w:hint="eastAsia" w:ascii="宋体" w:hAnsi="宋体" w:cs="宋体"/>
                <w:szCs w:val="21"/>
                <w:lang w:val="en-US" w:eastAsia="zh-CN"/>
              </w:rPr>
              <w:t>/mm</w:t>
            </w:r>
          </w:p>
          <w:p>
            <w:pPr>
              <w:spacing w:line="360" w:lineRule="auto"/>
              <w:jc w:val="left"/>
              <w:rPr>
                <w:rFonts w:ascii="宋体" w:hAnsi="宋体" w:cs="宋体"/>
                <w:szCs w:val="21"/>
              </w:rPr>
            </w:pPr>
            <w:r>
              <w:rPr>
                <w:rFonts w:hint="eastAsia" w:ascii="宋体" w:hAnsi="宋体" w:cs="宋体"/>
                <w:szCs w:val="21"/>
              </w:rPr>
              <w:t>2.桌面：人造大理石材,厚度15MM，倒斜边，倒圆边处理</w:t>
            </w:r>
          </w:p>
          <w:p>
            <w:pPr>
              <w:spacing w:line="360" w:lineRule="auto"/>
              <w:jc w:val="left"/>
              <w:rPr>
                <w:rFonts w:ascii="宋体" w:hAnsi="宋体" w:cs="宋体"/>
                <w:szCs w:val="21"/>
              </w:rPr>
            </w:pPr>
            <w:r>
              <w:rPr>
                <w:rFonts w:hint="eastAsia" w:ascii="宋体" w:hAnsi="宋体" w:cs="宋体"/>
                <w:szCs w:val="21"/>
              </w:rPr>
              <w:t>3.台架：直径</w:t>
            </w:r>
            <w:r>
              <w:rPr>
                <w:rFonts w:hint="eastAsia" w:ascii="宋体" w:hAnsi="宋体" w:cs="宋体"/>
                <w:szCs w:val="21"/>
                <w:lang w:val="en-US" w:eastAsia="zh-CN"/>
              </w:rPr>
              <w:t>φ</w:t>
            </w:r>
            <w:r>
              <w:rPr>
                <w:rFonts w:hint="eastAsia" w:ascii="宋体" w:hAnsi="宋体" w:cs="宋体"/>
                <w:szCs w:val="21"/>
              </w:rPr>
              <w:t>450</w:t>
            </w:r>
            <w:r>
              <w:rPr>
                <w:rFonts w:hint="eastAsia" w:ascii="宋体" w:hAnsi="宋体" w:cs="宋体"/>
                <w:szCs w:val="21"/>
                <w:lang w:val="en-US" w:eastAsia="zh-CN"/>
              </w:rPr>
              <w:t>mm</w:t>
            </w:r>
            <w:r>
              <w:rPr>
                <w:rFonts w:hint="eastAsia" w:ascii="宋体" w:hAnsi="宋体" w:cs="宋体"/>
                <w:szCs w:val="21"/>
              </w:rPr>
              <w:t>圆不锈钢表面静电喷粉防锈处理底盘，配350</w:t>
            </w:r>
            <w:r>
              <w:rPr>
                <w:rFonts w:hint="eastAsia" w:ascii="宋体" w:hAnsi="宋体" w:cs="宋体"/>
                <w:szCs w:val="21"/>
                <w:lang w:val="en-US" w:eastAsia="zh-CN"/>
              </w:rPr>
              <w:t>mm</w:t>
            </w:r>
            <w:r>
              <w:rPr>
                <w:rFonts w:hint="eastAsia" w:ascii="宋体" w:hAnsi="宋体" w:cs="宋体"/>
                <w:szCs w:val="21"/>
              </w:rPr>
              <w:t>*350</w:t>
            </w:r>
            <w:r>
              <w:rPr>
                <w:rFonts w:hint="eastAsia" w:ascii="宋体" w:hAnsi="宋体" w:cs="宋体"/>
                <w:szCs w:val="21"/>
                <w:lang w:val="en-US" w:eastAsia="zh-CN"/>
              </w:rPr>
              <w:t>mm</w:t>
            </w:r>
            <w:r>
              <w:rPr>
                <w:rFonts w:hint="eastAsia" w:ascii="宋体" w:hAnsi="宋体" w:cs="宋体"/>
                <w:szCs w:val="21"/>
              </w:rPr>
              <w:t>托盘</w:t>
            </w:r>
          </w:p>
          <w:p>
            <w:pPr>
              <w:pStyle w:val="20"/>
              <w:spacing w:line="360" w:lineRule="auto"/>
              <w:jc w:val="left"/>
              <w:rPr>
                <w:rFonts w:asciiTheme="minorEastAsia" w:hAnsiTheme="minorEastAsia" w:eastAsiaTheme="minorEastAsia"/>
                <w:b/>
                <w:szCs w:val="21"/>
              </w:rPr>
            </w:pPr>
            <w:r>
              <w:rPr>
                <w:rFonts w:hint="eastAsia" w:ascii="宋体" w:hAnsi="宋体" w:cs="宋体"/>
                <w:color w:val="000000"/>
                <w:spacing w:val="-3"/>
                <w:szCs w:val="21"/>
              </w:rPr>
              <w:t>4.▲</w:t>
            </w:r>
            <w:r>
              <w:rPr>
                <w:rFonts w:hint="eastAsia" w:ascii="宋体" w:hAnsi="宋体" w:cs="宋体"/>
                <w:color w:val="000000"/>
                <w:spacing w:val="-3"/>
                <w:szCs w:val="21"/>
                <w:lang w:val="zh-CN"/>
              </w:rPr>
              <w:t>投标</w:t>
            </w:r>
            <w:r>
              <w:rPr>
                <w:rFonts w:hint="eastAsia" w:ascii="宋体" w:hAnsi="宋体" w:cs="宋体"/>
                <w:color w:val="000000"/>
                <w:spacing w:val="-3"/>
                <w:szCs w:val="21"/>
              </w:rPr>
              <w:t>人须出具</w:t>
            </w:r>
            <w:r>
              <w:rPr>
                <w:rFonts w:hint="eastAsia" w:ascii="宋体" w:hAnsi="宋体" w:cs="宋体"/>
                <w:color w:val="000000"/>
                <w:spacing w:val="-3"/>
                <w:szCs w:val="21"/>
                <w:lang w:val="zh-CN"/>
              </w:rPr>
              <w:t>20</w:t>
            </w:r>
            <w:r>
              <w:rPr>
                <w:rFonts w:hint="eastAsia" w:ascii="宋体" w:hAnsi="宋体" w:cs="宋体"/>
                <w:color w:val="000000"/>
                <w:spacing w:val="-3"/>
                <w:szCs w:val="21"/>
              </w:rPr>
              <w:t>21年</w:t>
            </w:r>
            <w:r>
              <w:rPr>
                <w:rFonts w:hint="eastAsia" w:ascii="宋体" w:hAnsi="宋体" w:cs="宋体"/>
                <w:color w:val="000000"/>
                <w:spacing w:val="-3"/>
                <w:szCs w:val="21"/>
                <w:lang w:val="zh-CN"/>
              </w:rPr>
              <w:t>1</w:t>
            </w:r>
            <w:r>
              <w:rPr>
                <w:rFonts w:hint="eastAsia" w:ascii="宋体" w:hAnsi="宋体" w:cs="宋体"/>
                <w:color w:val="000000"/>
                <w:spacing w:val="-3"/>
                <w:szCs w:val="21"/>
              </w:rPr>
              <w:t>月</w:t>
            </w:r>
            <w:r>
              <w:rPr>
                <w:rFonts w:hint="eastAsia" w:ascii="宋体" w:hAnsi="宋体" w:cs="宋体"/>
                <w:color w:val="000000"/>
                <w:spacing w:val="-3"/>
                <w:szCs w:val="21"/>
                <w:lang w:val="zh-CN"/>
              </w:rPr>
              <w:t>1</w:t>
            </w:r>
            <w:r>
              <w:rPr>
                <w:rFonts w:hint="eastAsia" w:ascii="宋体" w:hAnsi="宋体" w:cs="宋体"/>
                <w:color w:val="000000"/>
                <w:spacing w:val="-3"/>
                <w:szCs w:val="21"/>
              </w:rPr>
              <w:t>日后</w:t>
            </w:r>
            <w:r>
              <w:rPr>
                <w:rFonts w:hint="eastAsia" w:ascii="宋体" w:hAnsi="宋体" w:cs="宋体"/>
                <w:color w:val="000000"/>
                <w:spacing w:val="-3"/>
                <w:szCs w:val="21"/>
                <w:lang w:val="zh-CN"/>
              </w:rPr>
              <w:t>，由</w:t>
            </w:r>
            <w:r>
              <w:rPr>
                <w:rFonts w:hint="eastAsia" w:ascii="宋体" w:hAnsi="宋体" w:cs="宋体"/>
                <w:color w:val="000000"/>
                <w:spacing w:val="-3"/>
                <w:szCs w:val="21"/>
              </w:rPr>
              <w:t>副省</w:t>
            </w:r>
            <w:r>
              <w:rPr>
                <w:rFonts w:hint="eastAsia" w:ascii="宋体" w:hAnsi="宋体" w:cs="宋体"/>
                <w:color w:val="000000"/>
                <w:spacing w:val="-3"/>
                <w:szCs w:val="21"/>
                <w:lang w:val="zh-CN"/>
              </w:rPr>
              <w:t>级家具质量监督检测中心出具的家具原材料抽样检验合格报告（</w:t>
            </w:r>
            <w:r>
              <w:rPr>
                <w:rFonts w:hint="eastAsia" w:ascii="宋体" w:hAnsi="宋体" w:cs="宋体"/>
                <w:color w:val="000000"/>
                <w:spacing w:val="-3"/>
                <w:szCs w:val="21"/>
              </w:rPr>
              <w:t>复印件或扫描件</w:t>
            </w:r>
            <w:r>
              <w:rPr>
                <w:rFonts w:hint="eastAsia" w:ascii="宋体" w:hAnsi="宋体" w:cs="宋体"/>
                <w:szCs w:val="21"/>
              </w:rPr>
              <w:t>并加盖投标人公章</w:t>
            </w:r>
            <w:r>
              <w:rPr>
                <w:rFonts w:hint="eastAsia" w:ascii="宋体" w:hAnsi="宋体" w:cs="宋体"/>
                <w:color w:val="000000"/>
                <w:spacing w:val="-3"/>
                <w:szCs w:val="21"/>
                <w:lang w:val="zh-CN"/>
              </w:rPr>
              <w:t>）：</w:t>
            </w:r>
            <w:r>
              <w:rPr>
                <w:rFonts w:hint="eastAsia" w:ascii="宋体" w:hAnsi="宋体" w:cs="宋体"/>
                <w:color w:val="000000"/>
                <w:spacing w:val="-3"/>
                <w:szCs w:val="21"/>
              </w:rPr>
              <w:t>喷粉电解钢板：符合GB/T  16422.3-2014 检测标准，实验时长为336h，检测结果要求△E≤0.50。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0" w:type="dxa"/>
            <w:vAlign w:val="center"/>
          </w:tcPr>
          <w:p>
            <w:pPr>
              <w:autoSpaceDE w:val="0"/>
              <w:autoSpaceDN w:val="0"/>
              <w:spacing w:line="360" w:lineRule="auto"/>
              <w:jc w:val="center"/>
              <w:rPr>
                <w:rFonts w:asciiTheme="minorEastAsia" w:hAnsiTheme="minorEastAsia" w:eastAsiaTheme="minorEastAsia"/>
                <w:b/>
                <w:szCs w:val="21"/>
              </w:rPr>
            </w:pPr>
            <w:r>
              <w:rPr>
                <w:color w:val="000000"/>
                <w:spacing w:val="-4"/>
                <w:szCs w:val="21"/>
              </w:rPr>
              <w:t>圆</w:t>
            </w:r>
            <w:r>
              <w:rPr>
                <w:color w:val="000000"/>
                <w:spacing w:val="-4"/>
                <w:szCs w:val="21"/>
                <w:lang w:eastAsia="en-US"/>
              </w:rPr>
              <w:t>形餐桌</w:t>
            </w:r>
          </w:p>
        </w:tc>
        <w:tc>
          <w:tcPr>
            <w:tcW w:w="6737" w:type="dxa"/>
          </w:tcPr>
          <w:p>
            <w:pPr>
              <w:autoSpaceDE w:val="0"/>
              <w:autoSpaceDN w:val="0"/>
              <w:spacing w:line="360" w:lineRule="auto"/>
              <w:jc w:val="left"/>
              <w:rPr>
                <w:rFonts w:hint="default" w:ascii="宋体" w:hAnsi="宋体" w:cs="宋体"/>
                <w:szCs w:val="21"/>
                <w:lang w:val="en-US"/>
              </w:rPr>
            </w:pPr>
            <w:r>
              <w:rPr>
                <w:rFonts w:hint="eastAsia" w:ascii="宋体" w:hAnsi="宋体" w:cs="宋体"/>
                <w:szCs w:val="21"/>
              </w:rPr>
              <w:t>1.</w:t>
            </w:r>
            <w:r>
              <w:rPr>
                <w:rFonts w:hint="eastAsia" w:ascii="宋体" w:hAnsi="宋体" w:cs="宋体"/>
                <w:szCs w:val="21"/>
                <w:lang w:val="en-US" w:eastAsia="zh-CN"/>
              </w:rPr>
              <w:t>φ</w:t>
            </w:r>
            <w:r>
              <w:rPr>
                <w:rFonts w:hint="eastAsia" w:ascii="宋体" w:hAnsi="宋体" w:cs="宋体"/>
                <w:szCs w:val="21"/>
              </w:rPr>
              <w:t>1400*</w:t>
            </w:r>
            <w:r>
              <w:rPr>
                <w:rFonts w:hint="eastAsia" w:ascii="宋体" w:hAnsi="宋体" w:cs="宋体"/>
                <w:szCs w:val="21"/>
                <w:lang w:val="en-US" w:eastAsia="zh-CN"/>
              </w:rPr>
              <w:t>H</w:t>
            </w:r>
            <w:r>
              <w:rPr>
                <w:rFonts w:hint="eastAsia" w:ascii="宋体" w:hAnsi="宋体" w:cs="宋体"/>
                <w:szCs w:val="21"/>
              </w:rPr>
              <w:t>750</w:t>
            </w:r>
            <w:r>
              <w:rPr>
                <w:rFonts w:hint="eastAsia" w:ascii="宋体" w:hAnsi="宋体" w:cs="宋体"/>
                <w:szCs w:val="21"/>
                <w:lang w:val="en-US" w:eastAsia="zh-CN"/>
              </w:rPr>
              <w:t>/mm</w:t>
            </w:r>
          </w:p>
          <w:p>
            <w:pPr>
              <w:autoSpaceDE w:val="0"/>
              <w:autoSpaceDN w:val="0"/>
              <w:spacing w:line="360" w:lineRule="auto"/>
              <w:jc w:val="left"/>
              <w:rPr>
                <w:rFonts w:ascii="宋体" w:hAnsi="宋体" w:cs="宋体"/>
                <w:szCs w:val="21"/>
              </w:rPr>
            </w:pPr>
            <w:r>
              <w:rPr>
                <w:rFonts w:hint="eastAsia" w:ascii="宋体" w:hAnsi="宋体" w:cs="宋体"/>
                <w:szCs w:val="21"/>
              </w:rPr>
              <w:t>2.台面：25厘实木多层板，面压国产防火板，亚克力封边</w:t>
            </w:r>
          </w:p>
          <w:p>
            <w:pPr>
              <w:autoSpaceDE w:val="0"/>
              <w:autoSpaceDN w:val="0"/>
              <w:spacing w:line="360" w:lineRule="auto"/>
              <w:jc w:val="left"/>
              <w:rPr>
                <w:rFonts w:ascii="宋体" w:hAnsi="宋体" w:cs="宋体"/>
                <w:szCs w:val="21"/>
              </w:rPr>
            </w:pPr>
            <w:r>
              <w:rPr>
                <w:rFonts w:hint="eastAsia" w:ascii="宋体" w:hAnsi="宋体" w:cs="宋体"/>
                <w:szCs w:val="21"/>
              </w:rPr>
              <w:t>3.台架：直径</w:t>
            </w:r>
            <w:r>
              <w:rPr>
                <w:rFonts w:hint="eastAsia" w:ascii="宋体" w:hAnsi="宋体" w:cs="宋体"/>
                <w:color w:val="000000"/>
                <w:spacing w:val="-3"/>
                <w:szCs w:val="21"/>
                <w:lang w:val="en-US" w:eastAsia="zh-CN"/>
              </w:rPr>
              <w:t>φ</w:t>
            </w:r>
            <w:r>
              <w:rPr>
                <w:rFonts w:hint="eastAsia" w:ascii="宋体" w:hAnsi="宋体" w:cs="宋体"/>
                <w:szCs w:val="21"/>
              </w:rPr>
              <w:t>450</w:t>
            </w:r>
            <w:r>
              <w:rPr>
                <w:rFonts w:hint="eastAsia" w:ascii="宋体" w:hAnsi="宋体" w:cs="宋体"/>
                <w:szCs w:val="21"/>
                <w:lang w:val="en-US" w:eastAsia="zh-CN"/>
              </w:rPr>
              <w:t>mm</w:t>
            </w:r>
            <w:r>
              <w:rPr>
                <w:rFonts w:hint="eastAsia" w:ascii="宋体" w:hAnsi="宋体" w:cs="宋体"/>
                <w:szCs w:val="21"/>
              </w:rPr>
              <w:t>圆不锈钢表面静电喷粉防锈处理底盘，配350</w:t>
            </w:r>
            <w:r>
              <w:rPr>
                <w:rFonts w:hint="eastAsia" w:ascii="宋体" w:hAnsi="宋体" w:cs="宋体"/>
                <w:szCs w:val="21"/>
                <w:lang w:val="en-US" w:eastAsia="zh-CN"/>
              </w:rPr>
              <w:t>mm</w:t>
            </w:r>
            <w:r>
              <w:rPr>
                <w:rFonts w:hint="eastAsia" w:ascii="宋体" w:hAnsi="宋体" w:cs="宋体"/>
                <w:szCs w:val="21"/>
              </w:rPr>
              <w:t>*350</w:t>
            </w:r>
            <w:r>
              <w:rPr>
                <w:rFonts w:hint="eastAsia" w:ascii="宋体" w:hAnsi="宋体" w:cs="宋体"/>
                <w:szCs w:val="21"/>
                <w:lang w:val="en-US" w:eastAsia="zh-CN"/>
              </w:rPr>
              <w:t>mm</w:t>
            </w:r>
            <w:r>
              <w:rPr>
                <w:rFonts w:hint="eastAsia" w:ascii="宋体" w:hAnsi="宋体" w:cs="宋体"/>
                <w:szCs w:val="21"/>
              </w:rPr>
              <w:t>托盘</w:t>
            </w:r>
          </w:p>
          <w:p>
            <w:pPr>
              <w:pStyle w:val="20"/>
              <w:spacing w:line="360" w:lineRule="auto"/>
              <w:rPr>
                <w:rFonts w:asciiTheme="minorEastAsia" w:hAnsiTheme="minorEastAsia" w:eastAsiaTheme="minorEastAsia"/>
                <w:b/>
                <w:szCs w:val="21"/>
              </w:rPr>
            </w:pPr>
            <w:r>
              <w:rPr>
                <w:rFonts w:hint="eastAsia" w:ascii="宋体" w:hAnsi="宋体" w:cs="宋体"/>
                <w:szCs w:val="21"/>
              </w:rPr>
              <w:t>4.▲投标人须出具2021年1月1日后，由副省级家具质量监督检测中心出具的家具原材料抽样检验合格报告（复印件或扫描件并加盖投标人公章）：喷涂钢管：符合GB/T3325-2017《金属家具通用技术条件》标准，检测结果要求金属喷漆(塑)涂层硬度≥4H，耐腐蚀试验合格，抗盐雾试验无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80" w:type="dxa"/>
            <w:vAlign w:val="center"/>
          </w:tcPr>
          <w:p>
            <w:pPr>
              <w:autoSpaceDE w:val="0"/>
              <w:autoSpaceDN w:val="0"/>
              <w:spacing w:line="360" w:lineRule="auto"/>
              <w:jc w:val="center"/>
              <w:rPr>
                <w:rFonts w:hint="eastAsia" w:eastAsia="宋体" w:asciiTheme="minorEastAsia" w:hAnsiTheme="minorEastAsia"/>
                <w:b/>
                <w:szCs w:val="21"/>
                <w:lang w:val="en-US" w:eastAsia="zh-CN"/>
              </w:rPr>
            </w:pPr>
            <w:r>
              <w:rPr>
                <w:color w:val="000000"/>
                <w:spacing w:val="-4"/>
                <w:szCs w:val="21"/>
                <w:lang w:eastAsia="en-US"/>
              </w:rPr>
              <w:t>方形餐桌</w:t>
            </w:r>
            <w:r>
              <w:rPr>
                <w:rFonts w:hint="eastAsia"/>
                <w:color w:val="000000"/>
                <w:spacing w:val="-4"/>
                <w:szCs w:val="21"/>
                <w:lang w:val="en-US" w:eastAsia="zh-CN"/>
              </w:rPr>
              <w:t xml:space="preserve"> 3</w:t>
            </w:r>
          </w:p>
        </w:tc>
        <w:tc>
          <w:tcPr>
            <w:tcW w:w="6737" w:type="dxa"/>
          </w:tcPr>
          <w:p>
            <w:pPr>
              <w:autoSpaceDE w:val="0"/>
              <w:autoSpaceDN w:val="0"/>
              <w:spacing w:line="360" w:lineRule="auto"/>
              <w:jc w:val="left"/>
              <w:rPr>
                <w:rFonts w:hint="eastAsia" w:ascii="宋体" w:hAnsi="宋体" w:eastAsia="宋体" w:cs="宋体"/>
                <w:color w:val="000000"/>
                <w:szCs w:val="21"/>
              </w:rPr>
            </w:pPr>
            <w:r>
              <w:rPr>
                <w:rFonts w:hint="eastAsia" w:ascii="宋体" w:hAnsi="宋体" w:cs="宋体"/>
                <w:color w:val="000000"/>
                <w:spacing w:val="-2"/>
                <w:szCs w:val="21"/>
              </w:rPr>
              <w:t>1.</w:t>
            </w:r>
            <w:r>
              <w:rPr>
                <w:rFonts w:hint="eastAsia" w:ascii="宋体" w:hAnsi="宋体" w:cs="宋体"/>
                <w:color w:val="000000"/>
                <w:spacing w:val="-2"/>
                <w:szCs w:val="21"/>
                <w:lang w:val="en-US" w:eastAsia="zh-CN"/>
              </w:rPr>
              <w:t>W</w:t>
            </w:r>
            <w:r>
              <w:rPr>
                <w:rFonts w:hint="eastAsia" w:ascii="宋体" w:hAnsi="宋体" w:cs="宋体"/>
                <w:color w:val="000000"/>
                <w:spacing w:val="-2"/>
                <w:szCs w:val="21"/>
              </w:rPr>
              <w:t>900*</w:t>
            </w:r>
            <w:r>
              <w:rPr>
                <w:rFonts w:hint="eastAsia" w:ascii="宋体" w:hAnsi="宋体" w:cs="宋体"/>
                <w:color w:val="000000"/>
                <w:spacing w:val="-2"/>
                <w:szCs w:val="21"/>
                <w:lang w:val="en-US" w:eastAsia="zh-CN"/>
              </w:rPr>
              <w:t>D</w:t>
            </w:r>
            <w:r>
              <w:rPr>
                <w:rFonts w:hint="eastAsia" w:ascii="宋体" w:hAnsi="宋体" w:cs="宋体"/>
                <w:color w:val="000000"/>
                <w:spacing w:val="-2"/>
                <w:szCs w:val="21"/>
              </w:rPr>
              <w:t>900*</w:t>
            </w:r>
            <w:r>
              <w:rPr>
                <w:rFonts w:hint="eastAsia" w:ascii="宋体" w:hAnsi="宋体" w:cs="宋体"/>
                <w:color w:val="000000"/>
                <w:spacing w:val="-2"/>
                <w:szCs w:val="21"/>
                <w:lang w:val="en-US" w:eastAsia="zh-CN"/>
              </w:rPr>
              <w:t>H</w:t>
            </w:r>
            <w:r>
              <w:rPr>
                <w:rFonts w:hint="eastAsia" w:ascii="宋体" w:hAnsi="宋体" w:cs="宋体"/>
                <w:color w:val="000000"/>
                <w:spacing w:val="-2"/>
                <w:szCs w:val="21"/>
              </w:rPr>
              <w:t>750</w:t>
            </w:r>
            <w:r>
              <w:rPr>
                <w:rFonts w:hint="eastAsia" w:ascii="宋体" w:hAnsi="宋体" w:cs="宋体"/>
                <w:szCs w:val="21"/>
                <w:lang w:val="en-US" w:eastAsia="zh-CN"/>
              </w:rPr>
              <w:t>/mm</w:t>
            </w:r>
          </w:p>
          <w:p>
            <w:pPr>
              <w:autoSpaceDE w:val="0"/>
              <w:autoSpaceDN w:val="0"/>
              <w:spacing w:line="360" w:lineRule="auto"/>
              <w:jc w:val="left"/>
              <w:rPr>
                <w:rFonts w:ascii="宋体" w:hAnsi="宋体" w:cs="宋体"/>
                <w:color w:val="000000"/>
                <w:spacing w:val="-2"/>
                <w:szCs w:val="21"/>
              </w:rPr>
            </w:pPr>
            <w:r>
              <w:rPr>
                <w:rFonts w:hint="eastAsia" w:ascii="宋体" w:hAnsi="宋体" w:cs="宋体"/>
                <w:color w:val="000000"/>
                <w:spacing w:val="-2"/>
                <w:szCs w:val="21"/>
              </w:rPr>
              <w:t>2.桌面：人造大理石材,厚度15MM，倒斜边，倒圆边处理</w:t>
            </w:r>
          </w:p>
          <w:p>
            <w:pPr>
              <w:autoSpaceDE w:val="0"/>
              <w:autoSpaceDN w:val="0"/>
              <w:spacing w:line="360" w:lineRule="auto"/>
              <w:jc w:val="left"/>
              <w:rPr>
                <w:rFonts w:ascii="宋体" w:hAnsi="宋体" w:cs="宋体"/>
                <w:color w:val="000000"/>
                <w:spacing w:val="-2"/>
                <w:szCs w:val="21"/>
              </w:rPr>
            </w:pPr>
            <w:r>
              <w:rPr>
                <w:rFonts w:hint="eastAsia" w:ascii="宋体" w:hAnsi="宋体" w:cs="宋体"/>
                <w:color w:val="000000"/>
                <w:spacing w:val="-3"/>
                <w:szCs w:val="21"/>
              </w:rPr>
              <w:t>3.台架：直径</w:t>
            </w:r>
            <w:r>
              <w:rPr>
                <w:rFonts w:hint="eastAsia" w:ascii="宋体" w:hAnsi="宋体" w:cs="宋体"/>
                <w:color w:val="000000"/>
                <w:spacing w:val="-3"/>
                <w:szCs w:val="21"/>
                <w:lang w:val="en-US" w:eastAsia="zh-CN"/>
              </w:rPr>
              <w:t>φ</w:t>
            </w:r>
            <w:r>
              <w:rPr>
                <w:rFonts w:hint="eastAsia" w:ascii="宋体" w:hAnsi="宋体" w:cs="宋体"/>
                <w:color w:val="000000"/>
                <w:spacing w:val="-3"/>
                <w:szCs w:val="21"/>
              </w:rPr>
              <w:t>450</w:t>
            </w:r>
            <w:r>
              <w:rPr>
                <w:rFonts w:hint="eastAsia" w:ascii="宋体" w:hAnsi="宋体" w:cs="宋体"/>
                <w:color w:val="000000"/>
                <w:spacing w:val="-3"/>
                <w:szCs w:val="21"/>
                <w:lang w:val="en-US" w:eastAsia="zh-CN"/>
              </w:rPr>
              <w:t>mm</w:t>
            </w:r>
            <w:r>
              <w:rPr>
                <w:rFonts w:hint="eastAsia" w:ascii="宋体" w:hAnsi="宋体" w:cs="宋体"/>
                <w:color w:val="000000"/>
                <w:spacing w:val="-3"/>
                <w:szCs w:val="21"/>
              </w:rPr>
              <w:t>圆不锈钢表面静电喷粉</w:t>
            </w:r>
            <w:r>
              <w:rPr>
                <w:rFonts w:hint="eastAsia" w:ascii="宋体" w:hAnsi="宋体" w:cs="宋体"/>
                <w:color w:val="000000"/>
                <w:spacing w:val="-2"/>
                <w:szCs w:val="21"/>
              </w:rPr>
              <w:t>防锈处理底盘，配350</w:t>
            </w:r>
            <w:r>
              <w:rPr>
                <w:rFonts w:hint="eastAsia" w:ascii="宋体" w:hAnsi="宋体" w:cs="宋体"/>
                <w:color w:val="000000"/>
                <w:spacing w:val="-2"/>
                <w:szCs w:val="21"/>
                <w:lang w:val="en-US" w:eastAsia="zh-CN"/>
              </w:rPr>
              <w:t>mm</w:t>
            </w:r>
            <w:r>
              <w:rPr>
                <w:rFonts w:hint="eastAsia" w:ascii="宋体" w:hAnsi="宋体" w:cs="宋体"/>
                <w:color w:val="000000"/>
                <w:spacing w:val="-2"/>
                <w:szCs w:val="21"/>
              </w:rPr>
              <w:t>*350</w:t>
            </w:r>
            <w:r>
              <w:rPr>
                <w:rFonts w:hint="eastAsia"/>
                <w:lang w:val="en-US" w:eastAsia="zh-CN"/>
              </w:rPr>
              <w:t>mm</w:t>
            </w:r>
            <w:r>
              <w:rPr>
                <w:rFonts w:hint="eastAsia" w:ascii="宋体" w:hAnsi="宋体" w:cs="宋体"/>
                <w:color w:val="000000"/>
                <w:spacing w:val="-2"/>
                <w:szCs w:val="21"/>
              </w:rPr>
              <w:t>托盘</w:t>
            </w:r>
          </w:p>
          <w:p>
            <w:pPr>
              <w:autoSpaceDE w:val="0"/>
              <w:autoSpaceDN w:val="0"/>
              <w:spacing w:before="46" w:line="360" w:lineRule="auto"/>
              <w:jc w:val="left"/>
              <w:rPr>
                <w:rFonts w:asciiTheme="minorEastAsia" w:hAnsiTheme="minorEastAsia" w:eastAsiaTheme="minorEastAsia"/>
                <w:b/>
                <w:szCs w:val="21"/>
              </w:rPr>
            </w:pPr>
            <w:r>
              <w:rPr>
                <w:rFonts w:hint="eastAsia" w:ascii="宋体" w:hAnsi="宋体" w:cs="宋体"/>
                <w:color w:val="000000"/>
                <w:spacing w:val="-2"/>
                <w:szCs w:val="21"/>
              </w:rPr>
              <w:t>4.▲投标人须出具2021年1月1日后，由副省级家具质量监督检测中心出具的家具原材料抽样检验合格报告（复印件或扫描件</w:t>
            </w:r>
            <w:r>
              <w:rPr>
                <w:rFonts w:hint="eastAsia" w:ascii="宋体" w:hAnsi="宋体" w:cs="宋体"/>
                <w:szCs w:val="21"/>
              </w:rPr>
              <w:t>并加盖投标人公章</w:t>
            </w:r>
            <w:r>
              <w:rPr>
                <w:rFonts w:hint="eastAsia" w:ascii="宋体" w:hAnsi="宋体" w:cs="宋体"/>
                <w:color w:val="000000"/>
                <w:spacing w:val="-2"/>
                <w:szCs w:val="21"/>
              </w:rPr>
              <w:t>）：喷粉电解钢板：符合GB/T  16422.3-2014 检测标准，实验时长为336h，检测结果要求△E≤0.50。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980" w:type="dxa"/>
            <w:vAlign w:val="center"/>
          </w:tcPr>
          <w:p>
            <w:pPr>
              <w:autoSpaceDE w:val="0"/>
              <w:autoSpaceDN w:val="0"/>
              <w:spacing w:line="360" w:lineRule="auto"/>
              <w:jc w:val="center"/>
              <w:rPr>
                <w:rFonts w:hint="eastAsia" w:eastAsia="宋体"/>
                <w:color w:val="000000"/>
                <w:szCs w:val="21"/>
                <w:lang w:val="en-US" w:eastAsia="zh-CN"/>
              </w:rPr>
            </w:pPr>
            <w:r>
              <w:rPr>
                <w:color w:val="000000"/>
                <w:spacing w:val="-4"/>
                <w:szCs w:val="21"/>
                <w:lang w:eastAsia="en-US"/>
              </w:rPr>
              <w:t>餐桌</w:t>
            </w:r>
            <w:r>
              <w:rPr>
                <w:rFonts w:hint="eastAsia"/>
                <w:color w:val="000000"/>
                <w:spacing w:val="-4"/>
                <w:szCs w:val="21"/>
                <w:lang w:val="en-US" w:eastAsia="zh-CN"/>
              </w:rPr>
              <w:t xml:space="preserve"> 1</w:t>
            </w:r>
          </w:p>
          <w:p>
            <w:pPr>
              <w:spacing w:line="360" w:lineRule="auto"/>
              <w:jc w:val="center"/>
              <w:rPr>
                <w:rFonts w:asciiTheme="minorEastAsia" w:hAnsiTheme="minorEastAsia" w:eastAsiaTheme="minorEastAsia"/>
                <w:b/>
                <w:szCs w:val="21"/>
              </w:rPr>
            </w:pPr>
          </w:p>
        </w:tc>
        <w:tc>
          <w:tcPr>
            <w:tcW w:w="6737" w:type="dxa"/>
          </w:tcPr>
          <w:p>
            <w:pPr>
              <w:autoSpaceDE w:val="0"/>
              <w:autoSpaceDN w:val="0"/>
              <w:spacing w:line="360" w:lineRule="auto"/>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φ</w:t>
            </w:r>
            <w:r>
              <w:rPr>
                <w:rFonts w:hint="eastAsia" w:ascii="宋体" w:hAnsi="宋体" w:cs="宋体"/>
                <w:szCs w:val="21"/>
              </w:rPr>
              <w:t>1800*750</w:t>
            </w:r>
            <w:r>
              <w:rPr>
                <w:rFonts w:hint="eastAsia" w:ascii="宋体" w:hAnsi="宋体" w:cs="宋体"/>
                <w:szCs w:val="21"/>
                <w:lang w:val="en-US" w:eastAsia="zh-CN"/>
              </w:rPr>
              <w:t>/mm</w:t>
            </w:r>
          </w:p>
          <w:p>
            <w:pPr>
              <w:autoSpaceDE w:val="0"/>
              <w:autoSpaceDN w:val="0"/>
              <w:spacing w:line="360" w:lineRule="auto"/>
              <w:jc w:val="left"/>
              <w:rPr>
                <w:rFonts w:ascii="宋体" w:hAnsi="宋体" w:cs="宋体"/>
                <w:szCs w:val="21"/>
              </w:rPr>
            </w:pPr>
            <w:r>
              <w:rPr>
                <w:rFonts w:hint="eastAsia" w:ascii="宋体" w:hAnsi="宋体" w:cs="宋体"/>
                <w:szCs w:val="21"/>
              </w:rPr>
              <w:t>2.墩脚：厚度25mm厚甲板合围六边形中柱，配检修门，表面防火板饰面。</w:t>
            </w:r>
          </w:p>
          <w:p>
            <w:pPr>
              <w:autoSpaceDE w:val="0"/>
              <w:autoSpaceDN w:val="0"/>
              <w:spacing w:before="46" w:line="360" w:lineRule="auto"/>
              <w:jc w:val="left"/>
              <w:rPr>
                <w:rFonts w:ascii="宋体" w:hAnsi="宋体" w:cs="宋体"/>
                <w:szCs w:val="21"/>
              </w:rPr>
            </w:pPr>
            <w:r>
              <w:rPr>
                <w:rFonts w:hint="eastAsia" w:ascii="宋体" w:hAnsi="宋体" w:cs="宋体"/>
                <w:szCs w:val="21"/>
              </w:rPr>
              <w:t>桌面：人造石材,厚度20MM，带直径</w:t>
            </w:r>
            <w:r>
              <w:rPr>
                <w:rFonts w:hint="eastAsia" w:ascii="宋体" w:hAnsi="宋体" w:cs="宋体"/>
                <w:szCs w:val="21"/>
                <w:lang w:val="en-US" w:eastAsia="zh-CN"/>
              </w:rPr>
              <w:t>φ</w:t>
            </w:r>
            <w:r>
              <w:rPr>
                <w:rFonts w:hint="eastAsia" w:ascii="宋体" w:hAnsi="宋体" w:cs="宋体"/>
                <w:szCs w:val="21"/>
              </w:rPr>
              <w:t>3.0.8米手动钢化玻璃转盘。</w:t>
            </w:r>
          </w:p>
          <w:p>
            <w:pPr>
              <w:pStyle w:val="20"/>
              <w:spacing w:line="360" w:lineRule="auto"/>
              <w:rPr>
                <w:rFonts w:asciiTheme="minorEastAsia" w:hAnsiTheme="minorEastAsia" w:eastAsiaTheme="minorEastAsia"/>
                <w:b/>
                <w:szCs w:val="21"/>
              </w:rPr>
            </w:pPr>
            <w:r>
              <w:rPr>
                <w:rFonts w:hint="eastAsia" w:ascii="宋体" w:hAnsi="宋体" w:cs="宋体"/>
                <w:szCs w:val="21"/>
              </w:rPr>
              <w:t>3.▲</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）：木纹转印电解钢板：符合 GB/T 3325-2017《金属家具通用技术条件》检测标准，检测结果要求金属喷漆(塑)涂层硬度≥4H，耐腐蚀试验合格，抗盐雾试验无锈点;依据GB/T 1741-2007《漆膜耐霉菌性测定法》标准，耐霉菌性能达到1级或以上。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980" w:type="dxa"/>
            <w:vAlign w:val="center"/>
          </w:tcPr>
          <w:p>
            <w:pPr>
              <w:autoSpaceDE w:val="0"/>
              <w:autoSpaceDN w:val="0"/>
              <w:spacing w:line="360" w:lineRule="auto"/>
              <w:jc w:val="center"/>
              <w:rPr>
                <w:rFonts w:hint="eastAsia" w:eastAsia="宋体" w:asciiTheme="minorEastAsia" w:hAnsiTheme="minorEastAsia"/>
                <w:b/>
                <w:szCs w:val="21"/>
                <w:lang w:val="en-US" w:eastAsia="zh-CN"/>
              </w:rPr>
            </w:pPr>
            <w:r>
              <w:rPr>
                <w:szCs w:val="21"/>
              </w:rPr>
              <w:t>餐椅</w:t>
            </w:r>
            <w:r>
              <w:rPr>
                <w:rFonts w:hint="eastAsia"/>
                <w:szCs w:val="21"/>
                <w:lang w:val="en-US" w:eastAsia="zh-CN"/>
              </w:rPr>
              <w:t xml:space="preserve"> 1</w:t>
            </w:r>
          </w:p>
        </w:tc>
        <w:tc>
          <w:tcPr>
            <w:tcW w:w="6737" w:type="dxa"/>
          </w:tcPr>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rPr>
              <w:t>540*</w:t>
            </w:r>
            <w:r>
              <w:rPr>
                <w:rFonts w:hint="eastAsia" w:ascii="宋体" w:hAnsi="宋体" w:cs="宋体"/>
                <w:szCs w:val="21"/>
                <w:lang w:val="en-US" w:eastAsia="zh-CN"/>
              </w:rPr>
              <w:t>D</w:t>
            </w:r>
            <w:r>
              <w:rPr>
                <w:rFonts w:hint="eastAsia" w:ascii="宋体" w:hAnsi="宋体" w:cs="宋体"/>
                <w:szCs w:val="21"/>
              </w:rPr>
              <w:t>550*</w:t>
            </w:r>
            <w:r>
              <w:rPr>
                <w:rFonts w:hint="eastAsia" w:ascii="宋体" w:hAnsi="宋体" w:cs="宋体"/>
                <w:szCs w:val="21"/>
                <w:lang w:val="en-US" w:eastAsia="zh-CN"/>
              </w:rPr>
              <w:t>H</w:t>
            </w:r>
            <w:r>
              <w:rPr>
                <w:rFonts w:hint="eastAsia" w:ascii="宋体" w:hAnsi="宋体" w:cs="宋体"/>
                <w:szCs w:val="21"/>
              </w:rPr>
              <w:t>800</w:t>
            </w:r>
            <w:r>
              <w:rPr>
                <w:rFonts w:hint="eastAsia" w:ascii="宋体" w:hAnsi="宋体" w:cs="宋体"/>
                <w:szCs w:val="21"/>
                <w:lang w:val="en-US" w:eastAsia="zh-CN"/>
              </w:rPr>
              <w:t>/mm</w:t>
            </w:r>
          </w:p>
          <w:p>
            <w:pPr>
              <w:autoSpaceDE w:val="0"/>
              <w:autoSpaceDN w:val="0"/>
              <w:spacing w:before="43" w:line="360" w:lineRule="auto"/>
              <w:jc w:val="left"/>
              <w:rPr>
                <w:rFonts w:ascii="宋体" w:hAnsi="宋体" w:cs="宋体"/>
                <w:szCs w:val="21"/>
              </w:rPr>
            </w:pPr>
            <w:r>
              <w:rPr>
                <w:rFonts w:hint="eastAsia" w:ascii="宋体" w:hAnsi="宋体" w:cs="宋体"/>
                <w:szCs w:val="21"/>
              </w:rPr>
              <w:t>2.纯蜡木全实木，软包35</w:t>
            </w:r>
            <w:r>
              <w:rPr>
                <w:rFonts w:hint="eastAsia" w:ascii="宋体" w:hAnsi="宋体" w:cs="宋体"/>
                <w:szCs w:val="21"/>
                <w:lang w:val="en-US" w:eastAsia="zh-CN"/>
              </w:rPr>
              <w:t>mm</w:t>
            </w:r>
            <w:r>
              <w:rPr>
                <w:rFonts w:hint="eastAsia" w:ascii="宋体" w:hAnsi="宋体" w:cs="宋体"/>
                <w:szCs w:val="21"/>
              </w:rPr>
              <w:t>以上高密度海绵外扪耐磨人造革 。</w:t>
            </w:r>
          </w:p>
          <w:p>
            <w:pPr>
              <w:autoSpaceDE w:val="0"/>
              <w:autoSpaceDN w:val="0"/>
              <w:spacing w:before="43" w:line="360" w:lineRule="auto"/>
              <w:jc w:val="left"/>
              <w:rPr>
                <w:rFonts w:ascii="宋体" w:hAnsi="宋体" w:cs="宋体"/>
                <w:szCs w:val="21"/>
              </w:rPr>
            </w:pPr>
            <w:r>
              <w:rPr>
                <w:rFonts w:hint="eastAsia" w:ascii="宋体" w:hAnsi="宋体" w:cs="宋体"/>
                <w:szCs w:val="21"/>
              </w:rPr>
              <w:t>3.采用出榫开槽实结构，粘合全部AB铁胶。</w:t>
            </w:r>
          </w:p>
          <w:p>
            <w:pPr>
              <w:pStyle w:val="20"/>
              <w:spacing w:line="360" w:lineRule="auto"/>
              <w:rPr>
                <w:rFonts w:asciiTheme="minorEastAsia" w:hAnsiTheme="minorEastAsia" w:eastAsiaTheme="minorEastAsia"/>
                <w:b/>
                <w:szCs w:val="21"/>
              </w:rPr>
            </w:pPr>
            <w:r>
              <w:rPr>
                <w:rFonts w:hint="eastAsia" w:ascii="宋体" w:hAnsi="宋体" w:cs="宋体"/>
                <w:szCs w:val="21"/>
              </w:rPr>
              <w:t>4.</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w:t>
            </w:r>
            <w:r>
              <w:rPr>
                <w:rFonts w:hint="eastAsia"/>
                <w:lang w:val="en-US" w:eastAsia="zh-CN"/>
              </w:rPr>
              <w:t>出具</w:t>
            </w:r>
            <w:r>
              <w:rPr>
                <w:rFonts w:hint="eastAsia" w:ascii="宋体" w:hAnsi="宋体" w:cs="宋体"/>
                <w:szCs w:val="21"/>
                <w:lang w:val="zh-CN"/>
              </w:rPr>
              <w:t>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）：塑木：符合GB/T 24137-2009《木塑装饰板》检测标准，检测结果要求甲醛释放量≤0.5mg/L，重金属含量可溶性铅、镉、铬、汞符合标准要求，吸水膨胀率≤0.5%，表面胶合强度≥0.60MPa。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szCs w:val="21"/>
              </w:rPr>
              <w:t>餐椅</w:t>
            </w:r>
            <w:r>
              <w:rPr>
                <w:rFonts w:hint="eastAsia"/>
                <w:szCs w:val="21"/>
                <w:lang w:val="en-US" w:eastAsia="zh-CN"/>
              </w:rPr>
              <w:t>2</w:t>
            </w:r>
          </w:p>
        </w:tc>
        <w:tc>
          <w:tcPr>
            <w:tcW w:w="6737" w:type="dxa"/>
          </w:tcPr>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510*</w:t>
            </w:r>
            <w:r>
              <w:rPr>
                <w:rFonts w:hint="eastAsia" w:ascii="宋体" w:hAnsi="宋体" w:cs="宋体"/>
                <w:szCs w:val="21"/>
                <w:lang w:val="en-US" w:eastAsia="zh-CN"/>
              </w:rPr>
              <w:t>D</w:t>
            </w:r>
            <w:r>
              <w:rPr>
                <w:rFonts w:hint="eastAsia" w:ascii="宋体" w:hAnsi="宋体" w:cs="宋体"/>
                <w:szCs w:val="21"/>
                <w:lang w:eastAsia="en-US"/>
              </w:rPr>
              <w:t>500*</w:t>
            </w:r>
            <w:r>
              <w:rPr>
                <w:rFonts w:hint="eastAsia" w:ascii="宋体" w:hAnsi="宋体" w:cs="宋体"/>
                <w:szCs w:val="21"/>
                <w:lang w:val="en-US" w:eastAsia="zh-CN"/>
              </w:rPr>
              <w:t>H</w:t>
            </w:r>
            <w:r>
              <w:rPr>
                <w:rFonts w:hint="eastAsia" w:ascii="宋体" w:hAnsi="宋体" w:cs="宋体"/>
                <w:szCs w:val="21"/>
                <w:lang w:eastAsia="en-US"/>
              </w:rPr>
              <w:t>810</w:t>
            </w:r>
            <w:r>
              <w:rPr>
                <w:rFonts w:hint="eastAsia" w:ascii="宋体" w:hAnsi="宋体" w:cs="宋体"/>
                <w:szCs w:val="21"/>
                <w:lang w:val="en-US" w:eastAsia="zh-CN"/>
              </w:rPr>
              <w:t>/mm</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2.</w:t>
            </w:r>
            <w:r>
              <w:rPr>
                <w:rFonts w:hint="eastAsia" w:ascii="宋体" w:hAnsi="宋体" w:cs="宋体"/>
                <w:szCs w:val="21"/>
                <w:lang w:eastAsia="en-US"/>
              </w:rPr>
              <w:t>PP塑料椅座，无软包电镀金属四叉脚/烤漆四叉脚</w:t>
            </w:r>
          </w:p>
          <w:p>
            <w:pPr>
              <w:numPr>
                <w:ilvl w:val="0"/>
                <w:numId w:val="5"/>
              </w:numPr>
              <w:autoSpaceDE w:val="0"/>
              <w:autoSpaceDN w:val="0"/>
              <w:spacing w:before="43" w:line="360" w:lineRule="auto"/>
              <w:jc w:val="left"/>
              <w:rPr>
                <w:rFonts w:ascii="宋体" w:hAnsi="宋体" w:cs="宋体"/>
                <w:szCs w:val="21"/>
                <w:lang w:eastAsia="en-US"/>
              </w:rPr>
            </w:pPr>
            <w:r>
              <w:rPr>
                <w:rFonts w:hint="eastAsia" w:ascii="宋体" w:hAnsi="宋体" w:cs="宋体"/>
                <w:szCs w:val="21"/>
                <w:lang w:eastAsia="en-US"/>
              </w:rPr>
              <w:t>PP椅板</w:t>
            </w:r>
            <w:r>
              <w:rPr>
                <w:rFonts w:hint="eastAsia" w:ascii="宋体" w:hAnsi="宋体" w:cs="宋体"/>
                <w:szCs w:val="21"/>
                <w:lang w:val="en-US" w:eastAsia="zh-CN"/>
              </w:rPr>
              <w:t>颜色</w:t>
            </w:r>
            <w:r>
              <w:rPr>
                <w:rFonts w:hint="eastAsia" w:ascii="宋体" w:hAnsi="宋体" w:cs="宋体"/>
                <w:szCs w:val="21"/>
                <w:lang w:eastAsia="en-US"/>
              </w:rPr>
              <w:t>：黑/白/灰/红/绛蓝/黄/绿</w:t>
            </w:r>
            <w:r>
              <w:rPr>
                <w:rFonts w:hint="eastAsia"/>
                <w:lang w:eastAsia="zh-CN"/>
              </w:rPr>
              <w:t>（</w:t>
            </w:r>
            <w:r>
              <w:rPr>
                <w:rFonts w:hint="eastAsia"/>
                <w:lang w:val="en-US" w:eastAsia="zh-CN"/>
              </w:rPr>
              <w:t>根据现场情况定制）</w:t>
            </w:r>
          </w:p>
          <w:p>
            <w:pPr>
              <w:numPr>
                <w:ilvl w:val="0"/>
                <w:numId w:val="5"/>
              </w:numPr>
              <w:autoSpaceDE w:val="0"/>
              <w:autoSpaceDN w:val="0"/>
              <w:spacing w:before="43" w:line="360" w:lineRule="auto"/>
              <w:jc w:val="left"/>
              <w:rPr>
                <w:rFonts w:ascii="宋体" w:hAnsi="宋体" w:cs="宋体"/>
                <w:szCs w:val="21"/>
                <w:lang w:eastAsia="en-US"/>
              </w:rPr>
            </w:pPr>
            <w:r>
              <w:rPr>
                <w:rFonts w:hint="eastAsia" w:ascii="宋体" w:hAnsi="宋体" w:cs="宋体"/>
                <w:szCs w:val="21"/>
                <w:lang w:eastAsia="en-US"/>
              </w:rPr>
              <w:t>脚架：电镀/黑/白烤漆四叉脚</w:t>
            </w:r>
          </w:p>
          <w:p>
            <w:pPr>
              <w:pStyle w:val="20"/>
              <w:spacing w:line="360" w:lineRule="auto"/>
              <w:rPr>
                <w:rFonts w:asciiTheme="minorEastAsia" w:hAnsiTheme="minorEastAsia" w:eastAsiaTheme="minorEastAsia"/>
                <w:b/>
                <w:szCs w:val="21"/>
              </w:rPr>
            </w:pPr>
            <w:r>
              <w:rPr>
                <w:rFonts w:hint="eastAsia" w:ascii="宋体" w:hAnsi="宋体" w:cs="宋体"/>
                <w:szCs w:val="21"/>
              </w:rPr>
              <w:t>5.</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休闲椅：符合GB/T3325-2017《金属家具通用技术条件》检测标准，检测结果要求外观性能要求金属件管材、焊接件、皱纹或波纹、喷涂层符合标准要求，抗盐雾无锈点，椅凳类稳定性(包括椅子向前倾翻试验、椅子向后倾翻试验)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szCs w:val="21"/>
              </w:rPr>
              <w:t>吧台餐椅</w:t>
            </w:r>
          </w:p>
        </w:tc>
        <w:tc>
          <w:tcPr>
            <w:tcW w:w="6737" w:type="dxa"/>
          </w:tcPr>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600*</w:t>
            </w:r>
            <w:r>
              <w:rPr>
                <w:rFonts w:hint="eastAsia" w:ascii="宋体" w:hAnsi="宋体" w:cs="宋体"/>
                <w:szCs w:val="21"/>
                <w:lang w:val="en-US" w:eastAsia="zh-CN"/>
              </w:rPr>
              <w:t>D</w:t>
            </w:r>
            <w:r>
              <w:rPr>
                <w:rFonts w:hint="eastAsia" w:ascii="宋体" w:hAnsi="宋体" w:cs="宋体"/>
                <w:szCs w:val="21"/>
                <w:lang w:eastAsia="en-US"/>
              </w:rPr>
              <w:t>540*</w:t>
            </w:r>
            <w:r>
              <w:rPr>
                <w:rFonts w:hint="eastAsia" w:ascii="宋体" w:hAnsi="宋体" w:cs="宋体"/>
                <w:szCs w:val="21"/>
                <w:lang w:val="en-US" w:eastAsia="zh-CN"/>
              </w:rPr>
              <w:t>H</w:t>
            </w:r>
            <w:r>
              <w:rPr>
                <w:rFonts w:hint="eastAsia" w:ascii="宋体" w:hAnsi="宋体" w:cs="宋体"/>
                <w:szCs w:val="21"/>
                <w:lang w:eastAsia="en-US"/>
              </w:rPr>
              <w:t>1080</w:t>
            </w:r>
            <w:r>
              <w:rPr>
                <w:rFonts w:hint="eastAsia" w:ascii="宋体" w:hAnsi="宋体" w:cs="宋体"/>
                <w:szCs w:val="21"/>
                <w:lang w:val="en-US" w:eastAsia="zh-CN"/>
              </w:rPr>
              <w:t>/mm</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2.</w:t>
            </w:r>
            <w:r>
              <w:rPr>
                <w:rFonts w:hint="eastAsia" w:ascii="宋体" w:hAnsi="宋体" w:cs="宋体"/>
                <w:szCs w:val="21"/>
                <w:lang w:eastAsia="en-US"/>
              </w:rPr>
              <w:t>PP塑料椅座，椅面半软包</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3.</w:t>
            </w:r>
            <w:r>
              <w:rPr>
                <w:rFonts w:hint="eastAsia" w:ascii="宋体" w:hAnsi="宋体" w:cs="宋体"/>
                <w:szCs w:val="21"/>
                <w:lang w:eastAsia="en-US"/>
              </w:rPr>
              <w:t>金属烤漆回形脚</w:t>
            </w:r>
          </w:p>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4.</w:t>
            </w:r>
            <w:r>
              <w:rPr>
                <w:rFonts w:hint="eastAsia" w:ascii="宋体" w:hAnsi="宋体" w:cs="宋体"/>
                <w:szCs w:val="21"/>
                <w:lang w:eastAsia="en-US"/>
              </w:rPr>
              <w:t>PP椅板</w:t>
            </w:r>
            <w:r>
              <w:rPr>
                <w:rFonts w:hint="eastAsia" w:ascii="宋体" w:hAnsi="宋体" w:cs="宋体"/>
                <w:szCs w:val="21"/>
                <w:lang w:val="en-US" w:eastAsia="zh-CN"/>
              </w:rPr>
              <w:t>颜色</w:t>
            </w:r>
            <w:r>
              <w:rPr>
                <w:rFonts w:hint="eastAsia" w:ascii="宋体" w:hAnsi="宋体" w:cs="宋体"/>
                <w:szCs w:val="21"/>
                <w:lang w:eastAsia="en-US"/>
              </w:rPr>
              <w:t>：黑/白/灰/红/绛蓝/黄/绿</w:t>
            </w:r>
            <w:r>
              <w:rPr>
                <w:rFonts w:hint="eastAsia"/>
                <w:lang w:eastAsia="zh-CN"/>
              </w:rPr>
              <w:t>（</w:t>
            </w:r>
            <w:r>
              <w:rPr>
                <w:rFonts w:hint="eastAsia"/>
                <w:lang w:val="en-US" w:eastAsia="zh-CN"/>
              </w:rPr>
              <w:t>根据现场情况定制）</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5.</w:t>
            </w:r>
            <w:r>
              <w:rPr>
                <w:rFonts w:hint="eastAsia" w:ascii="宋体" w:hAnsi="宋体" w:cs="宋体"/>
                <w:szCs w:val="21"/>
                <w:lang w:eastAsia="en-US"/>
              </w:rPr>
              <w:t>脚架：电镀/黑/白烤漆四叉脚</w:t>
            </w:r>
          </w:p>
          <w:p>
            <w:pPr>
              <w:pStyle w:val="20"/>
              <w:spacing w:line="360" w:lineRule="auto"/>
              <w:rPr>
                <w:rFonts w:asciiTheme="minorEastAsia" w:hAnsiTheme="minorEastAsia" w:eastAsiaTheme="minorEastAsia"/>
                <w:b/>
                <w:szCs w:val="21"/>
              </w:rPr>
            </w:pPr>
            <w:r>
              <w:rPr>
                <w:rFonts w:hint="eastAsia" w:ascii="宋体" w:hAnsi="宋体" w:cs="宋体"/>
                <w:szCs w:val="21"/>
              </w:rPr>
              <w:t>▲投标人须出具2021年1月1日后，由副省级家具质量监督检测中心出具的家具原材料抽样检验合格报告（复印件或扫描件并加盖投标人公章）：椅子pp材料：符合GB 28481-2012《塑料家具中有害物质限量》检测标准,检测结果要求符合检测标准要求。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color w:val="000000"/>
                <w:spacing w:val="-4"/>
                <w:szCs w:val="21"/>
                <w:lang w:eastAsia="en-US"/>
              </w:rPr>
              <w:t>方形餐桌</w:t>
            </w:r>
            <w:r>
              <w:rPr>
                <w:rFonts w:hint="eastAsia"/>
                <w:color w:val="000000"/>
                <w:spacing w:val="-4"/>
                <w:szCs w:val="21"/>
                <w:lang w:val="en-US" w:eastAsia="zh-CN"/>
              </w:rPr>
              <w:t>4</w:t>
            </w:r>
          </w:p>
        </w:tc>
        <w:tc>
          <w:tcPr>
            <w:tcW w:w="6737" w:type="dxa"/>
          </w:tcPr>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1200*</w:t>
            </w:r>
            <w:r>
              <w:rPr>
                <w:rFonts w:hint="eastAsia" w:ascii="宋体" w:hAnsi="宋体" w:cs="宋体"/>
                <w:szCs w:val="21"/>
                <w:lang w:val="en-US" w:eastAsia="zh-CN"/>
              </w:rPr>
              <w:t>D</w:t>
            </w:r>
            <w:r>
              <w:rPr>
                <w:rFonts w:hint="eastAsia" w:ascii="宋体" w:hAnsi="宋体" w:cs="宋体"/>
                <w:szCs w:val="21"/>
                <w:lang w:eastAsia="en-US"/>
              </w:rPr>
              <w:t>700*</w:t>
            </w:r>
            <w:r>
              <w:rPr>
                <w:rFonts w:hint="eastAsia" w:ascii="宋体" w:hAnsi="宋体" w:cs="宋体"/>
                <w:szCs w:val="21"/>
                <w:lang w:val="en-US" w:eastAsia="zh-CN"/>
              </w:rPr>
              <w:t>H</w:t>
            </w:r>
            <w:r>
              <w:rPr>
                <w:rFonts w:hint="eastAsia" w:ascii="宋体" w:hAnsi="宋体" w:cs="宋体"/>
                <w:szCs w:val="21"/>
                <w:lang w:eastAsia="en-US"/>
              </w:rPr>
              <w:t>750</w:t>
            </w:r>
            <w:r>
              <w:rPr>
                <w:rFonts w:hint="eastAsia" w:ascii="宋体" w:hAnsi="宋体" w:cs="宋体"/>
                <w:szCs w:val="21"/>
                <w:lang w:val="en-US" w:eastAsia="zh-CN"/>
              </w:rPr>
              <w:t>/mm</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2.</w:t>
            </w:r>
            <w:r>
              <w:rPr>
                <w:rFonts w:hint="eastAsia" w:ascii="宋体" w:hAnsi="宋体" w:cs="宋体"/>
                <w:szCs w:val="21"/>
                <w:lang w:eastAsia="en-US"/>
              </w:rPr>
              <w:t>桌面：人造大理石材</w:t>
            </w:r>
            <w:r>
              <w:rPr>
                <w:rFonts w:hint="eastAsia" w:ascii="宋体" w:hAnsi="宋体" w:cs="宋体"/>
                <w:szCs w:val="21"/>
              </w:rPr>
              <w:t>，</w:t>
            </w:r>
            <w:r>
              <w:rPr>
                <w:rFonts w:hint="eastAsia" w:ascii="宋体" w:hAnsi="宋体" w:cs="宋体"/>
                <w:szCs w:val="21"/>
                <w:lang w:eastAsia="en-US"/>
              </w:rPr>
              <w:t>厚度15MM，倒斜边，倒圆边处理台架：直径</w:t>
            </w:r>
            <w:r>
              <w:rPr>
                <w:rFonts w:hint="eastAsia" w:ascii="宋体" w:hAnsi="宋体" w:cs="宋体"/>
                <w:szCs w:val="21"/>
                <w:lang w:val="en-US" w:eastAsia="zh-CN"/>
              </w:rPr>
              <w:t>φ</w:t>
            </w:r>
            <w:r>
              <w:rPr>
                <w:rFonts w:hint="eastAsia" w:ascii="宋体" w:hAnsi="宋体" w:cs="宋体"/>
                <w:szCs w:val="21"/>
                <w:lang w:eastAsia="en-US"/>
              </w:rPr>
              <w:t>400</w:t>
            </w:r>
            <w:r>
              <w:rPr>
                <w:rFonts w:hint="eastAsia" w:ascii="宋体" w:hAnsi="宋体" w:cs="宋体"/>
                <w:szCs w:val="21"/>
                <w:lang w:val="en-US" w:eastAsia="zh-CN"/>
              </w:rPr>
              <w:t>mm</w:t>
            </w:r>
            <w:r>
              <w:rPr>
                <w:rFonts w:hint="eastAsia" w:ascii="宋体" w:hAnsi="宋体" w:cs="宋体"/>
                <w:szCs w:val="21"/>
                <w:lang w:eastAsia="en-US"/>
              </w:rPr>
              <w:t>圆不锈钢表面静电喷粉防锈处理底盘，配300</w:t>
            </w:r>
            <w:r>
              <w:rPr>
                <w:rFonts w:hint="eastAsia" w:ascii="宋体" w:hAnsi="宋体" w:cs="宋体"/>
                <w:szCs w:val="21"/>
                <w:lang w:val="en-US" w:eastAsia="zh-CN"/>
              </w:rPr>
              <w:t>mm</w:t>
            </w:r>
            <w:r>
              <w:rPr>
                <w:rFonts w:hint="eastAsia" w:ascii="宋体" w:hAnsi="宋体" w:cs="宋体"/>
                <w:szCs w:val="21"/>
                <w:lang w:eastAsia="en-US"/>
              </w:rPr>
              <w:t>*300</w:t>
            </w:r>
            <w:r>
              <w:rPr>
                <w:rFonts w:hint="eastAsia" w:ascii="宋体" w:hAnsi="宋体" w:cs="宋体"/>
                <w:szCs w:val="21"/>
                <w:lang w:val="en-US" w:eastAsia="zh-CN"/>
              </w:rPr>
              <w:t>mm</w:t>
            </w:r>
            <w:r>
              <w:rPr>
                <w:rFonts w:hint="eastAsia" w:ascii="宋体" w:hAnsi="宋体" w:cs="宋体"/>
                <w:szCs w:val="21"/>
                <w:lang w:eastAsia="en-US"/>
              </w:rPr>
              <w:t>托盘</w:t>
            </w:r>
          </w:p>
          <w:p>
            <w:pPr>
              <w:pStyle w:val="20"/>
              <w:spacing w:line="360" w:lineRule="auto"/>
              <w:rPr>
                <w:rFonts w:asciiTheme="minorEastAsia" w:hAnsiTheme="minorEastAsia" w:eastAsiaTheme="minorEastAsia"/>
                <w:b/>
                <w:szCs w:val="21"/>
              </w:rPr>
            </w:pPr>
            <w:r>
              <w:rPr>
                <w:rFonts w:hint="eastAsia" w:ascii="宋体" w:hAnsi="宋体" w:cs="宋体"/>
                <w:szCs w:val="21"/>
              </w:rPr>
              <w:t>3.</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）：喷粉电解钢板：符合GB/T  16422.3-2014 检测标准，实验时长为336h，检测结果要求△E≤0.50。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color w:val="000000"/>
                <w:spacing w:val="-4"/>
                <w:szCs w:val="21"/>
                <w:lang w:eastAsia="en-US"/>
              </w:rPr>
              <w:t>方形餐桌</w:t>
            </w:r>
            <w:r>
              <w:rPr>
                <w:rFonts w:hint="eastAsia"/>
                <w:color w:val="000000"/>
                <w:spacing w:val="-4"/>
                <w:szCs w:val="21"/>
                <w:lang w:val="en-US" w:eastAsia="zh-CN"/>
              </w:rPr>
              <w:t>5</w:t>
            </w:r>
          </w:p>
        </w:tc>
        <w:tc>
          <w:tcPr>
            <w:tcW w:w="6737" w:type="dxa"/>
          </w:tcPr>
          <w:p>
            <w:pPr>
              <w:autoSpaceDE w:val="0"/>
              <w:autoSpaceDN w:val="0"/>
              <w:spacing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1800*</w:t>
            </w:r>
            <w:r>
              <w:rPr>
                <w:rFonts w:hint="eastAsia" w:ascii="宋体" w:hAnsi="宋体" w:cs="宋体"/>
                <w:szCs w:val="21"/>
                <w:lang w:val="en-US" w:eastAsia="zh-CN"/>
              </w:rPr>
              <w:t>D</w:t>
            </w:r>
            <w:r>
              <w:rPr>
                <w:rFonts w:hint="eastAsia" w:ascii="宋体" w:hAnsi="宋体" w:cs="宋体"/>
                <w:szCs w:val="21"/>
                <w:lang w:eastAsia="en-US"/>
              </w:rPr>
              <w:t>700*</w:t>
            </w:r>
            <w:r>
              <w:rPr>
                <w:rFonts w:hint="eastAsia" w:ascii="宋体" w:hAnsi="宋体" w:cs="宋体"/>
                <w:szCs w:val="21"/>
                <w:lang w:val="en-US" w:eastAsia="zh-CN"/>
              </w:rPr>
              <w:t>H</w:t>
            </w:r>
            <w:r>
              <w:rPr>
                <w:rFonts w:hint="eastAsia" w:ascii="宋体" w:hAnsi="宋体" w:cs="宋体"/>
                <w:szCs w:val="21"/>
                <w:lang w:eastAsia="en-US"/>
              </w:rPr>
              <w:t>750</w:t>
            </w:r>
            <w:r>
              <w:rPr>
                <w:rFonts w:hint="eastAsia" w:ascii="宋体" w:hAnsi="宋体" w:cs="宋体"/>
                <w:szCs w:val="21"/>
                <w:lang w:val="en-US" w:eastAsia="zh-CN"/>
              </w:rPr>
              <w:t>/mm</w:t>
            </w:r>
          </w:p>
          <w:p>
            <w:pPr>
              <w:autoSpaceDE w:val="0"/>
              <w:autoSpaceDN w:val="0"/>
              <w:spacing w:line="360" w:lineRule="auto"/>
              <w:jc w:val="left"/>
              <w:rPr>
                <w:rFonts w:ascii="宋体" w:hAnsi="宋体" w:cs="宋体"/>
                <w:szCs w:val="21"/>
                <w:lang w:eastAsia="en-US"/>
              </w:rPr>
            </w:pPr>
            <w:r>
              <w:rPr>
                <w:rFonts w:hint="eastAsia" w:ascii="宋体" w:hAnsi="宋体" w:cs="宋体"/>
                <w:szCs w:val="21"/>
              </w:rPr>
              <w:t>2.</w:t>
            </w:r>
            <w:r>
              <w:rPr>
                <w:rFonts w:hint="eastAsia" w:ascii="宋体" w:hAnsi="宋体" w:cs="宋体"/>
                <w:szCs w:val="21"/>
                <w:lang w:eastAsia="en-US"/>
              </w:rPr>
              <w:t>桌面：人造大理石材,厚度15MM，倒斜边，倒圆边处理。</w:t>
            </w:r>
          </w:p>
          <w:p>
            <w:pPr>
              <w:autoSpaceDE w:val="0"/>
              <w:autoSpaceDN w:val="0"/>
              <w:spacing w:line="360" w:lineRule="auto"/>
              <w:jc w:val="left"/>
              <w:rPr>
                <w:rFonts w:ascii="宋体" w:hAnsi="宋体" w:cs="宋体"/>
                <w:szCs w:val="21"/>
                <w:lang w:eastAsia="en-US"/>
              </w:rPr>
            </w:pPr>
            <w:r>
              <w:rPr>
                <w:rFonts w:hint="eastAsia" w:ascii="宋体" w:hAnsi="宋体" w:cs="宋体"/>
                <w:szCs w:val="21"/>
              </w:rPr>
              <w:t>3.</w:t>
            </w:r>
            <w:r>
              <w:rPr>
                <w:rFonts w:hint="eastAsia" w:ascii="宋体" w:hAnsi="宋体" w:cs="宋体"/>
                <w:szCs w:val="21"/>
                <w:lang w:eastAsia="en-US"/>
              </w:rPr>
              <w:t>台架：直径</w:t>
            </w:r>
            <w:r>
              <w:rPr>
                <w:rFonts w:hint="eastAsia" w:ascii="宋体" w:hAnsi="宋体" w:cs="宋体"/>
                <w:szCs w:val="21"/>
                <w:lang w:val="en-US" w:eastAsia="zh-CN"/>
              </w:rPr>
              <w:t>φ</w:t>
            </w:r>
            <w:r>
              <w:rPr>
                <w:rFonts w:hint="eastAsia" w:ascii="宋体" w:hAnsi="宋体" w:cs="宋体"/>
                <w:szCs w:val="21"/>
                <w:lang w:eastAsia="en-US"/>
              </w:rPr>
              <w:t>500</w:t>
            </w:r>
            <w:r>
              <w:rPr>
                <w:rFonts w:hint="eastAsia" w:ascii="宋体" w:hAnsi="宋体" w:cs="宋体"/>
                <w:szCs w:val="21"/>
                <w:lang w:val="en-US" w:eastAsia="zh-CN"/>
              </w:rPr>
              <w:t>mm</w:t>
            </w:r>
            <w:r>
              <w:rPr>
                <w:rFonts w:hint="eastAsia" w:ascii="宋体" w:hAnsi="宋体" w:cs="宋体"/>
                <w:szCs w:val="21"/>
                <w:lang w:eastAsia="en-US"/>
              </w:rPr>
              <w:t>圆不锈钢表面静电喷粉防锈处理底盘，配350</w:t>
            </w:r>
            <w:r>
              <w:rPr>
                <w:rFonts w:hint="eastAsia" w:ascii="宋体" w:hAnsi="宋体" w:cs="宋体"/>
                <w:szCs w:val="21"/>
                <w:lang w:val="en-US" w:eastAsia="zh-CN"/>
              </w:rPr>
              <w:t>mm</w:t>
            </w:r>
            <w:r>
              <w:rPr>
                <w:rFonts w:hint="eastAsia" w:ascii="宋体" w:hAnsi="宋体" w:cs="宋体"/>
                <w:szCs w:val="21"/>
                <w:lang w:eastAsia="en-US"/>
              </w:rPr>
              <w:t>*350</w:t>
            </w:r>
            <w:r>
              <w:rPr>
                <w:rFonts w:hint="eastAsia" w:ascii="宋体" w:hAnsi="宋体" w:cs="宋体"/>
                <w:szCs w:val="21"/>
                <w:lang w:val="en-US" w:eastAsia="zh-CN"/>
              </w:rPr>
              <w:t>mm</w:t>
            </w:r>
            <w:r>
              <w:rPr>
                <w:rFonts w:hint="eastAsia" w:ascii="宋体" w:hAnsi="宋体" w:cs="宋体"/>
                <w:szCs w:val="21"/>
                <w:lang w:eastAsia="en-US"/>
              </w:rPr>
              <w:t>托盘</w:t>
            </w:r>
          </w:p>
          <w:p>
            <w:pPr>
              <w:pStyle w:val="20"/>
              <w:spacing w:line="360" w:lineRule="auto"/>
              <w:rPr>
                <w:rFonts w:asciiTheme="minorEastAsia" w:hAnsiTheme="minorEastAsia" w:eastAsiaTheme="minorEastAsia"/>
                <w:b/>
                <w:szCs w:val="21"/>
              </w:rPr>
            </w:pPr>
            <w:r>
              <w:rPr>
                <w:rFonts w:hint="eastAsia" w:ascii="宋体" w:hAnsi="宋体" w:cs="宋体"/>
                <w:szCs w:val="21"/>
              </w:rPr>
              <w:t>4.</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）：喷粉电解钢板：符合GB/T  16422.3-2014 检测标准，实验时长为336h，检测结果要求△E≤0.50。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szCs w:val="21"/>
              </w:rPr>
              <w:t>餐椅</w:t>
            </w:r>
            <w:r>
              <w:rPr>
                <w:rFonts w:hint="eastAsia"/>
                <w:szCs w:val="21"/>
                <w:lang w:val="en-US" w:eastAsia="zh-CN"/>
              </w:rPr>
              <w:t>3</w:t>
            </w:r>
          </w:p>
        </w:tc>
        <w:tc>
          <w:tcPr>
            <w:tcW w:w="6737" w:type="dxa"/>
          </w:tcPr>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510*</w:t>
            </w:r>
            <w:r>
              <w:rPr>
                <w:rFonts w:hint="eastAsia" w:ascii="宋体" w:hAnsi="宋体" w:cs="宋体"/>
                <w:szCs w:val="21"/>
                <w:lang w:val="en-US" w:eastAsia="zh-CN"/>
              </w:rPr>
              <w:t>D</w:t>
            </w:r>
            <w:r>
              <w:rPr>
                <w:rFonts w:hint="eastAsia" w:ascii="宋体" w:hAnsi="宋体" w:cs="宋体"/>
                <w:szCs w:val="21"/>
                <w:lang w:eastAsia="en-US"/>
              </w:rPr>
              <w:t>500*</w:t>
            </w:r>
            <w:r>
              <w:rPr>
                <w:rFonts w:hint="eastAsia" w:ascii="宋体" w:hAnsi="宋体" w:cs="宋体"/>
                <w:szCs w:val="21"/>
                <w:lang w:val="en-US" w:eastAsia="zh-CN"/>
              </w:rPr>
              <w:t>H</w:t>
            </w:r>
            <w:r>
              <w:rPr>
                <w:rFonts w:hint="eastAsia" w:ascii="宋体" w:hAnsi="宋体" w:cs="宋体"/>
                <w:szCs w:val="21"/>
                <w:lang w:eastAsia="en-US"/>
              </w:rPr>
              <w:t>810</w:t>
            </w:r>
            <w:r>
              <w:rPr>
                <w:rFonts w:hint="eastAsia" w:ascii="宋体" w:hAnsi="宋体" w:cs="宋体"/>
                <w:szCs w:val="21"/>
                <w:lang w:val="en-US" w:eastAsia="zh-CN"/>
              </w:rPr>
              <w:t>/mm</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2.</w:t>
            </w:r>
            <w:r>
              <w:rPr>
                <w:rFonts w:hint="eastAsia" w:ascii="宋体" w:hAnsi="宋体" w:cs="宋体"/>
                <w:szCs w:val="21"/>
                <w:lang w:eastAsia="en-US"/>
              </w:rPr>
              <w:t>PP塑料椅座，无软包电镀金属四叉脚/烤漆四叉脚</w:t>
            </w:r>
          </w:p>
          <w:p>
            <w:pPr>
              <w:numPr>
                <w:ilvl w:val="0"/>
                <w:numId w:val="6"/>
              </w:numPr>
              <w:autoSpaceDE w:val="0"/>
              <w:autoSpaceDN w:val="0"/>
              <w:spacing w:before="43" w:line="360" w:lineRule="auto"/>
              <w:jc w:val="left"/>
              <w:rPr>
                <w:rFonts w:ascii="宋体" w:hAnsi="宋体" w:cs="宋体"/>
                <w:szCs w:val="21"/>
                <w:lang w:eastAsia="en-US"/>
              </w:rPr>
            </w:pPr>
            <w:r>
              <w:rPr>
                <w:rFonts w:hint="eastAsia" w:ascii="宋体" w:hAnsi="宋体" w:cs="宋体"/>
                <w:szCs w:val="21"/>
                <w:lang w:eastAsia="en-US"/>
              </w:rPr>
              <w:t>PP椅板</w:t>
            </w:r>
            <w:r>
              <w:rPr>
                <w:rFonts w:hint="eastAsia" w:ascii="宋体" w:hAnsi="宋体" w:cs="宋体"/>
                <w:szCs w:val="21"/>
                <w:lang w:val="en-US" w:eastAsia="zh-CN"/>
              </w:rPr>
              <w:t>颜色</w:t>
            </w:r>
            <w:r>
              <w:rPr>
                <w:rFonts w:hint="eastAsia" w:ascii="宋体" w:hAnsi="宋体" w:cs="宋体"/>
                <w:szCs w:val="21"/>
                <w:lang w:eastAsia="en-US"/>
              </w:rPr>
              <w:t>：黑/白/灰/红/绛蓝/黄/绿</w:t>
            </w:r>
            <w:r>
              <w:rPr>
                <w:rFonts w:hint="eastAsia"/>
                <w:lang w:eastAsia="zh-CN"/>
              </w:rPr>
              <w:t>（</w:t>
            </w:r>
            <w:r>
              <w:rPr>
                <w:rFonts w:hint="eastAsia"/>
                <w:lang w:val="en-US" w:eastAsia="zh-CN"/>
              </w:rPr>
              <w:t>根据现场情况定制）</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4.</w:t>
            </w:r>
            <w:r>
              <w:rPr>
                <w:rFonts w:hint="eastAsia" w:ascii="宋体" w:hAnsi="宋体" w:cs="宋体"/>
                <w:szCs w:val="21"/>
                <w:lang w:eastAsia="en-US"/>
              </w:rPr>
              <w:t>脚架：电镀/黑/白烤漆四叉脚</w:t>
            </w:r>
          </w:p>
          <w:p>
            <w:pPr>
              <w:pStyle w:val="20"/>
              <w:spacing w:line="360" w:lineRule="auto"/>
              <w:rPr>
                <w:rFonts w:asciiTheme="minorEastAsia" w:hAnsiTheme="minorEastAsia" w:eastAsiaTheme="minorEastAsia"/>
                <w:b/>
                <w:szCs w:val="21"/>
              </w:rPr>
            </w:pPr>
            <w:r>
              <w:rPr>
                <w:rFonts w:hint="eastAsia" w:ascii="宋体" w:hAnsi="宋体" w:cs="宋体"/>
                <w:szCs w:val="21"/>
              </w:rPr>
              <w:t>5.</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休闲椅：符合GB/T3325-2017《金属家具通用技术条件》检测标准，检测结果要求外观性能要求金属件管材、焊接件、皱纹或波纹、喷涂层符合标准要求，抗盐雾无锈点，椅凳类稳定性(包括椅子向前倾翻试验、椅子向后倾翻试验)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szCs w:val="21"/>
              </w:rPr>
              <w:t>餐桌</w:t>
            </w:r>
            <w:r>
              <w:rPr>
                <w:rFonts w:hint="eastAsia"/>
                <w:szCs w:val="21"/>
                <w:lang w:val="en-US" w:eastAsia="zh-CN"/>
              </w:rPr>
              <w:t>2</w:t>
            </w:r>
          </w:p>
        </w:tc>
        <w:tc>
          <w:tcPr>
            <w:tcW w:w="6737" w:type="dxa"/>
          </w:tcPr>
          <w:p>
            <w:pPr>
              <w:autoSpaceDE w:val="0"/>
              <w:autoSpaceDN w:val="0"/>
              <w:spacing w:before="43"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φ</w:t>
            </w:r>
            <w:r>
              <w:rPr>
                <w:rFonts w:hint="eastAsia" w:ascii="宋体" w:hAnsi="宋体" w:cs="宋体"/>
                <w:szCs w:val="21"/>
                <w:lang w:eastAsia="en-US"/>
              </w:rPr>
              <w:t>1500*750</w:t>
            </w:r>
            <w:r>
              <w:rPr>
                <w:rFonts w:hint="eastAsia" w:ascii="宋体" w:hAnsi="宋体" w:cs="宋体"/>
                <w:szCs w:val="21"/>
                <w:lang w:val="en-US" w:eastAsia="zh-CN"/>
              </w:rPr>
              <w:t>/mm</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rPr>
              <w:t>2.</w:t>
            </w:r>
            <w:r>
              <w:rPr>
                <w:rFonts w:hint="eastAsia" w:ascii="宋体" w:hAnsi="宋体" w:cs="宋体"/>
                <w:szCs w:val="21"/>
                <w:lang w:eastAsia="en-US"/>
              </w:rPr>
              <w:t>墩脚：厚度25mm厚甲板合围六边形中柱，配检修门，表面防火板饰面。</w:t>
            </w:r>
          </w:p>
          <w:p>
            <w:pPr>
              <w:autoSpaceDE w:val="0"/>
              <w:autoSpaceDN w:val="0"/>
              <w:spacing w:before="46" w:line="360" w:lineRule="auto"/>
              <w:jc w:val="left"/>
              <w:rPr>
                <w:rFonts w:ascii="宋体" w:hAnsi="宋体" w:cs="宋体"/>
                <w:szCs w:val="21"/>
                <w:lang w:eastAsia="en-US"/>
              </w:rPr>
            </w:pPr>
            <w:r>
              <w:rPr>
                <w:rFonts w:hint="eastAsia" w:ascii="宋体" w:hAnsi="宋体" w:cs="宋体"/>
                <w:szCs w:val="21"/>
              </w:rPr>
              <w:t>3.</w:t>
            </w:r>
            <w:r>
              <w:rPr>
                <w:rFonts w:hint="eastAsia" w:ascii="宋体" w:hAnsi="宋体" w:cs="宋体"/>
                <w:szCs w:val="21"/>
                <w:lang w:eastAsia="en-US"/>
              </w:rPr>
              <w:t>桌面：人造石材,厚度20MM，带直径</w:t>
            </w:r>
            <w:r>
              <w:rPr>
                <w:rFonts w:hint="eastAsia" w:ascii="宋体" w:hAnsi="宋体" w:cs="宋体"/>
                <w:szCs w:val="21"/>
                <w:lang w:val="en-US" w:eastAsia="zh-CN"/>
              </w:rPr>
              <w:t>φ</w:t>
            </w:r>
            <w:r>
              <w:rPr>
                <w:rFonts w:hint="eastAsia" w:ascii="宋体" w:hAnsi="宋体" w:cs="宋体"/>
                <w:szCs w:val="21"/>
                <w:lang w:eastAsia="en-US"/>
              </w:rPr>
              <w:t>0.8</w:t>
            </w:r>
            <w:r>
              <w:rPr>
                <w:rFonts w:hint="eastAsia" w:ascii="宋体" w:hAnsi="宋体" w:cs="宋体"/>
                <w:szCs w:val="21"/>
                <w:lang w:val="en-US" w:eastAsia="zh-CN"/>
              </w:rPr>
              <w:t>mm</w:t>
            </w:r>
            <w:r>
              <w:rPr>
                <w:rFonts w:hint="eastAsia" w:ascii="宋体" w:hAnsi="宋体" w:cs="宋体"/>
                <w:szCs w:val="21"/>
                <w:lang w:eastAsia="en-US"/>
              </w:rPr>
              <w:t>米手动钢化玻璃转盘</w:t>
            </w:r>
          </w:p>
          <w:p>
            <w:pPr>
              <w:pStyle w:val="20"/>
              <w:spacing w:line="360" w:lineRule="auto"/>
              <w:rPr>
                <w:rFonts w:asciiTheme="minorEastAsia" w:hAnsiTheme="minorEastAsia" w:eastAsiaTheme="minorEastAsia"/>
                <w:b/>
                <w:szCs w:val="21"/>
              </w:rPr>
            </w:pPr>
            <w:r>
              <w:rPr>
                <w:rFonts w:hint="eastAsia" w:ascii="宋体" w:hAnsi="宋体" w:cs="宋体"/>
                <w:szCs w:val="21"/>
              </w:rPr>
              <w:t>4.</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）：浸渍胶膜纸饰面人造板：检测依据GB/T 15102-2017《浸渍胶膜纸饰面纤维板和刨花板》表面耐划痕性能≥1.5N表面无大于90％连续划痕，素色：磨350r后应无露低现象。磨耗值≤80mg/100r，甲醛释放量为0.124mg/m3，限量标识E1a。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1980" w:type="dxa"/>
            <w:vAlign w:val="center"/>
          </w:tcPr>
          <w:p>
            <w:pPr>
              <w:spacing w:line="360" w:lineRule="auto"/>
              <w:jc w:val="center"/>
              <w:rPr>
                <w:rFonts w:hint="eastAsia" w:eastAsia="宋体" w:asciiTheme="minorEastAsia" w:hAnsiTheme="minorEastAsia"/>
                <w:b/>
                <w:szCs w:val="21"/>
                <w:lang w:val="en-US" w:eastAsia="zh-CN"/>
              </w:rPr>
            </w:pPr>
            <w:r>
              <w:rPr>
                <w:szCs w:val="21"/>
              </w:rPr>
              <w:t>餐椅</w:t>
            </w:r>
            <w:r>
              <w:rPr>
                <w:rFonts w:hint="eastAsia"/>
                <w:szCs w:val="21"/>
                <w:lang w:val="en-US" w:eastAsia="zh-CN"/>
              </w:rPr>
              <w:t>4</w:t>
            </w:r>
          </w:p>
        </w:tc>
        <w:tc>
          <w:tcPr>
            <w:tcW w:w="6737" w:type="dxa"/>
          </w:tcPr>
          <w:p>
            <w:pPr>
              <w:autoSpaceDE w:val="0"/>
              <w:autoSpaceDN w:val="0"/>
              <w:spacing w:line="360" w:lineRule="auto"/>
              <w:jc w:val="left"/>
              <w:rPr>
                <w:rFonts w:hint="default"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W</w:t>
            </w:r>
            <w:r>
              <w:rPr>
                <w:rFonts w:hint="eastAsia" w:ascii="宋体" w:hAnsi="宋体" w:cs="宋体"/>
                <w:szCs w:val="21"/>
                <w:lang w:eastAsia="en-US"/>
              </w:rPr>
              <w:t>540*</w:t>
            </w:r>
            <w:r>
              <w:rPr>
                <w:rFonts w:hint="eastAsia" w:ascii="宋体" w:hAnsi="宋体" w:cs="宋体"/>
                <w:szCs w:val="21"/>
                <w:lang w:val="en-US" w:eastAsia="zh-CN"/>
              </w:rPr>
              <w:t>D</w:t>
            </w:r>
            <w:r>
              <w:rPr>
                <w:rFonts w:hint="eastAsia" w:ascii="宋体" w:hAnsi="宋体" w:cs="宋体"/>
                <w:szCs w:val="21"/>
                <w:lang w:eastAsia="en-US"/>
              </w:rPr>
              <w:t>550*</w:t>
            </w:r>
            <w:r>
              <w:rPr>
                <w:rFonts w:hint="eastAsia" w:ascii="宋体" w:hAnsi="宋体" w:cs="宋体"/>
                <w:szCs w:val="21"/>
                <w:lang w:val="en-US" w:eastAsia="zh-CN"/>
              </w:rPr>
              <w:t>H</w:t>
            </w:r>
            <w:r>
              <w:rPr>
                <w:rFonts w:hint="eastAsia" w:ascii="宋体" w:hAnsi="宋体" w:cs="宋体"/>
                <w:szCs w:val="21"/>
                <w:lang w:eastAsia="en-US"/>
              </w:rPr>
              <w:t>800</w:t>
            </w:r>
            <w:r>
              <w:rPr>
                <w:rFonts w:hint="eastAsia" w:ascii="宋体" w:hAnsi="宋体" w:cs="宋体"/>
                <w:szCs w:val="21"/>
                <w:lang w:val="en-US" w:eastAsia="zh-CN"/>
              </w:rPr>
              <w:t>/mm</w:t>
            </w:r>
          </w:p>
          <w:p>
            <w:pPr>
              <w:autoSpaceDE w:val="0"/>
              <w:autoSpaceDN w:val="0"/>
              <w:spacing w:line="360" w:lineRule="auto"/>
              <w:jc w:val="left"/>
              <w:rPr>
                <w:rFonts w:ascii="宋体" w:hAnsi="宋体" w:cs="宋体"/>
                <w:szCs w:val="21"/>
              </w:rPr>
            </w:pPr>
            <w:r>
              <w:rPr>
                <w:rFonts w:hint="eastAsia" w:ascii="宋体" w:hAnsi="宋体" w:cs="宋体"/>
                <w:szCs w:val="21"/>
              </w:rPr>
              <w:t>纯白蜡木全实木，软包35</w:t>
            </w:r>
            <w:r>
              <w:rPr>
                <w:rFonts w:hint="eastAsia" w:ascii="宋体" w:hAnsi="宋体" w:cs="宋体"/>
                <w:szCs w:val="21"/>
                <w:lang w:val="en-US" w:eastAsia="zh-CN"/>
              </w:rPr>
              <w:t>mm</w:t>
            </w:r>
            <w:r>
              <w:rPr>
                <w:rFonts w:hint="eastAsia" w:ascii="宋体" w:hAnsi="宋体" w:cs="宋体"/>
                <w:szCs w:val="21"/>
              </w:rPr>
              <w:t>以上高</w:t>
            </w:r>
          </w:p>
          <w:p>
            <w:pPr>
              <w:autoSpaceDE w:val="0"/>
              <w:autoSpaceDN w:val="0"/>
              <w:spacing w:before="43" w:line="360" w:lineRule="auto"/>
              <w:jc w:val="left"/>
              <w:rPr>
                <w:rFonts w:ascii="宋体" w:hAnsi="宋体" w:cs="宋体"/>
                <w:szCs w:val="21"/>
                <w:lang w:eastAsia="en-US"/>
              </w:rPr>
            </w:pPr>
            <w:r>
              <w:rPr>
                <w:rFonts w:hint="eastAsia" w:ascii="宋体" w:hAnsi="宋体" w:cs="宋体"/>
                <w:szCs w:val="21"/>
                <w:lang w:eastAsia="en-US"/>
              </w:rPr>
              <w:t>密度海绵外扪耐磨人造革 。</w:t>
            </w:r>
          </w:p>
          <w:p>
            <w:pPr>
              <w:autoSpaceDE w:val="0"/>
              <w:autoSpaceDN w:val="0"/>
              <w:spacing w:before="46" w:line="360" w:lineRule="auto"/>
              <w:jc w:val="left"/>
              <w:rPr>
                <w:rFonts w:ascii="宋体" w:hAnsi="宋体" w:cs="宋体"/>
                <w:szCs w:val="21"/>
              </w:rPr>
            </w:pPr>
            <w:r>
              <w:rPr>
                <w:rFonts w:hint="eastAsia" w:ascii="宋体" w:hAnsi="宋体" w:cs="宋体"/>
                <w:szCs w:val="21"/>
              </w:rPr>
              <w:t>2.采用出榫开槽实结构，粘合全部AB铁胶。</w:t>
            </w:r>
          </w:p>
          <w:p>
            <w:pPr>
              <w:pStyle w:val="20"/>
              <w:spacing w:line="360" w:lineRule="auto"/>
              <w:rPr>
                <w:rFonts w:asciiTheme="minorEastAsia" w:hAnsiTheme="minorEastAsia" w:eastAsiaTheme="minorEastAsia"/>
                <w:b/>
                <w:szCs w:val="21"/>
              </w:rPr>
            </w:pPr>
            <w:r>
              <w:rPr>
                <w:rFonts w:hint="eastAsia" w:ascii="宋体" w:hAnsi="宋体" w:cs="宋体"/>
                <w:szCs w:val="21"/>
              </w:rPr>
              <w:t>3.</w:t>
            </w:r>
            <w:r>
              <w:rPr>
                <w:rFonts w:hint="eastAsia" w:ascii="宋体" w:hAnsi="宋体" w:cs="宋体"/>
                <w:szCs w:val="21"/>
                <w:lang w:eastAsia="en-US"/>
              </w:rPr>
              <w:t>▲</w:t>
            </w:r>
            <w:r>
              <w:rPr>
                <w:rFonts w:hint="eastAsia" w:ascii="宋体" w:hAnsi="宋体" w:cs="宋体"/>
                <w:szCs w:val="21"/>
                <w:lang w:val="zh-CN"/>
              </w:rPr>
              <w:t>投标</w:t>
            </w:r>
            <w:r>
              <w:rPr>
                <w:rFonts w:hint="eastAsia" w:ascii="宋体" w:hAnsi="宋体" w:cs="宋体"/>
                <w:szCs w:val="21"/>
              </w:rPr>
              <w:t>人须出具</w:t>
            </w:r>
            <w:r>
              <w:rPr>
                <w:rFonts w:hint="eastAsia" w:ascii="宋体" w:hAnsi="宋体" w:cs="宋体"/>
                <w:szCs w:val="21"/>
                <w:lang w:val="zh-CN"/>
              </w:rPr>
              <w:t>20</w:t>
            </w:r>
            <w:r>
              <w:rPr>
                <w:rFonts w:hint="eastAsia" w:ascii="宋体" w:hAnsi="宋体" w:cs="宋体"/>
                <w:szCs w:val="21"/>
              </w:rPr>
              <w:t>21年</w:t>
            </w:r>
            <w:r>
              <w:rPr>
                <w:rFonts w:hint="eastAsia" w:ascii="宋体" w:hAnsi="宋体" w:cs="宋体"/>
                <w:szCs w:val="21"/>
                <w:lang w:val="zh-CN"/>
              </w:rPr>
              <w:t>1</w:t>
            </w:r>
            <w:r>
              <w:rPr>
                <w:rFonts w:hint="eastAsia" w:ascii="宋体" w:hAnsi="宋体" w:cs="宋体"/>
                <w:szCs w:val="21"/>
              </w:rPr>
              <w:t>月</w:t>
            </w:r>
            <w:r>
              <w:rPr>
                <w:rFonts w:hint="eastAsia" w:ascii="宋体" w:hAnsi="宋体" w:cs="宋体"/>
                <w:szCs w:val="21"/>
                <w:lang w:val="zh-CN"/>
              </w:rPr>
              <w:t>1</w:t>
            </w:r>
            <w:r>
              <w:rPr>
                <w:rFonts w:hint="eastAsia" w:ascii="宋体" w:hAnsi="宋体" w:cs="宋体"/>
                <w:szCs w:val="21"/>
              </w:rPr>
              <w:t>日后</w:t>
            </w:r>
            <w:r>
              <w:rPr>
                <w:rFonts w:hint="eastAsia" w:ascii="宋体" w:hAnsi="宋体" w:cs="宋体"/>
                <w:szCs w:val="21"/>
                <w:lang w:val="zh-CN"/>
              </w:rPr>
              <w:t>，由</w:t>
            </w:r>
            <w:r>
              <w:rPr>
                <w:rFonts w:hint="eastAsia" w:ascii="宋体" w:hAnsi="宋体" w:cs="宋体"/>
                <w:szCs w:val="21"/>
              </w:rPr>
              <w:t>副省</w:t>
            </w:r>
            <w:r>
              <w:rPr>
                <w:rFonts w:hint="eastAsia" w:ascii="宋体" w:hAnsi="宋体" w:cs="宋体"/>
                <w:szCs w:val="21"/>
                <w:lang w:val="zh-CN"/>
              </w:rPr>
              <w:t>级家具质量监督检测中心出具的家具原材料抽样检验合格报告（</w:t>
            </w:r>
            <w:r>
              <w:rPr>
                <w:rFonts w:hint="eastAsia" w:ascii="宋体" w:hAnsi="宋体" w:cs="宋体"/>
                <w:szCs w:val="21"/>
              </w:rPr>
              <w:t>复印件或扫描件并加盖投标人公章</w:t>
            </w:r>
            <w:r>
              <w:rPr>
                <w:rFonts w:hint="eastAsia" w:ascii="宋体" w:hAnsi="宋体" w:cs="宋体"/>
                <w:szCs w:val="21"/>
                <w:lang w:val="zh-CN"/>
              </w:rPr>
              <w:t>）：塑木：符合GB/T 24137-2009《木塑装饰板》检测标准，检测结果要求甲醛释放量≤0.5mg/L，重金属含量可溶性铅、镉、铬、汞符合标准要求，吸水膨胀率≤0.5%，表面胶合强度≥0.60MPa。</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pStyle w:val="94"/>
        <w:tabs>
          <w:tab w:val="left" w:pos="851"/>
        </w:tabs>
        <w:spacing w:line="360" w:lineRule="auto"/>
        <w:ind w:firstLine="0" w:firstLineChars="0"/>
        <w:rPr>
          <w:b/>
          <w:color w:val="000000"/>
          <w:kern w:val="0"/>
          <w:szCs w:val="21"/>
        </w:rPr>
      </w:pPr>
      <w:r>
        <w:rPr>
          <w:b/>
          <w:color w:val="000000"/>
          <w:kern w:val="0"/>
          <w:szCs w:val="21"/>
        </w:rPr>
        <w:t>1.报价要求</w:t>
      </w:r>
    </w:p>
    <w:p>
      <w:pPr>
        <w:pStyle w:val="94"/>
        <w:tabs>
          <w:tab w:val="left" w:pos="851"/>
        </w:tabs>
        <w:spacing w:line="360" w:lineRule="auto"/>
        <w:rPr>
          <w:color w:val="000000"/>
          <w:szCs w:val="21"/>
          <w:highlight w:val="yellow"/>
        </w:rPr>
      </w:pPr>
      <w:r>
        <w:rPr>
          <w:rFonts w:hint="eastAsia"/>
          <w:bCs/>
          <w:color w:val="000000"/>
          <w:kern w:val="0"/>
          <w:szCs w:val="21"/>
          <w:highlight w:val="yellow"/>
        </w:rPr>
        <w:t>★</w:t>
      </w:r>
      <w:r>
        <w:rPr>
          <w:bCs/>
          <w:color w:val="000000"/>
          <w:kern w:val="0"/>
          <w:szCs w:val="21"/>
          <w:highlight w:val="yellow"/>
        </w:rPr>
        <w:t>1.1</w:t>
      </w:r>
      <w:r>
        <w:rPr>
          <w:color w:val="000000"/>
          <w:szCs w:val="21"/>
          <w:highlight w:val="yellow"/>
        </w:rPr>
        <w:t>本项目财政预算金额为</w:t>
      </w:r>
      <w:r>
        <w:rPr>
          <w:b/>
          <w:bCs/>
          <w:color w:val="000000"/>
          <w:szCs w:val="21"/>
          <w:highlight w:val="yellow"/>
        </w:rPr>
        <w:t>人民币</w:t>
      </w:r>
      <w:r>
        <w:rPr>
          <w:rFonts w:hint="eastAsia"/>
          <w:b/>
          <w:bCs/>
          <w:szCs w:val="21"/>
          <w:highlight w:val="yellow"/>
        </w:rPr>
        <w:t>陆拾伍万捌仟伍佰玖拾元整（¥658,590.00）</w:t>
      </w:r>
      <w:r>
        <w:rPr>
          <w:color w:val="000000"/>
          <w:szCs w:val="21"/>
          <w:highlight w:val="yellow"/>
        </w:rPr>
        <w:t>，超出预算金额的投标将导致投标无效。</w:t>
      </w:r>
    </w:p>
    <w:p>
      <w:pPr>
        <w:pStyle w:val="49"/>
        <w:spacing w:after="0"/>
        <w:ind w:left="0" w:leftChars="0" w:firstLine="420"/>
        <w:rPr>
          <w:color w:val="000000"/>
          <w:sz w:val="21"/>
          <w:szCs w:val="21"/>
        </w:rPr>
      </w:pPr>
      <w:r>
        <w:rPr>
          <w:color w:val="000000"/>
          <w:sz w:val="21"/>
          <w:szCs w:val="21"/>
        </w:rPr>
        <w:t>1.2投标总价必须是完成该项目的一切费用总和，包括设备费、运输费、装卸费、保险费、技术培训费、设备安装费、调试费、售后服务费、国家规定的各项税费等全部费用。</w:t>
      </w:r>
    </w:p>
    <w:p>
      <w:pPr>
        <w:widowControl/>
        <w:spacing w:line="360" w:lineRule="auto"/>
        <w:jc w:val="left"/>
        <w:rPr>
          <w:b/>
          <w:color w:val="000000"/>
          <w:kern w:val="0"/>
          <w:szCs w:val="21"/>
        </w:rPr>
      </w:pPr>
      <w:r>
        <w:rPr>
          <w:b/>
          <w:color w:val="000000"/>
          <w:kern w:val="0"/>
          <w:szCs w:val="21"/>
        </w:rPr>
        <w:t>2.交货期、交货地点</w:t>
      </w:r>
      <w:r>
        <w:rPr>
          <w:rFonts w:hint="eastAsia"/>
          <w:b/>
          <w:color w:val="000000"/>
          <w:kern w:val="0"/>
          <w:szCs w:val="21"/>
        </w:rPr>
        <w:t>及安装</w:t>
      </w:r>
    </w:p>
    <w:p>
      <w:pPr>
        <w:tabs>
          <w:tab w:val="left" w:pos="851"/>
        </w:tabs>
        <w:spacing w:line="360" w:lineRule="auto"/>
        <w:ind w:firstLine="420" w:firstLineChars="200"/>
        <w:rPr>
          <w:rFonts w:ascii="宋体" w:hAnsi="宋体" w:cs="宋体"/>
          <w:b/>
          <w:color w:val="000000"/>
          <w:szCs w:val="21"/>
          <w:highlight w:val="yellow"/>
        </w:rPr>
      </w:pPr>
      <w:r>
        <w:rPr>
          <w:rFonts w:hint="eastAsia"/>
          <w:bCs/>
          <w:color w:val="000000"/>
          <w:kern w:val="0"/>
          <w:szCs w:val="21"/>
          <w:highlight w:val="yellow"/>
        </w:rPr>
        <w:t>★</w:t>
      </w:r>
      <w:r>
        <w:rPr>
          <w:bCs/>
          <w:szCs w:val="21"/>
          <w:highlight w:val="yellow"/>
        </w:rPr>
        <w:t>2.1交货期：系指合同签订之日起至货物运抵采购人指定地点，并且完成安装、调试，验收合格交付使用的时间。具体是指：</w:t>
      </w:r>
      <w:r>
        <w:rPr>
          <w:b/>
          <w:szCs w:val="21"/>
          <w:highlight w:val="yellow"/>
        </w:rPr>
        <w:t>合同</w:t>
      </w:r>
      <w:r>
        <w:rPr>
          <w:rFonts w:hint="eastAsia" w:ascii="宋体" w:hAnsi="宋体" w:cs="宋体"/>
          <w:b/>
          <w:szCs w:val="21"/>
          <w:highlight w:val="yellow"/>
        </w:rPr>
        <w:t>签订后</w:t>
      </w:r>
      <w:r>
        <w:rPr>
          <w:rFonts w:hint="eastAsia" w:ascii="宋体" w:hAnsi="宋体" w:cs="宋体"/>
          <w:b/>
          <w:szCs w:val="21"/>
          <w:highlight w:val="yellow"/>
          <w:u w:val="single"/>
        </w:rPr>
        <w:t>30</w:t>
      </w:r>
      <w:r>
        <w:rPr>
          <w:rFonts w:hint="eastAsia" w:ascii="宋体" w:hAnsi="宋体" w:cs="宋体"/>
          <w:b/>
          <w:szCs w:val="21"/>
          <w:highlight w:val="yellow"/>
        </w:rPr>
        <w:t>日</w:t>
      </w:r>
      <w:r>
        <w:rPr>
          <w:rFonts w:hint="eastAsia"/>
          <w:b/>
          <w:bCs/>
          <w:highlight w:val="yellow"/>
          <w:u w:val="none"/>
          <w:lang w:val="en-US" w:eastAsia="zh-CN"/>
        </w:rPr>
        <w:t>历日</w:t>
      </w:r>
      <w:r>
        <w:rPr>
          <w:rFonts w:hint="eastAsia" w:ascii="宋体" w:hAnsi="宋体" w:cs="宋体"/>
          <w:b/>
          <w:szCs w:val="21"/>
          <w:highlight w:val="yellow"/>
        </w:rPr>
        <w:t>内。</w:t>
      </w:r>
    </w:p>
    <w:p>
      <w:pPr>
        <w:pStyle w:val="94"/>
        <w:tabs>
          <w:tab w:val="left" w:pos="851"/>
        </w:tabs>
        <w:spacing w:line="360" w:lineRule="auto"/>
        <w:rPr>
          <w:bCs/>
          <w:szCs w:val="21"/>
        </w:rPr>
      </w:pPr>
      <w:r>
        <w:rPr>
          <w:bCs/>
          <w:szCs w:val="21"/>
        </w:rPr>
        <w:t>2.2交货地点：</w:t>
      </w:r>
      <w:r>
        <w:rPr>
          <w:rFonts w:hint="eastAsia"/>
          <w:bCs/>
          <w:szCs w:val="21"/>
        </w:rPr>
        <w:t>采购人指定地点</w:t>
      </w:r>
      <w:r>
        <w:rPr>
          <w:bCs/>
          <w:szCs w:val="21"/>
        </w:rPr>
        <w:t>。</w:t>
      </w:r>
    </w:p>
    <w:p>
      <w:pPr>
        <w:pStyle w:val="94"/>
        <w:tabs>
          <w:tab w:val="left" w:pos="851"/>
        </w:tabs>
        <w:spacing w:line="360" w:lineRule="auto"/>
        <w:rPr>
          <w:szCs w:val="21"/>
        </w:rPr>
      </w:pPr>
      <w:r>
        <w:rPr>
          <w:szCs w:val="21"/>
        </w:rPr>
        <w:t>2.3安装调试：供应商应派有经验的技术人员到现场进行安装、调试，直到设备正常使用。</w:t>
      </w:r>
    </w:p>
    <w:p>
      <w:pPr>
        <w:tabs>
          <w:tab w:val="left" w:pos="851"/>
        </w:tabs>
        <w:spacing w:line="360" w:lineRule="auto"/>
        <w:rPr>
          <w:b/>
          <w:bCs/>
          <w:szCs w:val="21"/>
        </w:rPr>
      </w:pPr>
      <w:r>
        <w:rPr>
          <w:rFonts w:hint="eastAsia"/>
          <w:b/>
          <w:bCs/>
          <w:szCs w:val="21"/>
        </w:rPr>
        <w:t>3</w:t>
      </w:r>
      <w:r>
        <w:rPr>
          <w:b/>
          <w:bCs/>
          <w:szCs w:val="21"/>
        </w:rPr>
        <w:t>.关于验收</w:t>
      </w:r>
    </w:p>
    <w:p>
      <w:pPr>
        <w:tabs>
          <w:tab w:val="left" w:pos="851"/>
        </w:tabs>
        <w:spacing w:line="360" w:lineRule="auto"/>
        <w:ind w:firstLine="424" w:firstLineChars="202"/>
        <w:rPr>
          <w:szCs w:val="21"/>
        </w:rPr>
      </w:pPr>
      <w:r>
        <w:rPr>
          <w:rFonts w:hint="eastAsia"/>
          <w:szCs w:val="21"/>
        </w:rPr>
        <w:t>3</w:t>
      </w:r>
      <w:r>
        <w:rPr>
          <w:szCs w:val="21"/>
        </w:rPr>
        <w:t>.1由采购人按合同和招标、投标文件约定的要求和标准及中华人民共和国现行的验收规范和评定标准进行交货验收。</w:t>
      </w:r>
    </w:p>
    <w:p>
      <w:pPr>
        <w:tabs>
          <w:tab w:val="left" w:pos="851"/>
        </w:tabs>
        <w:spacing w:line="360" w:lineRule="auto"/>
        <w:ind w:firstLine="424" w:firstLineChars="202"/>
        <w:rPr>
          <w:szCs w:val="21"/>
        </w:rPr>
      </w:pPr>
      <w:r>
        <w:rPr>
          <w:rFonts w:hint="eastAsia"/>
          <w:szCs w:val="21"/>
        </w:rPr>
        <w:t>3</w:t>
      </w:r>
      <w:r>
        <w:rPr>
          <w:szCs w:val="21"/>
        </w:rPr>
        <w:t xml:space="preserve">.2验收要求：货物必须满足以下条件后方可被用户方接受： </w:t>
      </w:r>
    </w:p>
    <w:p>
      <w:pPr>
        <w:tabs>
          <w:tab w:val="left" w:pos="851"/>
        </w:tabs>
        <w:spacing w:line="360" w:lineRule="auto"/>
        <w:ind w:firstLine="424" w:firstLineChars="202"/>
        <w:rPr>
          <w:szCs w:val="21"/>
        </w:rPr>
      </w:pPr>
      <w:r>
        <w:rPr>
          <w:rFonts w:hint="eastAsia"/>
          <w:szCs w:val="21"/>
        </w:rPr>
        <w:t>3</w:t>
      </w:r>
      <w:r>
        <w:rPr>
          <w:szCs w:val="21"/>
        </w:rPr>
        <w:t>.2.1货物具备产品合格证。</w:t>
      </w:r>
    </w:p>
    <w:p>
      <w:pPr>
        <w:tabs>
          <w:tab w:val="left" w:pos="851"/>
        </w:tabs>
        <w:spacing w:line="360" w:lineRule="auto"/>
        <w:ind w:firstLine="424" w:firstLineChars="202"/>
        <w:rPr>
          <w:szCs w:val="21"/>
        </w:rPr>
      </w:pPr>
      <w:r>
        <w:rPr>
          <w:rFonts w:hint="eastAsia"/>
          <w:szCs w:val="21"/>
        </w:rPr>
        <w:t>3</w:t>
      </w:r>
      <w:r>
        <w:rPr>
          <w:szCs w:val="21"/>
        </w:rPr>
        <w:t>.2.2设备全新</w:t>
      </w:r>
      <w:r>
        <w:rPr>
          <w:rFonts w:hint="eastAsia"/>
          <w:szCs w:val="21"/>
        </w:rPr>
        <w:t>，</w:t>
      </w:r>
      <w:r>
        <w:rPr>
          <w:szCs w:val="21"/>
        </w:rPr>
        <w:t>外观无伤痕变形或明显修饰痕迹。</w:t>
      </w:r>
    </w:p>
    <w:p>
      <w:pPr>
        <w:tabs>
          <w:tab w:val="left" w:pos="851"/>
        </w:tabs>
        <w:spacing w:line="360" w:lineRule="auto"/>
        <w:ind w:firstLine="424" w:firstLineChars="202"/>
        <w:rPr>
          <w:szCs w:val="21"/>
        </w:rPr>
      </w:pPr>
      <w:r>
        <w:rPr>
          <w:rFonts w:hint="eastAsia"/>
          <w:szCs w:val="21"/>
        </w:rPr>
        <w:t>3</w:t>
      </w:r>
      <w:r>
        <w:rPr>
          <w:szCs w:val="21"/>
        </w:rPr>
        <w:t>.2.3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tabs>
          <w:tab w:val="left" w:pos="851"/>
        </w:tabs>
        <w:spacing w:line="360" w:lineRule="auto"/>
        <w:ind w:firstLine="424" w:firstLineChars="202"/>
        <w:rPr>
          <w:szCs w:val="21"/>
        </w:rPr>
      </w:pPr>
      <w:r>
        <w:rPr>
          <w:rFonts w:hint="eastAsia"/>
          <w:szCs w:val="21"/>
        </w:rPr>
        <w:t>3</w:t>
      </w:r>
      <w:r>
        <w:rPr>
          <w:szCs w:val="21"/>
        </w:rPr>
        <w:t>.2.4技术文件资料、备件等已按规定数量移交完毕。</w:t>
      </w:r>
    </w:p>
    <w:p>
      <w:pPr>
        <w:tabs>
          <w:tab w:val="left" w:pos="851"/>
        </w:tabs>
        <w:spacing w:line="360" w:lineRule="auto"/>
        <w:ind w:firstLine="424" w:firstLineChars="202"/>
        <w:rPr>
          <w:szCs w:val="21"/>
        </w:rPr>
      </w:pPr>
      <w:r>
        <w:rPr>
          <w:rFonts w:hint="eastAsia"/>
          <w:szCs w:val="21"/>
        </w:rPr>
        <w:t>3</w:t>
      </w:r>
      <w:r>
        <w:rPr>
          <w:szCs w:val="21"/>
        </w:rPr>
        <w:t>.2.5按照招标书要求及投标文件提供的技术要求验收必须合格。</w:t>
      </w:r>
    </w:p>
    <w:p>
      <w:pPr>
        <w:tabs>
          <w:tab w:val="left" w:pos="851"/>
        </w:tabs>
        <w:spacing w:line="360" w:lineRule="auto"/>
        <w:ind w:firstLine="424" w:firstLineChars="202"/>
        <w:rPr>
          <w:szCs w:val="21"/>
        </w:rPr>
      </w:pPr>
      <w:r>
        <w:rPr>
          <w:rFonts w:hint="eastAsia"/>
          <w:szCs w:val="21"/>
        </w:rPr>
        <w:t>3</w:t>
      </w:r>
      <w:r>
        <w:rPr>
          <w:szCs w:val="21"/>
        </w:rPr>
        <w:t>.2.6供应商提供的各种文件载明的内容必须真实，采购人对产品的技术数据置疑时有权要求供应商按照双方认可的第三方检测机构出具的检验方法进行检测(检测费用由供应商承担)，检测结果必须证明供应商提供的技术数据是真实的，否则视为不合格。</w:t>
      </w:r>
    </w:p>
    <w:p>
      <w:pPr>
        <w:tabs>
          <w:tab w:val="left" w:pos="851"/>
        </w:tabs>
        <w:spacing w:line="360" w:lineRule="auto"/>
        <w:ind w:firstLine="424" w:firstLineChars="202"/>
        <w:rPr>
          <w:szCs w:val="21"/>
        </w:rPr>
      </w:pPr>
      <w:r>
        <w:rPr>
          <w:rFonts w:hint="eastAsia"/>
          <w:szCs w:val="21"/>
        </w:rPr>
        <w:t>3</w:t>
      </w:r>
      <w:r>
        <w:rPr>
          <w:szCs w:val="21"/>
        </w:rPr>
        <w:t>.2.7在货物安装调试合格后，所有技术指标达到技术规范书要求，经验收合格后，双方共同签署验收报告。产品质保期自验收合格之日起算，由供应商提供产品质保文件。</w:t>
      </w:r>
    </w:p>
    <w:p>
      <w:pPr>
        <w:pStyle w:val="94"/>
        <w:tabs>
          <w:tab w:val="left" w:pos="851"/>
        </w:tabs>
        <w:spacing w:line="360" w:lineRule="auto"/>
        <w:ind w:firstLine="0" w:firstLineChars="0"/>
        <w:rPr>
          <w:b/>
          <w:color w:val="000000"/>
          <w:kern w:val="0"/>
          <w:szCs w:val="21"/>
        </w:rPr>
      </w:pPr>
      <w:r>
        <w:rPr>
          <w:rFonts w:hint="eastAsia"/>
          <w:b/>
          <w:color w:val="000000"/>
          <w:kern w:val="0"/>
          <w:szCs w:val="21"/>
        </w:rPr>
        <w:t>4</w:t>
      </w:r>
      <w:r>
        <w:rPr>
          <w:b/>
          <w:color w:val="000000"/>
          <w:kern w:val="0"/>
          <w:szCs w:val="21"/>
        </w:rPr>
        <w:t>.售后服务</w:t>
      </w:r>
    </w:p>
    <w:p>
      <w:pPr>
        <w:tabs>
          <w:tab w:val="left" w:pos="851"/>
        </w:tabs>
        <w:spacing w:line="360" w:lineRule="auto"/>
        <w:ind w:firstLine="424" w:firstLineChars="202"/>
        <w:rPr>
          <w:rFonts w:ascii="宋体" w:hAnsi="宋体" w:cs="宋体"/>
          <w:szCs w:val="21"/>
        </w:rPr>
      </w:pPr>
      <w:r>
        <w:rPr>
          <w:rFonts w:hint="eastAsia"/>
          <w:szCs w:val="21"/>
        </w:rPr>
        <w:t>4</w:t>
      </w:r>
      <w:r>
        <w:rPr>
          <w:szCs w:val="21"/>
        </w:rPr>
        <w:t>.1质保期：系指中标供应商提供的产品在非使用者人为破坏情况下，出现任何质量问题造成产品不能使用时，由中标供应商免费维修、更换以确</w:t>
      </w:r>
      <w:r>
        <w:rPr>
          <w:rFonts w:hint="eastAsia" w:ascii="宋体" w:hAnsi="宋体" w:cs="宋体"/>
          <w:szCs w:val="21"/>
        </w:rPr>
        <w:t>保产品正常使用的时间期限。此时间期限从合同验收合格之日起计算。</w:t>
      </w:r>
      <w:r>
        <w:rPr>
          <w:rFonts w:hint="eastAsia" w:ascii="宋体" w:hAnsi="宋体" w:cs="宋体"/>
          <w:b/>
          <w:bCs/>
          <w:szCs w:val="21"/>
        </w:rPr>
        <w:t>具体是指合同验收合格后</w:t>
      </w:r>
      <w:r>
        <w:rPr>
          <w:rFonts w:hint="eastAsia" w:ascii="宋体" w:hAnsi="宋体" w:cs="宋体"/>
          <w:b/>
          <w:bCs/>
          <w:szCs w:val="21"/>
          <w:u w:val="single"/>
        </w:rPr>
        <w:t>365</w:t>
      </w:r>
      <w:r>
        <w:rPr>
          <w:rFonts w:hint="eastAsia" w:ascii="宋体" w:hAnsi="宋体" w:cs="宋体"/>
          <w:b/>
          <w:bCs/>
          <w:szCs w:val="21"/>
          <w:u w:val="none"/>
        </w:rPr>
        <w:t>日</w:t>
      </w:r>
      <w:r>
        <w:rPr>
          <w:rFonts w:hint="eastAsia"/>
          <w:b/>
          <w:bCs/>
          <w:u w:val="none"/>
          <w:lang w:val="en-US" w:eastAsia="zh-CN"/>
        </w:rPr>
        <w:t>历</w:t>
      </w:r>
      <w:r>
        <w:rPr>
          <w:rFonts w:hint="eastAsia"/>
          <w:b/>
          <w:bCs/>
          <w:lang w:val="en-US" w:eastAsia="zh-CN"/>
        </w:rPr>
        <w:t>日</w:t>
      </w:r>
      <w:r>
        <w:rPr>
          <w:rFonts w:hint="eastAsia" w:ascii="宋体" w:hAnsi="宋体" w:cs="宋体"/>
          <w:b/>
          <w:bCs/>
          <w:szCs w:val="21"/>
        </w:rPr>
        <w:t>内。</w:t>
      </w:r>
    </w:p>
    <w:p>
      <w:pPr>
        <w:tabs>
          <w:tab w:val="left" w:pos="851"/>
        </w:tabs>
        <w:spacing w:line="360" w:lineRule="auto"/>
        <w:ind w:firstLine="424" w:firstLineChars="202"/>
        <w:rPr>
          <w:rFonts w:ascii="宋体" w:hAnsi="宋体" w:cs="宋体"/>
          <w:szCs w:val="21"/>
        </w:rPr>
      </w:pPr>
      <w:r>
        <w:rPr>
          <w:rFonts w:hint="eastAsia" w:ascii="宋体" w:hAnsi="宋体" w:cs="宋体"/>
          <w:szCs w:val="21"/>
        </w:rPr>
        <w:t>4.2在免费保修期内，一旦发生产品质量及安装问题，供应商保证在接到通知24小时内赶到现场，进行免费维修或更换有缺陷的设备或部件；响应时间：6小时响应；修复时间：48小时内；冗余服务：在24小时内或紧急情况下，未能修复，提供具有同样功能的设备供使用单位使用。</w:t>
      </w:r>
    </w:p>
    <w:p>
      <w:pPr>
        <w:tabs>
          <w:tab w:val="left" w:pos="851"/>
        </w:tabs>
        <w:spacing w:line="360" w:lineRule="auto"/>
        <w:ind w:firstLine="424" w:firstLineChars="202"/>
        <w:rPr>
          <w:rFonts w:ascii="宋体" w:hAnsi="宋体" w:cs="宋体"/>
          <w:szCs w:val="21"/>
        </w:rPr>
      </w:pPr>
      <w:r>
        <w:rPr>
          <w:rFonts w:hint="eastAsia" w:ascii="宋体" w:hAnsi="宋体" w:cs="宋体"/>
          <w:szCs w:val="21"/>
        </w:rPr>
        <w:t>4.3在质保期内，供应商应无偿并迅速更换由于元件缺陷及制造工艺等问题而发生故障的产品。质保期满以后，供应商应按其在深圳地区同类产品的优惠价格提供保修服务。</w:t>
      </w:r>
    </w:p>
    <w:p>
      <w:pPr>
        <w:tabs>
          <w:tab w:val="left" w:pos="851"/>
        </w:tabs>
        <w:spacing w:line="360" w:lineRule="auto"/>
        <w:ind w:firstLine="424" w:firstLineChars="202"/>
        <w:rPr>
          <w:rFonts w:ascii="宋体" w:hAnsi="宋体" w:cs="宋体"/>
          <w:szCs w:val="21"/>
        </w:rPr>
      </w:pPr>
      <w:r>
        <w:rPr>
          <w:rFonts w:hint="eastAsia" w:ascii="宋体" w:hAnsi="宋体" w:cs="宋体"/>
          <w:szCs w:val="21"/>
        </w:rPr>
        <w:t>4.4保修期：系指中标供应商提供的产品不能正常使用时，中标供应商可收取费用，同时提供维修、更换以确保产品正常使用的时间期限。此时间期限从质保期期满之日起计算。</w:t>
      </w:r>
      <w:r>
        <w:rPr>
          <w:rFonts w:hint="eastAsia" w:ascii="宋体" w:hAnsi="宋体" w:cs="宋体"/>
          <w:b/>
          <w:bCs/>
          <w:szCs w:val="21"/>
        </w:rPr>
        <w:t>具体是指质保期满后</w:t>
      </w:r>
      <w:r>
        <w:rPr>
          <w:rFonts w:hint="eastAsia" w:ascii="宋体" w:hAnsi="宋体" w:cs="宋体"/>
          <w:b/>
          <w:bCs/>
          <w:szCs w:val="21"/>
          <w:u w:val="single"/>
        </w:rPr>
        <w:t>365</w:t>
      </w:r>
      <w:r>
        <w:rPr>
          <w:rFonts w:hint="eastAsia" w:ascii="宋体" w:hAnsi="宋体" w:cs="宋体"/>
          <w:b/>
          <w:bCs/>
          <w:szCs w:val="21"/>
          <w:u w:val="none"/>
        </w:rPr>
        <w:t>日</w:t>
      </w:r>
      <w:r>
        <w:rPr>
          <w:rFonts w:hint="eastAsia"/>
          <w:b/>
          <w:bCs/>
          <w:lang w:val="en-US" w:eastAsia="zh-CN"/>
        </w:rPr>
        <w:t>历日</w:t>
      </w:r>
      <w:r>
        <w:rPr>
          <w:rFonts w:hint="eastAsia" w:ascii="宋体" w:hAnsi="宋体" w:cs="宋体"/>
          <w:b/>
          <w:bCs/>
          <w:szCs w:val="21"/>
        </w:rPr>
        <w:t>内。</w:t>
      </w:r>
    </w:p>
    <w:p>
      <w:pPr>
        <w:pStyle w:val="94"/>
        <w:tabs>
          <w:tab w:val="left" w:pos="851"/>
        </w:tabs>
        <w:spacing w:line="360" w:lineRule="auto"/>
        <w:ind w:firstLine="0" w:firstLineChars="0"/>
        <w:rPr>
          <w:b/>
          <w:color w:val="000000"/>
          <w:kern w:val="0"/>
          <w:szCs w:val="21"/>
        </w:rPr>
      </w:pPr>
      <w:r>
        <w:rPr>
          <w:rFonts w:hint="eastAsia"/>
          <w:b/>
          <w:color w:val="000000"/>
          <w:kern w:val="0"/>
          <w:szCs w:val="21"/>
        </w:rPr>
        <w:t>5</w:t>
      </w:r>
      <w:r>
        <w:rPr>
          <w:b/>
          <w:color w:val="000000"/>
          <w:kern w:val="0"/>
          <w:szCs w:val="21"/>
        </w:rPr>
        <w:t>.付款方式</w:t>
      </w:r>
    </w:p>
    <w:p>
      <w:pPr>
        <w:spacing w:line="360" w:lineRule="auto"/>
        <w:jc w:val="left"/>
        <w:rPr>
          <w:rFonts w:ascii="宋体" w:hAnsi="宋体"/>
          <w:color w:val="auto"/>
          <w:szCs w:val="21"/>
        </w:rPr>
      </w:pPr>
      <w:r>
        <w:rPr>
          <w:rFonts w:hint="eastAsia" w:ascii="宋体" w:hAnsi="宋体"/>
          <w:color w:val="auto"/>
          <w:szCs w:val="21"/>
        </w:rPr>
        <w:t>1、合同签订后</w:t>
      </w:r>
      <w:r>
        <w:rPr>
          <w:rFonts w:hint="eastAsia" w:ascii="宋体" w:hAnsi="宋体"/>
          <w:color w:val="auto"/>
          <w:szCs w:val="21"/>
          <w:lang w:val="en-US" w:eastAsia="zh-CN"/>
        </w:rPr>
        <w:t>7</w:t>
      </w:r>
      <w:r>
        <w:rPr>
          <w:rFonts w:hint="eastAsia" w:ascii="宋体" w:hAnsi="宋体"/>
          <w:color w:val="auto"/>
          <w:szCs w:val="21"/>
        </w:rPr>
        <w:t>个工作日内，支付合同总额50%的货款。</w:t>
      </w:r>
    </w:p>
    <w:p>
      <w:pPr>
        <w:spacing w:line="360" w:lineRule="auto"/>
        <w:jc w:val="left"/>
        <w:rPr>
          <w:rFonts w:ascii="宋体" w:hAnsi="宋体"/>
          <w:color w:val="auto"/>
          <w:szCs w:val="21"/>
        </w:rPr>
      </w:pPr>
      <w:r>
        <w:rPr>
          <w:rFonts w:hint="eastAsia" w:ascii="宋体" w:hAnsi="宋体"/>
          <w:color w:val="auto"/>
          <w:szCs w:val="21"/>
        </w:rPr>
        <w:t>2、货物到货且全部验收合格后</w:t>
      </w:r>
      <w:r>
        <w:rPr>
          <w:rFonts w:hint="eastAsia" w:ascii="宋体" w:hAnsi="宋体"/>
          <w:color w:val="auto"/>
          <w:szCs w:val="21"/>
          <w:lang w:val="en-US" w:eastAsia="zh-CN"/>
        </w:rPr>
        <w:t>7</w:t>
      </w:r>
      <w:r>
        <w:rPr>
          <w:rFonts w:hint="eastAsia" w:ascii="宋体" w:hAnsi="宋体"/>
          <w:color w:val="auto"/>
          <w:szCs w:val="21"/>
        </w:rPr>
        <w:t>个工作日内，支付合同总额50%的货款。</w:t>
      </w:r>
    </w:p>
    <w:p>
      <w:pPr>
        <w:spacing w:line="360" w:lineRule="auto"/>
        <w:jc w:val="left"/>
        <w:rPr>
          <w:rFonts w:ascii="宋体" w:hAnsi="宋体"/>
          <w:color w:val="auto"/>
          <w:szCs w:val="21"/>
        </w:rPr>
      </w:pPr>
      <w:r>
        <w:rPr>
          <w:rFonts w:hint="eastAsia" w:ascii="宋体" w:hAnsi="宋体"/>
          <w:color w:val="auto"/>
          <w:szCs w:val="21"/>
        </w:rPr>
        <w:t>3、因财政支付流程导致的迟延不视为甲方违约的内容。</w:t>
      </w:r>
    </w:p>
    <w:p>
      <w:pPr>
        <w:spacing w:line="360" w:lineRule="auto"/>
        <w:jc w:val="left"/>
        <w:rPr>
          <w:rFonts w:ascii="宋体" w:hAnsi="宋体"/>
          <w:color w:val="auto"/>
          <w:szCs w:val="21"/>
        </w:rPr>
      </w:pPr>
      <w:r>
        <w:rPr>
          <w:rFonts w:hint="eastAsia" w:ascii="Times New Roman" w:hAnsi="Times New Roman" w:eastAsia="宋体" w:cs="Times New Roman"/>
          <w:b/>
          <w:color w:val="000000"/>
          <w:kern w:val="0"/>
          <w:sz w:val="21"/>
          <w:szCs w:val="21"/>
          <w:lang w:val="en-US" w:eastAsia="zh-CN" w:bidi="ar-SA"/>
        </w:rPr>
        <w:t>6.违约条款</w:t>
      </w:r>
    </w:p>
    <w:p>
      <w:pPr>
        <w:spacing w:line="360" w:lineRule="auto"/>
        <w:jc w:val="left"/>
        <w:rPr>
          <w:rFonts w:ascii="宋体" w:hAnsi="宋体"/>
          <w:color w:val="auto"/>
          <w:szCs w:val="21"/>
        </w:rPr>
      </w:pPr>
      <w:r>
        <w:rPr>
          <w:rFonts w:hint="eastAsia" w:ascii="宋体" w:hAnsi="宋体"/>
          <w:color w:val="auto"/>
          <w:szCs w:val="21"/>
        </w:rPr>
        <w:t>1、中标人不能交货的，需偿付不能交货部分货款的5%的违约金并按主管部门相关规定处理。</w:t>
      </w:r>
    </w:p>
    <w:p>
      <w:pPr>
        <w:spacing w:line="360" w:lineRule="auto"/>
        <w:jc w:val="left"/>
        <w:rPr>
          <w:rFonts w:ascii="宋体" w:hAnsi="宋体"/>
          <w:color w:val="auto"/>
          <w:szCs w:val="21"/>
        </w:rPr>
      </w:pPr>
      <w:r>
        <w:rPr>
          <w:rFonts w:hint="eastAsia" w:ascii="宋体" w:hAnsi="宋体"/>
          <w:color w:val="auto"/>
          <w:szCs w:val="21"/>
        </w:rPr>
        <w:t>2、中标人逾期交货的，将被没收履约保证金并按主管部门相关规定处理。</w:t>
      </w:r>
    </w:p>
    <w:p>
      <w:pPr>
        <w:spacing w:line="360" w:lineRule="auto"/>
        <w:jc w:val="left"/>
        <w:rPr>
          <w:color w:val="auto"/>
        </w:rPr>
      </w:pPr>
      <w:r>
        <w:rPr>
          <w:rFonts w:hint="eastAsia" w:ascii="宋体" w:hAnsi="宋体"/>
          <w:color w:val="auto"/>
          <w:szCs w:val="21"/>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p/>
    <w:p>
      <w:pPr>
        <w:widowControl/>
        <w:jc w:val="left"/>
      </w:pPr>
    </w:p>
    <w:p>
      <w:pPr>
        <w:widowControl/>
        <w:jc w:val="left"/>
      </w:pPr>
      <w:r>
        <w:br w:type="page"/>
      </w:r>
    </w:p>
    <w:p/>
    <w:p>
      <w:pPr>
        <w:pStyle w:val="3"/>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73610141"/>
      <w:r>
        <w:rPr>
          <w:rFonts w:hint="eastAsia"/>
        </w:rPr>
        <w:t>第四章  评标方法和标准</w:t>
      </w:r>
      <w:bookmarkEnd w:id="3"/>
    </w:p>
    <w:p>
      <w:pPr>
        <w:pStyle w:val="5"/>
        <w:spacing w:before="0" w:after="0"/>
      </w:pPr>
      <w:bookmarkStart w:id="4" w:name="_Toc73610142"/>
      <w:bookmarkStart w:id="5" w:name="_Toc44690702"/>
      <w:bookmarkStart w:id="6" w:name="_Toc44691393"/>
      <w:bookmarkStart w:id="7" w:name="_Toc44690429"/>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keepNext w:val="0"/>
              <w:keepLines w:val="0"/>
              <w:pageBreakBefore w:val="0"/>
              <w:kinsoku/>
              <w:wordWrap/>
              <w:overflowPunct/>
              <w:topLinePunct w:val="0"/>
              <w:bidi w:val="0"/>
              <w:spacing w:before="0" w:beforeAutospacing="0" w:after="0" w:afterAutospacing="0" w:line="400" w:lineRule="exact"/>
              <w:ind w:left="420" w:hanging="420"/>
              <w:textAlignment w:val="auto"/>
              <w:rPr>
                <w:rFonts w:cs="仿宋" w:asciiTheme="minorEastAsia" w:hAnsiTheme="minorEastAsia" w:eastAsiaTheme="minorEastAsia"/>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keepNext w:val="0"/>
              <w:keepLines w:val="0"/>
              <w:pageBreakBefore w:val="0"/>
              <w:kinsoku/>
              <w:wordWrap/>
              <w:overflowPunct/>
              <w:topLinePunct w:val="0"/>
              <w:bidi w:val="0"/>
              <w:spacing w:before="0" w:beforeAutospacing="0" w:after="0" w:afterAutospacing="0" w:line="400" w:lineRule="exact"/>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keepNext w:val="0"/>
              <w:keepLines w:val="0"/>
              <w:pageBreakBefore w:val="0"/>
              <w:kinsoku/>
              <w:wordWrap/>
              <w:overflowPunct/>
              <w:topLinePunct w:val="0"/>
              <w:bidi w:val="0"/>
              <w:spacing w:before="0" w:beforeAutospacing="0" w:after="0" w:afterAutospacing="0" w:line="400" w:lineRule="exact"/>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keepNext w:val="0"/>
              <w:keepLines w:val="0"/>
              <w:pageBreakBefore w:val="0"/>
              <w:kinsoku/>
              <w:wordWrap/>
              <w:overflowPunct/>
              <w:topLinePunct w:val="0"/>
              <w:bidi w:val="0"/>
              <w:spacing w:before="0" w:beforeAutospacing="0" w:after="0" w:afterAutospacing="0" w:line="400" w:lineRule="exact"/>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keepNext w:val="0"/>
              <w:keepLines w:val="0"/>
              <w:pageBreakBefore w:val="0"/>
              <w:kinsoku/>
              <w:wordWrap/>
              <w:overflowPunct/>
              <w:topLinePunct w:val="0"/>
              <w:bidi w:val="0"/>
              <w:spacing w:before="0" w:beforeAutospacing="0" w:after="0" w:afterAutospacing="0" w:line="400" w:lineRule="exact"/>
              <w:textAlignment w:val="auto"/>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Theme="minorEastAsia" w:hAnsiTheme="minorEastAsia" w:eastAsiaTheme="minorEastAsia"/>
                <w:b/>
                <w:bCs/>
                <w:snapToGrid w:val="0"/>
                <w:kern w:val="0"/>
              </w:rPr>
            </w:pPr>
            <w:r>
              <w:rPr>
                <w:rFonts w:hint="eastAsia" w:asciiTheme="minorEastAsia" w:hAnsiTheme="minorEastAsia" w:eastAsiaTheme="minorEastAsia"/>
                <w:b/>
                <w:snapToGrid w:val="0"/>
                <w:kern w:val="0"/>
                <w:szCs w:val="21"/>
              </w:rPr>
              <w:t>注：对于符合 “</w:t>
            </w:r>
            <w:r>
              <w:rPr>
                <w:rFonts w:hint="eastAsia" w:asciiTheme="minorEastAsia" w:hAnsiTheme="minorEastAsia" w:eastAsiaTheme="minorEastAsia"/>
                <w:b/>
                <w:snapToGrid w:val="0"/>
                <w:kern w:val="0"/>
              </w:rPr>
              <w:t>政府采购优惠政策</w:t>
            </w:r>
            <w:r>
              <w:rPr>
                <w:rFonts w:hint="eastAsia" w:asciiTheme="minorEastAsia" w:hAnsiTheme="minorEastAsia" w:eastAsiaTheme="minorEastAsia"/>
                <w:b/>
                <w:bCs/>
                <w:snapToGrid w:val="0"/>
                <w:kern w:val="0"/>
              </w:rPr>
              <w:t>”的小微企业、监狱企业和残疾人福利性单位，以调整后的价格计算评标基准价和投标报价。</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default" w:cs="仿宋" w:asciiTheme="minorEastAsia" w:hAnsiTheme="minorEastAsia" w:eastAsiaTheme="minorEastAsia"/>
                <w:b/>
                <w:szCs w:val="21"/>
                <w:lang w:val="en-US" w:eastAsia="zh-CN"/>
              </w:rPr>
            </w:pPr>
            <w:r>
              <w:rPr>
                <w:rFonts w:hint="eastAsia" w:cs="仿宋" w:asciiTheme="minorEastAsia" w:hAnsiTheme="minorEastAsia" w:eastAsiaTheme="minorEastAsia"/>
                <w:b/>
                <w:szCs w:val="21"/>
                <w:lang w:val="en-US" w:eastAsia="zh-CN"/>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9"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43" w:type="dxa"/>
            <w:vAlign w:val="center"/>
          </w:tcPr>
          <w:p>
            <w:pPr>
              <w:keepNext w:val="0"/>
              <w:keepLines w:val="0"/>
              <w:pageBreakBefore w:val="0"/>
              <w:widowControl/>
              <w:kinsoku/>
              <w:wordWrap/>
              <w:overflowPunct/>
              <w:topLinePunct w:val="0"/>
              <w:bidi w:val="0"/>
              <w:spacing w:line="400" w:lineRule="exact"/>
              <w:jc w:val="center"/>
              <w:textAlignment w:val="auto"/>
              <w:rPr>
                <w:rFonts w:cs="仿宋" w:asciiTheme="minorEastAsia" w:hAnsiTheme="minorEastAsia" w:eastAsiaTheme="minorEastAsia"/>
                <w:kern w:val="0"/>
                <w:szCs w:val="21"/>
              </w:rPr>
            </w:pPr>
            <w:r>
              <w:rPr>
                <w:rFonts w:hint="eastAsia" w:cs="宋体" w:asciiTheme="minorEastAsia" w:hAnsiTheme="minorEastAsia" w:eastAsiaTheme="minorEastAsia"/>
                <w:kern w:val="0"/>
                <w:szCs w:val="21"/>
              </w:rPr>
              <w:t>技术规格偏离情况</w:t>
            </w:r>
          </w:p>
        </w:tc>
        <w:tc>
          <w:tcPr>
            <w:tcW w:w="709" w:type="dxa"/>
            <w:vAlign w:val="center"/>
          </w:tcPr>
          <w:p>
            <w:pPr>
              <w:keepNext w:val="0"/>
              <w:keepLines w:val="0"/>
              <w:pageBreakBefore w:val="0"/>
              <w:widowControl/>
              <w:kinsoku/>
              <w:wordWrap/>
              <w:overflowPunct/>
              <w:topLinePunct w:val="0"/>
              <w:bidi w:val="0"/>
              <w:spacing w:line="400" w:lineRule="exact"/>
              <w:jc w:val="center"/>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20</w:t>
            </w:r>
          </w:p>
        </w:tc>
        <w:tc>
          <w:tcPr>
            <w:tcW w:w="5953" w:type="dxa"/>
            <w:vAlign w:val="center"/>
          </w:tcPr>
          <w:p>
            <w:pPr>
              <w:pStyle w:val="94"/>
              <w:keepNext w:val="0"/>
              <w:keepLines w:val="0"/>
              <w:pageBreakBefore w:val="0"/>
              <w:kinsoku/>
              <w:wordWrap/>
              <w:overflowPunct/>
              <w:topLinePunct w:val="0"/>
              <w:bidi w:val="0"/>
              <w:spacing w:line="400" w:lineRule="exact"/>
              <w:ind w:firstLine="0" w:firstLineChars="0"/>
              <w:textAlignment w:val="auto"/>
              <w:rPr>
                <w:rFonts w:asciiTheme="minorEastAsia" w:hAnsiTheme="minorEastAsia" w:eastAsiaTheme="minorEastAsia"/>
              </w:rPr>
            </w:pPr>
            <w:r>
              <w:rPr>
                <w:rFonts w:hint="eastAsia" w:asciiTheme="minorEastAsia" w:hAnsiTheme="minorEastAsia" w:eastAsiaTheme="minorEastAsia"/>
              </w:rPr>
              <w:t>（一）评分内容：</w:t>
            </w:r>
          </w:p>
          <w:p>
            <w:pPr>
              <w:keepNext w:val="0"/>
              <w:keepLines w:val="0"/>
              <w:pageBreakBefore w:val="0"/>
              <w:kinsoku/>
              <w:wordWrap/>
              <w:overflowPunct/>
              <w:topLinePunct w:val="0"/>
              <w:bidi w:val="0"/>
              <w:spacing w:line="400" w:lineRule="exact"/>
              <w:textAlignment w:val="auto"/>
              <w:rPr>
                <w:rFonts w:asciiTheme="minorEastAsia" w:hAnsiTheme="minorEastAsia" w:eastAsiaTheme="minorEastAsia"/>
              </w:rPr>
            </w:pPr>
            <w:r>
              <w:rPr>
                <w:rFonts w:asciiTheme="minorEastAsia" w:hAnsiTheme="minorEastAsia" w:eastAsiaTheme="minorEastAsia"/>
              </w:rPr>
              <w:t>投标人应如实填写《技术规格偏离表》，评审委员会根据技术需求参数响应情况进行打分，各项技术参数指标及要求全部满足的得满分，标注“▲”的重要参数每负偏离一项扣</w:t>
            </w:r>
            <w:r>
              <w:rPr>
                <w:rFonts w:hint="eastAsia" w:asciiTheme="minorEastAsia" w:hAnsiTheme="minorEastAsia" w:eastAsiaTheme="minorEastAsia"/>
              </w:rPr>
              <w:t>3</w:t>
            </w:r>
            <w:r>
              <w:rPr>
                <w:rFonts w:asciiTheme="minorEastAsia" w:hAnsiTheme="minorEastAsia" w:eastAsiaTheme="minorEastAsia"/>
              </w:rPr>
              <w:t>分，其他一般参数每负偏离一项扣</w:t>
            </w:r>
            <w:r>
              <w:rPr>
                <w:rFonts w:hint="eastAsia" w:asciiTheme="minorEastAsia" w:hAnsiTheme="minorEastAsia" w:eastAsiaTheme="minorEastAsia"/>
              </w:rPr>
              <w:t>1</w:t>
            </w:r>
            <w:r>
              <w:rPr>
                <w:rFonts w:asciiTheme="minorEastAsia" w:hAnsiTheme="minorEastAsia" w:eastAsiaTheme="minorEastAsia"/>
              </w:rPr>
              <w:t>分，扣完为止。</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Theme="minorEastAsia" w:hAnsiTheme="minorEastAsia" w:eastAsiaTheme="minorEastAsia"/>
              </w:rPr>
            </w:pPr>
            <w:r>
              <w:rPr>
                <w:rFonts w:hint="eastAsia" w:asciiTheme="minorEastAsia" w:hAnsiTheme="minorEastAsia" w:eastAsiaTheme="minorEastAsia"/>
              </w:rPr>
              <w:t>（二）评分依据：</w:t>
            </w:r>
          </w:p>
          <w:p>
            <w:pPr>
              <w:keepNext w:val="0"/>
              <w:keepLines w:val="0"/>
              <w:pageBreakBefore w:val="0"/>
              <w:kinsoku/>
              <w:wordWrap/>
              <w:overflowPunct/>
              <w:topLinePunct w:val="0"/>
              <w:bidi w:val="0"/>
              <w:spacing w:line="400" w:lineRule="exact"/>
              <w:textAlignment w:val="auto"/>
              <w:rPr>
                <w:rFonts w:asciiTheme="minorEastAsia" w:hAnsiTheme="minorEastAsia" w:eastAsiaTheme="minorEastAsia"/>
              </w:rPr>
            </w:pPr>
            <w:r>
              <w:rPr>
                <w:rFonts w:hint="eastAsia" w:asciiTheme="minorEastAsia" w:hAnsiTheme="minorEastAsia" w:eastAsiaTheme="minorEastAsia"/>
              </w:rPr>
              <w:t>以投标文件《技术规格偏离表》为评分依据，</w:t>
            </w:r>
            <w:r>
              <w:rPr>
                <w:rFonts w:asciiTheme="minorEastAsia" w:hAnsiTheme="minorEastAsia" w:eastAsiaTheme="minorEastAsia"/>
              </w:rPr>
              <w:t>技术参数中如有参数写明需要提供检测报告、证书、截图等相关证明材料的，须提供相关证明材料</w:t>
            </w:r>
            <w:r>
              <w:rPr>
                <w:rFonts w:hint="eastAsia" w:asciiTheme="minorEastAsia" w:hAnsiTheme="minorEastAsia" w:eastAsiaTheme="minorEastAsia"/>
              </w:rPr>
              <w:t>复印件或扫描件加盖投标人公章（原件备查），</w:t>
            </w:r>
            <w:r>
              <w:rPr>
                <w:rFonts w:asciiTheme="minorEastAsia" w:hAnsiTheme="minorEastAsia" w:eastAsiaTheme="minorEastAsia"/>
              </w:rPr>
              <w:t xml:space="preserve">并在招标文件中注明证明材料在投标文件中的具体位置，未按要求提供或提供不清晰导致专家无法判断的视为负偏离。 </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keepNext w:val="0"/>
              <w:keepLines w:val="0"/>
              <w:pageBreakBefore w:val="0"/>
              <w:widowControl/>
              <w:kinsoku/>
              <w:wordWrap/>
              <w:overflowPunct/>
              <w:topLinePunct w:val="0"/>
              <w:bidi w:val="0"/>
              <w:snapToGrid w:val="0"/>
              <w:spacing w:line="400" w:lineRule="exact"/>
              <w:jc w:val="center"/>
              <w:textAlignment w:val="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2</w:t>
            </w:r>
          </w:p>
        </w:tc>
        <w:tc>
          <w:tcPr>
            <w:tcW w:w="1143" w:type="dxa"/>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szCs w:val="21"/>
                <w:highlight w:val="none"/>
              </w:rPr>
            </w:pPr>
            <w:r>
              <w:rPr>
                <w:rFonts w:cs="宋体" w:asciiTheme="minorEastAsia" w:hAnsiTheme="minorEastAsia" w:eastAsiaTheme="minorEastAsia"/>
                <w:bCs/>
                <w:kern w:val="0"/>
                <w:szCs w:val="21"/>
                <w:highlight w:val="none"/>
              </w:rPr>
              <w:t>售后服务方案</w:t>
            </w:r>
          </w:p>
        </w:tc>
        <w:tc>
          <w:tcPr>
            <w:tcW w:w="709" w:type="dxa"/>
            <w:vAlign w:val="center"/>
          </w:tcPr>
          <w:p>
            <w:pPr>
              <w:keepNext w:val="0"/>
              <w:keepLines w:val="0"/>
              <w:pageBreakBefore w:val="0"/>
              <w:widowControl/>
              <w:kinsoku/>
              <w:wordWrap/>
              <w:overflowPunct/>
              <w:topLinePunct w:val="0"/>
              <w:bidi w:val="0"/>
              <w:spacing w:line="400" w:lineRule="exact"/>
              <w:jc w:val="center"/>
              <w:textAlignment w:val="auto"/>
              <w:rPr>
                <w:rFonts w:hint="default" w:cs="宋体" w:asciiTheme="minorEastAsia" w:hAnsiTheme="minorEastAsia" w:eastAsiaTheme="minorEastAsia"/>
                <w:kern w:val="0"/>
                <w:szCs w:val="21"/>
                <w:highlight w:val="none"/>
                <w:lang w:val="en-US" w:eastAsia="zh-CN"/>
              </w:rPr>
            </w:pPr>
            <w:r>
              <w:rPr>
                <w:rFonts w:hint="eastAsia" w:cs="宋体" w:asciiTheme="minorEastAsia" w:hAnsiTheme="minorEastAsia" w:eastAsiaTheme="minorEastAsia"/>
                <w:kern w:val="0"/>
                <w:szCs w:val="21"/>
                <w:highlight w:val="none"/>
                <w:lang w:val="en-US" w:eastAsia="zh-CN"/>
              </w:rPr>
              <w:t>8</w:t>
            </w:r>
          </w:p>
        </w:tc>
        <w:tc>
          <w:tcPr>
            <w:tcW w:w="5953" w:type="dxa"/>
            <w:vAlign w:val="center"/>
          </w:tcPr>
          <w:p>
            <w:pPr>
              <w:pStyle w:val="94"/>
              <w:keepNext w:val="0"/>
              <w:keepLines w:val="0"/>
              <w:pageBreakBefore w:val="0"/>
              <w:kinsoku/>
              <w:wordWrap/>
              <w:overflowPunct/>
              <w:topLinePunct w:val="0"/>
              <w:bidi w:val="0"/>
              <w:spacing w:line="400" w:lineRule="exact"/>
              <w:ind w:firstLine="0" w:firstLineChars="0"/>
              <w:textAlignment w:val="auto"/>
              <w:rPr>
                <w:rFonts w:ascii="宋体" w:hAnsi="宋体"/>
                <w:szCs w:val="21"/>
                <w:highlight w:val="none"/>
              </w:rPr>
            </w:pPr>
            <w:r>
              <w:rPr>
                <w:rFonts w:hint="eastAsia" w:ascii="宋体" w:hAnsi="宋体"/>
                <w:szCs w:val="21"/>
                <w:highlight w:val="none"/>
              </w:rPr>
              <w:t>（一）评分内容：</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投标人根据本项目的需求制定</w:t>
            </w:r>
            <w:r>
              <w:rPr>
                <w:rFonts w:hint="eastAsia"/>
                <w:highlight w:val="none"/>
              </w:rPr>
              <w:t>售后服务方案（包括响应时间快慢、服务内容、维修应急方案、培训计划、其他特色服务等）</w:t>
            </w:r>
            <w:r>
              <w:rPr>
                <w:rFonts w:hint="eastAsia" w:ascii="宋体" w:hAnsi="宋体" w:cs="仿宋"/>
                <w:szCs w:val="21"/>
                <w:highlight w:val="none"/>
              </w:rPr>
              <w:t>，根据响应情况进行评审：</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（1）</w:t>
            </w:r>
            <w:r>
              <w:rPr>
                <w:rFonts w:hint="eastAsia"/>
                <w:highlight w:val="none"/>
              </w:rPr>
              <w:t>售后服务方案内容具体，表述清晰、完整、严谨；</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（2）</w:t>
            </w:r>
            <w:r>
              <w:rPr>
                <w:rFonts w:hint="eastAsia"/>
                <w:highlight w:val="none"/>
              </w:rPr>
              <w:t>售后服务方案内容针对性强</w:t>
            </w:r>
            <w:r>
              <w:rPr>
                <w:rFonts w:hint="eastAsia" w:ascii="宋体" w:hAnsi="宋体" w:cs="仿宋"/>
                <w:szCs w:val="21"/>
                <w:highlight w:val="none"/>
              </w:rPr>
              <w:t>；</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（3）</w:t>
            </w:r>
            <w:r>
              <w:rPr>
                <w:rFonts w:hint="eastAsia"/>
                <w:highlight w:val="none"/>
              </w:rPr>
              <w:t>售后服务方案内容先进、科学合理；</w:t>
            </w:r>
            <w:r>
              <w:rPr>
                <w:rFonts w:hint="eastAsia" w:ascii="宋体" w:hAnsi="宋体" w:cs="仿宋"/>
                <w:szCs w:val="21"/>
                <w:highlight w:val="none"/>
              </w:rPr>
              <w:br w:type="textWrapping"/>
            </w:r>
            <w:r>
              <w:rPr>
                <w:rFonts w:hint="eastAsia" w:ascii="宋体" w:hAnsi="宋体" w:cs="仿宋"/>
                <w:szCs w:val="21"/>
                <w:highlight w:val="none"/>
              </w:rPr>
              <w:t>（4）</w:t>
            </w:r>
            <w:r>
              <w:rPr>
                <w:rFonts w:hint="eastAsia"/>
                <w:highlight w:val="none"/>
              </w:rPr>
              <w:t>售后服务方案内容可操作性强。</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宋体" w:hAnsi="宋体"/>
                <w:kern w:val="0"/>
                <w:szCs w:val="21"/>
                <w:highlight w:val="none"/>
              </w:rPr>
            </w:pPr>
            <w:r>
              <w:rPr>
                <w:rFonts w:hint="eastAsia" w:ascii="宋体" w:hAnsi="宋体"/>
                <w:kern w:val="0"/>
                <w:szCs w:val="21"/>
                <w:highlight w:val="none"/>
              </w:rPr>
              <w:t>（二）评分标准：</w:t>
            </w:r>
          </w:p>
          <w:p>
            <w:pPr>
              <w:pStyle w:val="18"/>
              <w:keepNext w:val="0"/>
              <w:keepLines w:val="0"/>
              <w:pageBreakBefore w:val="0"/>
              <w:kinsoku/>
              <w:wordWrap/>
              <w:overflowPunct/>
              <w:topLinePunct w:val="0"/>
              <w:bidi w:val="0"/>
              <w:spacing w:line="400" w:lineRule="exact"/>
              <w:textAlignment w:val="auto"/>
              <w:rPr>
                <w:rFonts w:hint="eastAsia" w:ascii="宋体" w:hAnsi="宋体" w:cs="仿宋"/>
                <w:szCs w:val="21"/>
                <w:highlight w:val="none"/>
              </w:rPr>
            </w:pPr>
            <w:r>
              <w:rPr>
                <w:rFonts w:hint="eastAsia" w:ascii="宋体" w:hAnsi="宋体" w:cs="仿宋"/>
                <w:szCs w:val="21"/>
                <w:highlight w:val="none"/>
              </w:rPr>
              <w:t>满足以上四项要求得</w:t>
            </w:r>
            <w:r>
              <w:rPr>
                <w:rFonts w:hint="eastAsia" w:ascii="宋体" w:hAnsi="宋体" w:cs="仿宋"/>
                <w:szCs w:val="21"/>
                <w:highlight w:val="none"/>
                <w:lang w:val="en-US" w:eastAsia="zh-CN"/>
              </w:rPr>
              <w:t>8</w:t>
            </w:r>
            <w:r>
              <w:rPr>
                <w:rFonts w:hint="eastAsia" w:ascii="宋体" w:hAnsi="宋体" w:cs="仿宋"/>
                <w:szCs w:val="21"/>
                <w:highlight w:val="none"/>
              </w:rPr>
              <w:t>分，满足以上三项要求得</w:t>
            </w:r>
            <w:r>
              <w:rPr>
                <w:rFonts w:hint="eastAsia" w:ascii="宋体" w:hAnsi="宋体" w:cs="仿宋"/>
                <w:szCs w:val="21"/>
                <w:highlight w:val="none"/>
                <w:lang w:val="en-US" w:eastAsia="zh-CN"/>
              </w:rPr>
              <w:t>6</w:t>
            </w:r>
            <w:r>
              <w:rPr>
                <w:rFonts w:hint="eastAsia" w:ascii="宋体" w:hAnsi="宋体" w:cs="仿宋"/>
                <w:szCs w:val="21"/>
                <w:highlight w:val="none"/>
              </w:rPr>
              <w:t>分，满足以上二项要求得</w:t>
            </w:r>
            <w:r>
              <w:rPr>
                <w:rFonts w:hint="eastAsia" w:ascii="宋体" w:hAnsi="宋体" w:cs="仿宋"/>
                <w:szCs w:val="21"/>
                <w:highlight w:val="none"/>
                <w:lang w:val="en-US" w:eastAsia="zh-CN"/>
              </w:rPr>
              <w:t>4</w:t>
            </w:r>
            <w:r>
              <w:rPr>
                <w:rFonts w:hint="eastAsia" w:ascii="宋体" w:hAnsi="宋体" w:cs="仿宋"/>
                <w:szCs w:val="21"/>
                <w:highlight w:val="none"/>
              </w:rPr>
              <w:t>分，其它情况不得分。</w:t>
            </w:r>
          </w:p>
        </w:tc>
        <w:tc>
          <w:tcPr>
            <w:tcW w:w="1187" w:type="dxa"/>
            <w:vAlign w:val="center"/>
          </w:tcPr>
          <w:p>
            <w:pPr>
              <w:keepNext w:val="0"/>
              <w:keepLines w:val="0"/>
              <w:pageBreakBefore w:val="0"/>
              <w:kinsoku/>
              <w:wordWrap/>
              <w:overflowPunct/>
              <w:topLinePunct w:val="0"/>
              <w:bidi w:val="0"/>
              <w:spacing w:line="400" w:lineRule="exact"/>
              <w:jc w:val="center"/>
              <w:textAlignment w:val="auto"/>
              <w:rPr>
                <w:rFonts w:hint="eastAsia"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keepNext w:val="0"/>
              <w:keepLines w:val="0"/>
              <w:pageBreakBefore w:val="0"/>
              <w:widowControl/>
              <w:kinsoku/>
              <w:wordWrap/>
              <w:overflowPunct/>
              <w:topLinePunct w:val="0"/>
              <w:bidi w:val="0"/>
              <w:snapToGrid w:val="0"/>
              <w:spacing w:line="400" w:lineRule="exact"/>
              <w:jc w:val="center"/>
              <w:textAlignment w:val="auto"/>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1143" w:type="dxa"/>
            <w:vAlign w:val="center"/>
          </w:tcPr>
          <w:p>
            <w:pPr>
              <w:keepNext w:val="0"/>
              <w:keepLines w:val="0"/>
              <w:pageBreakBefore w:val="0"/>
              <w:widowControl/>
              <w:kinsoku/>
              <w:wordWrap/>
              <w:overflowPunct/>
              <w:topLinePunct w:val="0"/>
              <w:bidi w:val="0"/>
              <w:spacing w:line="400" w:lineRule="exact"/>
              <w:jc w:val="center"/>
              <w:textAlignment w:val="auto"/>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项目实施方案</w:t>
            </w:r>
          </w:p>
        </w:tc>
        <w:tc>
          <w:tcPr>
            <w:tcW w:w="709" w:type="dxa"/>
            <w:vAlign w:val="center"/>
          </w:tcPr>
          <w:p>
            <w:pPr>
              <w:keepNext w:val="0"/>
              <w:keepLines w:val="0"/>
              <w:pageBreakBefore w:val="0"/>
              <w:widowControl/>
              <w:kinsoku/>
              <w:wordWrap/>
              <w:overflowPunct/>
              <w:topLinePunct w:val="0"/>
              <w:bidi w:val="0"/>
              <w:spacing w:line="400" w:lineRule="exact"/>
              <w:jc w:val="center"/>
              <w:textAlignment w:val="auto"/>
              <w:rPr>
                <w:rFonts w:hint="default" w:cs="宋体" w:asciiTheme="minorEastAsia" w:hAnsiTheme="minorEastAsia" w:eastAsiaTheme="minorEastAsia"/>
                <w:kern w:val="0"/>
                <w:szCs w:val="21"/>
                <w:highlight w:val="none"/>
                <w:lang w:val="en-US" w:eastAsia="zh-CN"/>
              </w:rPr>
            </w:pPr>
            <w:r>
              <w:rPr>
                <w:rFonts w:hint="eastAsia" w:cs="宋体" w:asciiTheme="minorEastAsia" w:hAnsiTheme="minorEastAsia" w:eastAsiaTheme="minorEastAsia"/>
                <w:kern w:val="0"/>
                <w:szCs w:val="21"/>
                <w:highlight w:val="none"/>
                <w:lang w:val="en-US" w:eastAsia="zh-CN"/>
              </w:rPr>
              <w:t>10</w:t>
            </w:r>
          </w:p>
        </w:tc>
        <w:tc>
          <w:tcPr>
            <w:tcW w:w="5953" w:type="dxa"/>
            <w:vAlign w:val="center"/>
          </w:tcPr>
          <w:p>
            <w:pPr>
              <w:pStyle w:val="94"/>
              <w:keepNext w:val="0"/>
              <w:keepLines w:val="0"/>
              <w:pageBreakBefore w:val="0"/>
              <w:kinsoku/>
              <w:wordWrap/>
              <w:overflowPunct/>
              <w:topLinePunct w:val="0"/>
              <w:bidi w:val="0"/>
              <w:spacing w:line="400" w:lineRule="exact"/>
              <w:ind w:firstLine="0" w:firstLineChars="0"/>
              <w:textAlignment w:val="auto"/>
              <w:rPr>
                <w:rFonts w:ascii="宋体" w:hAnsi="宋体"/>
                <w:szCs w:val="21"/>
                <w:highlight w:val="none"/>
              </w:rPr>
            </w:pPr>
            <w:r>
              <w:rPr>
                <w:rFonts w:hint="eastAsia" w:ascii="宋体" w:hAnsi="宋体"/>
                <w:szCs w:val="21"/>
                <w:highlight w:val="none"/>
              </w:rPr>
              <w:t>（一）评分内容：</w:t>
            </w:r>
          </w:p>
          <w:p>
            <w:pPr>
              <w:keepNext w:val="0"/>
              <w:keepLines w:val="0"/>
              <w:pageBreakBefore w:val="0"/>
              <w:kinsoku/>
              <w:wordWrap/>
              <w:overflowPunct/>
              <w:topLinePunct w:val="0"/>
              <w:bidi w:val="0"/>
              <w:spacing w:line="400" w:lineRule="exact"/>
              <w:jc w:val="left"/>
              <w:textAlignment w:val="auto"/>
              <w:rPr>
                <w:highlight w:val="none"/>
                <w:lang w:val="zh-CN"/>
              </w:rPr>
            </w:pPr>
            <w:r>
              <w:rPr>
                <w:highlight w:val="none"/>
                <w:lang w:val="zh-CN"/>
              </w:rPr>
              <w:t>根据投标人对整个项目的组织实施方案包括但不限于供货措施，实施组织管理实施总进度计划、人员安排及资质、验收方案等进行综合评价。</w:t>
            </w:r>
          </w:p>
          <w:p>
            <w:pPr>
              <w:pStyle w:val="20"/>
              <w:keepNext w:val="0"/>
              <w:keepLines w:val="0"/>
              <w:pageBreakBefore w:val="0"/>
              <w:kinsoku/>
              <w:wordWrap/>
              <w:overflowPunct/>
              <w:topLinePunct w:val="0"/>
              <w:bidi w:val="0"/>
              <w:spacing w:line="400" w:lineRule="exact"/>
              <w:textAlignment w:val="auto"/>
              <w:rPr>
                <w:rFonts w:ascii="宋体" w:hAnsi="宋体"/>
                <w:szCs w:val="22"/>
                <w:highlight w:val="none"/>
                <w:lang w:val="zh-CN"/>
              </w:rPr>
            </w:pPr>
            <w:r>
              <w:rPr>
                <w:rFonts w:hint="eastAsia" w:ascii="宋体" w:hAnsi="宋体"/>
                <w:szCs w:val="22"/>
                <w:highlight w:val="none"/>
                <w:lang w:val="zh-CN"/>
              </w:rPr>
              <w:t>（</w:t>
            </w:r>
            <w:r>
              <w:rPr>
                <w:rFonts w:hint="eastAsia" w:ascii="宋体" w:hAnsi="宋体"/>
                <w:szCs w:val="22"/>
                <w:highlight w:val="none"/>
              </w:rPr>
              <w:t>1</w:t>
            </w:r>
            <w:r>
              <w:rPr>
                <w:rFonts w:hint="eastAsia" w:ascii="宋体" w:hAnsi="宋体"/>
                <w:szCs w:val="22"/>
                <w:highlight w:val="none"/>
                <w:lang w:val="zh-CN"/>
              </w:rPr>
              <w:t>）</w:t>
            </w:r>
            <w:r>
              <w:rPr>
                <w:rFonts w:ascii="宋体" w:hAnsi="宋体"/>
                <w:szCs w:val="22"/>
                <w:highlight w:val="none"/>
                <w:lang w:val="zh-CN"/>
              </w:rPr>
              <w:t>实施方案详细、具体；</w:t>
            </w:r>
          </w:p>
          <w:p>
            <w:pPr>
              <w:pStyle w:val="20"/>
              <w:keepNext w:val="0"/>
              <w:keepLines w:val="0"/>
              <w:pageBreakBefore w:val="0"/>
              <w:kinsoku/>
              <w:wordWrap/>
              <w:overflowPunct/>
              <w:topLinePunct w:val="0"/>
              <w:bidi w:val="0"/>
              <w:spacing w:line="400" w:lineRule="exact"/>
              <w:textAlignment w:val="auto"/>
              <w:rPr>
                <w:rFonts w:ascii="宋体" w:hAnsi="宋体"/>
                <w:szCs w:val="22"/>
                <w:highlight w:val="none"/>
                <w:lang w:val="zh-CN"/>
              </w:rPr>
            </w:pPr>
            <w:r>
              <w:rPr>
                <w:rFonts w:hint="eastAsia" w:ascii="宋体" w:hAnsi="宋体"/>
                <w:szCs w:val="22"/>
                <w:highlight w:val="none"/>
                <w:lang w:val="zh-CN"/>
              </w:rPr>
              <w:t>（</w:t>
            </w:r>
            <w:r>
              <w:rPr>
                <w:rFonts w:hint="eastAsia" w:ascii="宋体" w:hAnsi="宋体"/>
                <w:szCs w:val="22"/>
                <w:highlight w:val="none"/>
              </w:rPr>
              <w:t>2</w:t>
            </w:r>
            <w:r>
              <w:rPr>
                <w:rFonts w:hint="eastAsia" w:ascii="宋体" w:hAnsi="宋体"/>
                <w:szCs w:val="22"/>
                <w:highlight w:val="none"/>
                <w:lang w:val="zh-CN"/>
              </w:rPr>
              <w:t>）</w:t>
            </w:r>
            <w:r>
              <w:rPr>
                <w:rFonts w:ascii="宋体" w:hAnsi="宋体"/>
                <w:szCs w:val="22"/>
                <w:highlight w:val="none"/>
                <w:lang w:val="zh-CN"/>
              </w:rPr>
              <w:t>实施方案</w:t>
            </w:r>
            <w:r>
              <w:rPr>
                <w:rFonts w:hint="eastAsia" w:ascii="宋体" w:hAnsi="宋体"/>
                <w:szCs w:val="22"/>
                <w:highlight w:val="none"/>
              </w:rPr>
              <w:t>可行性高</w:t>
            </w:r>
            <w:r>
              <w:rPr>
                <w:rFonts w:ascii="宋体" w:hAnsi="宋体"/>
                <w:szCs w:val="22"/>
                <w:highlight w:val="none"/>
                <w:lang w:val="zh-CN"/>
              </w:rPr>
              <w:t>；</w:t>
            </w:r>
          </w:p>
          <w:p>
            <w:pPr>
              <w:pStyle w:val="20"/>
              <w:keepNext w:val="0"/>
              <w:keepLines w:val="0"/>
              <w:pageBreakBefore w:val="0"/>
              <w:kinsoku/>
              <w:wordWrap/>
              <w:overflowPunct/>
              <w:topLinePunct w:val="0"/>
              <w:bidi w:val="0"/>
              <w:spacing w:line="400" w:lineRule="exact"/>
              <w:textAlignment w:val="auto"/>
              <w:rPr>
                <w:rFonts w:ascii="宋体" w:hAnsi="宋体"/>
                <w:szCs w:val="22"/>
                <w:highlight w:val="none"/>
                <w:lang w:val="zh-CN"/>
              </w:rPr>
            </w:pPr>
            <w:r>
              <w:rPr>
                <w:rFonts w:hint="eastAsia" w:ascii="宋体" w:hAnsi="宋体"/>
                <w:szCs w:val="22"/>
                <w:highlight w:val="none"/>
                <w:lang w:val="zh-CN"/>
              </w:rPr>
              <w:t>（</w:t>
            </w:r>
            <w:r>
              <w:rPr>
                <w:rFonts w:hint="eastAsia" w:ascii="宋体" w:hAnsi="宋体"/>
                <w:szCs w:val="22"/>
                <w:highlight w:val="none"/>
              </w:rPr>
              <w:t>3</w:t>
            </w:r>
            <w:r>
              <w:rPr>
                <w:rFonts w:hint="eastAsia" w:ascii="宋体" w:hAnsi="宋体"/>
                <w:szCs w:val="22"/>
                <w:highlight w:val="none"/>
                <w:lang w:val="zh-CN"/>
              </w:rPr>
              <w:t>）</w:t>
            </w:r>
            <w:r>
              <w:rPr>
                <w:rFonts w:ascii="宋体" w:hAnsi="宋体"/>
                <w:szCs w:val="22"/>
                <w:highlight w:val="none"/>
                <w:lang w:val="zh-CN"/>
              </w:rPr>
              <w:t>实施方案</w:t>
            </w:r>
            <w:r>
              <w:rPr>
                <w:rFonts w:hint="eastAsia" w:ascii="宋体" w:hAnsi="宋体"/>
                <w:szCs w:val="22"/>
                <w:highlight w:val="none"/>
                <w:lang w:val="en-US" w:eastAsia="zh-CN"/>
              </w:rPr>
              <w:t>操作</w:t>
            </w:r>
            <w:r>
              <w:rPr>
                <w:rFonts w:hint="eastAsia" w:ascii="宋体" w:hAnsi="宋体"/>
                <w:szCs w:val="22"/>
                <w:highlight w:val="none"/>
              </w:rPr>
              <w:t>性强</w:t>
            </w:r>
            <w:r>
              <w:rPr>
                <w:rFonts w:ascii="宋体" w:hAnsi="宋体"/>
                <w:szCs w:val="22"/>
                <w:highlight w:val="none"/>
                <w:lang w:val="zh-CN"/>
              </w:rPr>
              <w:t>；</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宋体" w:hAnsi="宋体"/>
                <w:kern w:val="0"/>
                <w:szCs w:val="21"/>
                <w:highlight w:val="none"/>
              </w:rPr>
            </w:pPr>
            <w:r>
              <w:rPr>
                <w:rFonts w:hint="eastAsia" w:ascii="宋体" w:hAnsi="宋体"/>
                <w:kern w:val="0"/>
                <w:szCs w:val="21"/>
                <w:highlight w:val="none"/>
              </w:rPr>
              <w:t>（二）评分标准：</w:t>
            </w:r>
          </w:p>
          <w:p>
            <w:pPr>
              <w:pStyle w:val="18"/>
              <w:keepNext w:val="0"/>
              <w:keepLines w:val="0"/>
              <w:pageBreakBefore w:val="0"/>
              <w:kinsoku/>
              <w:wordWrap/>
              <w:overflowPunct/>
              <w:topLinePunct w:val="0"/>
              <w:bidi w:val="0"/>
              <w:spacing w:line="400" w:lineRule="exact"/>
              <w:textAlignment w:val="auto"/>
              <w:rPr>
                <w:rFonts w:cs="仿宋" w:asciiTheme="minorEastAsia" w:hAnsiTheme="minorEastAsia" w:eastAsiaTheme="minorEastAsia"/>
                <w:szCs w:val="21"/>
                <w:highlight w:val="none"/>
              </w:rPr>
            </w:pPr>
            <w:r>
              <w:rPr>
                <w:rFonts w:hint="eastAsia" w:ascii="宋体" w:hAnsi="宋体" w:cs="仿宋"/>
                <w:szCs w:val="21"/>
                <w:highlight w:val="none"/>
              </w:rPr>
              <w:t>满足以上三项要求得</w:t>
            </w:r>
            <w:r>
              <w:rPr>
                <w:rFonts w:hint="eastAsia" w:ascii="宋体" w:hAnsi="宋体" w:cs="仿宋"/>
                <w:szCs w:val="21"/>
                <w:highlight w:val="none"/>
                <w:lang w:val="en-US" w:eastAsia="zh-CN"/>
              </w:rPr>
              <w:t>10</w:t>
            </w:r>
            <w:r>
              <w:rPr>
                <w:rFonts w:hint="eastAsia" w:ascii="宋体" w:hAnsi="宋体" w:cs="仿宋"/>
                <w:szCs w:val="21"/>
                <w:highlight w:val="none"/>
              </w:rPr>
              <w:t>分，满足以上两项要求得</w:t>
            </w:r>
            <w:r>
              <w:rPr>
                <w:rFonts w:hint="eastAsia" w:ascii="宋体" w:hAnsi="宋体" w:cs="仿宋"/>
                <w:szCs w:val="21"/>
                <w:highlight w:val="none"/>
                <w:lang w:val="en-US" w:eastAsia="zh-CN"/>
              </w:rPr>
              <w:t>8</w:t>
            </w:r>
            <w:r>
              <w:rPr>
                <w:rFonts w:hint="eastAsia" w:ascii="宋体" w:hAnsi="宋体" w:cs="仿宋"/>
                <w:szCs w:val="21"/>
                <w:highlight w:val="none"/>
              </w:rPr>
              <w:t>分，满足以上一项要求得</w:t>
            </w:r>
            <w:r>
              <w:rPr>
                <w:rFonts w:hint="eastAsia" w:ascii="宋体" w:hAnsi="宋体" w:cs="仿宋"/>
                <w:szCs w:val="21"/>
                <w:highlight w:val="none"/>
                <w:lang w:val="en-US" w:eastAsia="zh-CN"/>
              </w:rPr>
              <w:t>6</w:t>
            </w:r>
            <w:r>
              <w:rPr>
                <w:rFonts w:hint="eastAsia" w:ascii="宋体" w:hAnsi="宋体" w:cs="仿宋"/>
                <w:szCs w:val="21"/>
                <w:highlight w:val="none"/>
              </w:rPr>
              <w:t>分，其它情况不得分。</w:t>
            </w:r>
          </w:p>
        </w:tc>
        <w:tc>
          <w:tcPr>
            <w:tcW w:w="1187"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20" w:hRule="atLeast"/>
          <w:jc w:val="center"/>
        </w:trPr>
        <w:tc>
          <w:tcPr>
            <w:tcW w:w="754" w:type="dxa"/>
            <w:vAlign w:val="center"/>
          </w:tcPr>
          <w:p>
            <w:pPr>
              <w:keepNext w:val="0"/>
              <w:keepLines w:val="0"/>
              <w:pageBreakBefore w:val="0"/>
              <w:widowControl/>
              <w:kinsoku/>
              <w:wordWrap/>
              <w:overflowPunct/>
              <w:topLinePunct w:val="0"/>
              <w:bidi w:val="0"/>
              <w:snapToGrid w:val="0"/>
              <w:spacing w:line="400" w:lineRule="exact"/>
              <w:jc w:val="center"/>
              <w:textAlignment w:val="auto"/>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4</w:t>
            </w:r>
          </w:p>
        </w:tc>
        <w:tc>
          <w:tcPr>
            <w:tcW w:w="1143" w:type="dxa"/>
            <w:vAlign w:val="center"/>
          </w:tcPr>
          <w:p>
            <w:pPr>
              <w:keepNext w:val="0"/>
              <w:keepLines w:val="0"/>
              <w:pageBreakBefore w:val="0"/>
              <w:widowControl/>
              <w:kinsoku/>
              <w:wordWrap/>
              <w:overflowPunct/>
              <w:topLinePunct w:val="0"/>
              <w:bidi w:val="0"/>
              <w:spacing w:line="400" w:lineRule="exact"/>
              <w:jc w:val="center"/>
              <w:textAlignment w:val="auto"/>
              <w:rPr>
                <w:rFonts w:hint="eastAsia" w:asciiTheme="minorEastAsia" w:hAnsiTheme="minorEastAsia" w:eastAsiaTheme="minorEastAsia"/>
                <w:szCs w:val="21"/>
                <w:highlight w:val="none"/>
              </w:rPr>
            </w:pPr>
            <w:r>
              <w:rPr>
                <w:rFonts w:ascii="宋体" w:hAnsi="宋体"/>
                <w:szCs w:val="22"/>
                <w:highlight w:val="none"/>
              </w:rPr>
              <w:t>质量保证措施</w:t>
            </w:r>
          </w:p>
        </w:tc>
        <w:tc>
          <w:tcPr>
            <w:tcW w:w="709" w:type="dxa"/>
            <w:vAlign w:val="center"/>
          </w:tcPr>
          <w:p>
            <w:pPr>
              <w:keepNext w:val="0"/>
              <w:keepLines w:val="0"/>
              <w:pageBreakBefore w:val="0"/>
              <w:widowControl/>
              <w:kinsoku/>
              <w:wordWrap/>
              <w:overflowPunct/>
              <w:topLinePunct w:val="0"/>
              <w:bidi w:val="0"/>
              <w:spacing w:line="400" w:lineRule="exact"/>
              <w:jc w:val="center"/>
              <w:textAlignment w:val="auto"/>
              <w:rPr>
                <w:rFonts w:hint="eastAsia" w:cs="宋体" w:asciiTheme="minorEastAsia" w:hAnsiTheme="minorEastAsia" w:eastAsiaTheme="minorEastAsia"/>
                <w:kern w:val="0"/>
                <w:szCs w:val="21"/>
                <w:highlight w:val="none"/>
                <w:lang w:val="en-US" w:eastAsia="zh-CN"/>
              </w:rPr>
            </w:pPr>
            <w:r>
              <w:rPr>
                <w:rFonts w:hint="eastAsia" w:cs="宋体" w:asciiTheme="minorEastAsia" w:hAnsiTheme="minorEastAsia" w:eastAsiaTheme="minorEastAsia"/>
                <w:kern w:val="0"/>
                <w:szCs w:val="21"/>
                <w:highlight w:val="none"/>
                <w:lang w:val="en-US" w:eastAsia="zh-CN"/>
              </w:rPr>
              <w:t>7</w:t>
            </w:r>
          </w:p>
        </w:tc>
        <w:tc>
          <w:tcPr>
            <w:tcW w:w="5953" w:type="dxa"/>
            <w:vAlign w:val="center"/>
          </w:tcPr>
          <w:p>
            <w:pPr>
              <w:pStyle w:val="94"/>
              <w:keepNext w:val="0"/>
              <w:keepLines w:val="0"/>
              <w:pageBreakBefore w:val="0"/>
              <w:kinsoku/>
              <w:wordWrap/>
              <w:overflowPunct/>
              <w:topLinePunct w:val="0"/>
              <w:bidi w:val="0"/>
              <w:spacing w:line="400" w:lineRule="exact"/>
              <w:ind w:firstLine="0" w:firstLineChars="0"/>
              <w:textAlignment w:val="auto"/>
              <w:rPr>
                <w:rFonts w:ascii="宋体" w:hAnsi="宋体"/>
                <w:szCs w:val="21"/>
                <w:highlight w:val="none"/>
              </w:rPr>
            </w:pPr>
            <w:r>
              <w:rPr>
                <w:rFonts w:hint="eastAsia" w:ascii="宋体" w:hAnsi="宋体"/>
                <w:szCs w:val="21"/>
                <w:highlight w:val="none"/>
              </w:rPr>
              <w:t>（一）评分内容：</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根据投标人提供的质量保障措施响应情況进行评审：</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（1）</w:t>
            </w:r>
            <w:r>
              <w:rPr>
                <w:rFonts w:ascii="宋体" w:hAnsi="宋体"/>
                <w:szCs w:val="22"/>
                <w:highlight w:val="none"/>
              </w:rPr>
              <w:t>质量保证措施</w:t>
            </w:r>
            <w:r>
              <w:rPr>
                <w:rFonts w:hint="eastAsia"/>
                <w:highlight w:val="none"/>
              </w:rPr>
              <w:t>内容详细、具体；</w:t>
            </w:r>
          </w:p>
          <w:p>
            <w:pPr>
              <w:keepNext w:val="0"/>
              <w:keepLines w:val="0"/>
              <w:pageBreakBefore w:val="0"/>
              <w:widowControl/>
              <w:kinsoku/>
              <w:wordWrap/>
              <w:overflowPunct/>
              <w:topLinePunct w:val="0"/>
              <w:bidi w:val="0"/>
              <w:spacing w:line="400" w:lineRule="exact"/>
              <w:textAlignment w:val="auto"/>
              <w:rPr>
                <w:rFonts w:ascii="宋体" w:hAnsi="宋体" w:cs="仿宋"/>
                <w:szCs w:val="21"/>
                <w:highlight w:val="none"/>
              </w:rPr>
            </w:pPr>
            <w:r>
              <w:rPr>
                <w:rFonts w:hint="eastAsia" w:ascii="宋体" w:hAnsi="宋体" w:cs="仿宋"/>
                <w:szCs w:val="21"/>
                <w:highlight w:val="none"/>
              </w:rPr>
              <w:t>（2）</w:t>
            </w:r>
            <w:r>
              <w:rPr>
                <w:rFonts w:ascii="宋体" w:hAnsi="宋体"/>
                <w:szCs w:val="22"/>
                <w:highlight w:val="none"/>
              </w:rPr>
              <w:t>质量保证措施</w:t>
            </w:r>
            <w:r>
              <w:rPr>
                <w:rFonts w:hint="eastAsia"/>
                <w:highlight w:val="none"/>
              </w:rPr>
              <w:t>针对性强</w:t>
            </w:r>
            <w:r>
              <w:rPr>
                <w:rFonts w:hint="eastAsia" w:ascii="宋体" w:hAnsi="宋体" w:cs="仿宋"/>
                <w:szCs w:val="21"/>
                <w:highlight w:val="none"/>
              </w:rPr>
              <w:t>；</w:t>
            </w:r>
          </w:p>
          <w:p>
            <w:pPr>
              <w:keepNext w:val="0"/>
              <w:keepLines w:val="0"/>
              <w:pageBreakBefore w:val="0"/>
              <w:widowControl/>
              <w:kinsoku/>
              <w:wordWrap/>
              <w:overflowPunct/>
              <w:topLinePunct w:val="0"/>
              <w:bidi w:val="0"/>
              <w:spacing w:line="400" w:lineRule="exact"/>
              <w:textAlignment w:val="auto"/>
              <w:rPr>
                <w:rFonts w:ascii="宋体" w:hAnsi="宋体"/>
                <w:kern w:val="0"/>
                <w:szCs w:val="21"/>
                <w:highlight w:val="none"/>
              </w:rPr>
            </w:pPr>
            <w:r>
              <w:rPr>
                <w:rFonts w:hint="eastAsia" w:ascii="宋体" w:hAnsi="宋体" w:cs="仿宋"/>
                <w:szCs w:val="21"/>
                <w:highlight w:val="none"/>
              </w:rPr>
              <w:t>（3）</w:t>
            </w:r>
            <w:r>
              <w:rPr>
                <w:rFonts w:ascii="宋体" w:hAnsi="宋体"/>
                <w:szCs w:val="22"/>
                <w:highlight w:val="none"/>
              </w:rPr>
              <w:t>质量保证措施</w:t>
            </w:r>
            <w:r>
              <w:rPr>
                <w:rFonts w:hint="eastAsia"/>
                <w:highlight w:val="none"/>
              </w:rPr>
              <w:t>可行性高；</w:t>
            </w:r>
            <w:r>
              <w:rPr>
                <w:rFonts w:hint="eastAsia" w:ascii="宋体" w:hAnsi="宋体" w:cs="仿宋"/>
                <w:szCs w:val="21"/>
                <w:highlight w:val="none"/>
              </w:rPr>
              <w:br w:type="textWrapping"/>
            </w:r>
            <w:r>
              <w:rPr>
                <w:rFonts w:hint="eastAsia" w:ascii="宋体" w:hAnsi="宋体"/>
                <w:kern w:val="0"/>
                <w:szCs w:val="21"/>
                <w:highlight w:val="none"/>
              </w:rPr>
              <w:t>（二）评分标准：</w:t>
            </w:r>
          </w:p>
          <w:p>
            <w:pPr>
              <w:pStyle w:val="18"/>
              <w:keepNext w:val="0"/>
              <w:keepLines w:val="0"/>
              <w:pageBreakBefore w:val="0"/>
              <w:kinsoku/>
              <w:wordWrap/>
              <w:overflowPunct/>
              <w:topLinePunct w:val="0"/>
              <w:bidi w:val="0"/>
              <w:spacing w:line="400" w:lineRule="exact"/>
              <w:textAlignment w:val="auto"/>
              <w:rPr>
                <w:rFonts w:hint="eastAsia" w:ascii="宋体" w:hAnsi="宋体" w:cs="仿宋"/>
                <w:szCs w:val="21"/>
                <w:highlight w:val="none"/>
              </w:rPr>
            </w:pPr>
            <w:r>
              <w:rPr>
                <w:rFonts w:hint="eastAsia" w:ascii="宋体" w:hAnsi="宋体" w:cs="仿宋"/>
                <w:szCs w:val="21"/>
                <w:highlight w:val="none"/>
              </w:rPr>
              <w:t>满足以上三项要求得</w:t>
            </w:r>
            <w:r>
              <w:rPr>
                <w:rFonts w:hint="eastAsia" w:ascii="宋体" w:hAnsi="宋体" w:cs="仿宋"/>
                <w:szCs w:val="21"/>
                <w:highlight w:val="none"/>
                <w:lang w:val="en-US" w:eastAsia="zh-CN"/>
              </w:rPr>
              <w:t>7</w:t>
            </w:r>
            <w:r>
              <w:rPr>
                <w:rFonts w:hint="eastAsia" w:ascii="宋体" w:hAnsi="宋体" w:cs="仿宋"/>
                <w:szCs w:val="21"/>
                <w:highlight w:val="none"/>
              </w:rPr>
              <w:t>分，满足以上二项要求得</w:t>
            </w:r>
            <w:r>
              <w:rPr>
                <w:rFonts w:hint="eastAsia" w:ascii="宋体" w:hAnsi="宋体" w:cs="仿宋"/>
                <w:szCs w:val="21"/>
                <w:highlight w:val="none"/>
                <w:lang w:val="en-US" w:eastAsia="zh-CN"/>
              </w:rPr>
              <w:t>5</w:t>
            </w:r>
            <w:r>
              <w:rPr>
                <w:rFonts w:hint="eastAsia" w:ascii="宋体" w:hAnsi="宋体" w:cs="仿宋"/>
                <w:szCs w:val="21"/>
                <w:highlight w:val="none"/>
              </w:rPr>
              <w:t>分，满足以上一项要求得</w:t>
            </w:r>
            <w:r>
              <w:rPr>
                <w:rFonts w:hint="eastAsia" w:ascii="宋体" w:hAnsi="宋体" w:cs="仿宋"/>
                <w:szCs w:val="21"/>
                <w:highlight w:val="none"/>
                <w:lang w:val="en-US" w:eastAsia="zh-CN"/>
              </w:rPr>
              <w:t>2</w:t>
            </w:r>
            <w:r>
              <w:rPr>
                <w:rFonts w:hint="eastAsia" w:ascii="宋体" w:hAnsi="宋体" w:cs="仿宋"/>
                <w:szCs w:val="21"/>
                <w:highlight w:val="none"/>
              </w:rPr>
              <w:t>分，其它情况不得分。</w:t>
            </w:r>
          </w:p>
        </w:tc>
        <w:tc>
          <w:tcPr>
            <w:tcW w:w="1187" w:type="dxa"/>
            <w:vAlign w:val="center"/>
          </w:tcPr>
          <w:p>
            <w:pPr>
              <w:keepNext w:val="0"/>
              <w:keepLines w:val="0"/>
              <w:pageBreakBefore w:val="0"/>
              <w:kinsoku/>
              <w:wordWrap/>
              <w:overflowPunct/>
              <w:topLinePunct w:val="0"/>
              <w:bidi w:val="0"/>
              <w:spacing w:line="400" w:lineRule="exact"/>
              <w:jc w:val="center"/>
              <w:textAlignment w:val="auto"/>
              <w:rPr>
                <w:rFonts w:hint="eastAsia" w:cs="仿宋" w:asciiTheme="minorEastAsia" w:hAnsiTheme="minorEastAsia" w:eastAsiaTheme="minorEastAsia"/>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b/>
                <w:szCs w:val="21"/>
              </w:rPr>
            </w:pPr>
            <w:r>
              <w:rPr>
                <w:rFonts w:hint="eastAsia" w:cs="仿宋" w:asciiTheme="minorEastAsia" w:hAnsiTheme="minorEastAsia" w:eastAsiaTheme="minorEastAsia"/>
                <w:b/>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default" w:cs="仿宋" w:asciiTheme="minorEastAsia" w:hAnsiTheme="minorEastAsia" w:eastAsiaTheme="minorEastAsia"/>
                <w:b/>
                <w:szCs w:val="21"/>
                <w:lang w:val="en-US" w:eastAsia="zh-CN"/>
              </w:rPr>
            </w:pPr>
            <w:r>
              <w:rPr>
                <w:rFonts w:hint="eastAsia" w:cs="仿宋" w:asciiTheme="minorEastAsia" w:hAnsiTheme="minorEastAsia" w:eastAsiaTheme="minorEastAsia"/>
                <w:b/>
                <w:szCs w:val="21"/>
                <w:lang w:val="en-US" w:eastAsia="zh-CN"/>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w:t>
            </w:r>
          </w:p>
        </w:tc>
        <w:tc>
          <w:tcPr>
            <w:tcW w:w="1143" w:type="dxa"/>
            <w:vAlign w:val="center"/>
          </w:tcPr>
          <w:p>
            <w:pPr>
              <w:keepNext w:val="0"/>
              <w:keepLines w:val="0"/>
              <w:pageBreakBefore w:val="0"/>
              <w:widowControl/>
              <w:kinsoku/>
              <w:wordWrap/>
              <w:overflowPunct/>
              <w:topLinePunct w:val="0"/>
              <w:bidi w:val="0"/>
              <w:spacing w:line="400" w:lineRule="exact"/>
              <w:jc w:val="center"/>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综合实力</w:t>
            </w:r>
          </w:p>
        </w:tc>
        <w:tc>
          <w:tcPr>
            <w:tcW w:w="709" w:type="dxa"/>
            <w:vAlign w:val="center"/>
          </w:tcPr>
          <w:p>
            <w:pPr>
              <w:keepNext w:val="0"/>
              <w:keepLines w:val="0"/>
              <w:pageBreakBefore w:val="0"/>
              <w:widowControl/>
              <w:kinsoku/>
              <w:wordWrap/>
              <w:overflowPunct/>
              <w:topLinePunct w:val="0"/>
              <w:bidi w:val="0"/>
              <w:spacing w:line="400" w:lineRule="exact"/>
              <w:jc w:val="center"/>
              <w:textAlignment w:val="auto"/>
              <w:rPr>
                <w:rFonts w:hint="default" w:cs="仿宋" w:asciiTheme="minorEastAsia" w:hAnsiTheme="minorEastAsia" w:eastAsiaTheme="minorEastAsia"/>
                <w:kern w:val="0"/>
                <w:szCs w:val="21"/>
                <w:lang w:val="en-US" w:eastAsia="zh-CN"/>
              </w:rPr>
            </w:pPr>
            <w:r>
              <w:rPr>
                <w:rFonts w:hint="eastAsia" w:cs="仿宋" w:asciiTheme="minorEastAsia" w:hAnsiTheme="minorEastAsia" w:eastAsiaTheme="minorEastAsia"/>
                <w:kern w:val="0"/>
                <w:szCs w:val="21"/>
                <w:lang w:val="en-US" w:eastAsia="zh-CN"/>
              </w:rPr>
              <w:t>10</w:t>
            </w:r>
          </w:p>
        </w:tc>
        <w:tc>
          <w:tcPr>
            <w:tcW w:w="5953" w:type="dxa"/>
            <w:vAlign w:val="center"/>
          </w:tcPr>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w:t>
            </w:r>
            <w:r>
              <w:rPr>
                <w:rFonts w:hint="eastAsia" w:cs="仿宋" w:asciiTheme="minorEastAsia" w:hAnsiTheme="minorEastAsia" w:eastAsiaTheme="minorEastAsia"/>
                <w:szCs w:val="21"/>
              </w:rPr>
              <w:t>一</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评审标准：</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lang w:val="zh-CN"/>
              </w:rPr>
            </w:pPr>
            <w:r>
              <w:rPr>
                <w:rFonts w:cs="仿宋" w:asciiTheme="minorEastAsia" w:hAnsiTheme="minorEastAsia" w:eastAsiaTheme="minorEastAsia"/>
                <w:szCs w:val="21"/>
                <w:lang w:val="zh-CN"/>
              </w:rPr>
              <w:t>投标人提供有效</w:t>
            </w:r>
            <w:r>
              <w:rPr>
                <w:rFonts w:hint="eastAsia" w:cs="仿宋" w:asciiTheme="minorEastAsia" w:hAnsiTheme="minorEastAsia" w:eastAsiaTheme="minorEastAsia"/>
                <w:szCs w:val="21"/>
              </w:rPr>
              <w:t>的认证证书：</w:t>
            </w:r>
            <w:r>
              <w:rPr>
                <w:rFonts w:hint="eastAsia" w:cs="仿宋" w:asciiTheme="minorEastAsia" w:hAnsiTheme="minorEastAsia" w:eastAsiaTheme="minorEastAsia"/>
                <w:szCs w:val="21"/>
              </w:rPr>
              <w:br w:type="textWrapping"/>
            </w:r>
            <w:r>
              <w:rPr>
                <w:rFonts w:hint="eastAsia" w:cs="仿宋" w:asciiTheme="minorEastAsia" w:hAnsiTheme="minorEastAsia" w:eastAsiaTheme="minorEastAsia"/>
                <w:szCs w:val="21"/>
              </w:rPr>
              <w:t>（1）</w:t>
            </w:r>
            <w:r>
              <w:rPr>
                <w:rFonts w:cs="仿宋" w:asciiTheme="minorEastAsia" w:hAnsiTheme="minorEastAsia" w:eastAsiaTheme="minorEastAsia"/>
                <w:szCs w:val="21"/>
                <w:lang w:val="zh-CN"/>
              </w:rPr>
              <w:t>ISO9001 质量管理体系认证证书</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认证范围须</w:t>
            </w:r>
            <w:r>
              <w:rPr>
                <w:rFonts w:hint="eastAsia"/>
              </w:rPr>
              <w:t>含</w:t>
            </w:r>
            <w:r>
              <w:rPr>
                <w:rFonts w:cs="仿宋" w:asciiTheme="minorEastAsia" w:hAnsiTheme="minorEastAsia" w:eastAsiaTheme="minorEastAsia"/>
                <w:szCs w:val="21"/>
                <w:lang w:val="zh-CN"/>
              </w:rPr>
              <w:t>钢木办公家具</w:t>
            </w:r>
            <w:r>
              <w:rPr>
                <w:rFonts w:hint="eastAsia" w:cs="仿宋" w:asciiTheme="minorEastAsia" w:hAnsiTheme="minorEastAsia" w:eastAsiaTheme="minorEastAsia"/>
                <w:szCs w:val="21"/>
                <w:lang w:val="zh-CN"/>
              </w:rPr>
              <w:t>生产或经销；</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w:t>
            </w:r>
            <w:r>
              <w:rPr>
                <w:rFonts w:hint="eastAsia" w:cs="仿宋" w:asciiTheme="minorEastAsia" w:hAnsiTheme="minorEastAsia" w:eastAsiaTheme="minorEastAsia"/>
                <w:szCs w:val="21"/>
              </w:rPr>
              <w:t>2</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ISO14001 环境管理体系认证证书</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认证范围须</w:t>
            </w:r>
            <w:r>
              <w:rPr>
                <w:rFonts w:hint="eastAsia"/>
              </w:rPr>
              <w:t>含</w:t>
            </w:r>
            <w:r>
              <w:rPr>
                <w:rFonts w:cs="仿宋" w:asciiTheme="minorEastAsia" w:hAnsiTheme="minorEastAsia" w:eastAsiaTheme="minorEastAsia"/>
                <w:szCs w:val="21"/>
                <w:lang w:val="zh-CN"/>
              </w:rPr>
              <w:t>钢木办公家具</w:t>
            </w:r>
            <w:r>
              <w:rPr>
                <w:rFonts w:hint="eastAsia" w:cs="仿宋" w:asciiTheme="minorEastAsia" w:hAnsiTheme="minorEastAsia" w:eastAsiaTheme="minorEastAsia"/>
                <w:szCs w:val="21"/>
                <w:lang w:val="zh-CN"/>
              </w:rPr>
              <w:t>生产或经销；</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w:t>
            </w:r>
            <w:r>
              <w:rPr>
                <w:rFonts w:hint="eastAsia" w:cs="仿宋" w:asciiTheme="minorEastAsia" w:hAnsiTheme="minorEastAsia" w:eastAsiaTheme="minorEastAsia"/>
                <w:szCs w:val="21"/>
              </w:rPr>
              <w:t>3</w:t>
            </w:r>
            <w:r>
              <w:rPr>
                <w:rFonts w:hint="eastAsia" w:cs="仿宋" w:asciiTheme="minorEastAsia" w:hAnsiTheme="minorEastAsia" w:eastAsiaTheme="minorEastAsia"/>
                <w:szCs w:val="21"/>
                <w:lang w:val="zh-CN"/>
              </w:rPr>
              <w:t>）OHSAS18001或ISO45001</w:t>
            </w:r>
            <w:r>
              <w:rPr>
                <w:rFonts w:cs="仿宋" w:asciiTheme="minorEastAsia" w:hAnsiTheme="minorEastAsia" w:eastAsiaTheme="minorEastAsia"/>
                <w:szCs w:val="21"/>
                <w:lang w:val="zh-CN"/>
              </w:rPr>
              <w:t>职业健康安全管理体系认证证书</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认证范围须</w:t>
            </w:r>
            <w:r>
              <w:rPr>
                <w:rFonts w:hint="eastAsia"/>
              </w:rPr>
              <w:t>含</w:t>
            </w:r>
            <w:r>
              <w:rPr>
                <w:rFonts w:cs="仿宋" w:asciiTheme="minorEastAsia" w:hAnsiTheme="minorEastAsia" w:eastAsiaTheme="minorEastAsia"/>
                <w:szCs w:val="21"/>
                <w:lang w:val="zh-CN"/>
              </w:rPr>
              <w:t>钢木办公家具</w:t>
            </w:r>
            <w:r>
              <w:rPr>
                <w:rFonts w:hint="eastAsia" w:cs="仿宋" w:asciiTheme="minorEastAsia" w:hAnsiTheme="minorEastAsia" w:eastAsiaTheme="minorEastAsia"/>
                <w:szCs w:val="21"/>
                <w:lang w:val="zh-CN"/>
              </w:rPr>
              <w:t>生产或经销；</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lang w:val="zh-CN"/>
              </w:rPr>
            </w:pPr>
            <w:r>
              <w:rPr>
                <w:rFonts w:cs="仿宋" w:asciiTheme="minorEastAsia" w:hAnsiTheme="minorEastAsia" w:eastAsiaTheme="minorEastAsia"/>
                <w:szCs w:val="21"/>
                <w:lang w:val="zh-CN"/>
              </w:rPr>
              <w:t>投标人同时满足以上认证证书得</w:t>
            </w:r>
            <w:r>
              <w:rPr>
                <w:rFonts w:hint="eastAsia" w:cs="仿宋" w:asciiTheme="minorEastAsia" w:hAnsiTheme="minorEastAsia" w:eastAsiaTheme="minorEastAsia"/>
                <w:szCs w:val="21"/>
                <w:lang w:val="zh-CN"/>
              </w:rPr>
              <w:t>1</w:t>
            </w:r>
            <w:r>
              <w:rPr>
                <w:rFonts w:hint="eastAsia" w:cs="仿宋" w:asciiTheme="minorEastAsia" w:hAnsiTheme="minorEastAsia" w:eastAsiaTheme="minorEastAsia"/>
                <w:szCs w:val="21"/>
                <w:lang w:val="en-US" w:eastAsia="zh-CN"/>
              </w:rPr>
              <w:t>0</w:t>
            </w:r>
            <w:r>
              <w:rPr>
                <w:rFonts w:cs="仿宋" w:asciiTheme="minorEastAsia" w:hAnsiTheme="minorEastAsia" w:eastAsiaTheme="minorEastAsia"/>
                <w:szCs w:val="21"/>
                <w:lang w:val="zh-CN"/>
              </w:rPr>
              <w:t>分，</w:t>
            </w:r>
            <w:r>
              <w:rPr>
                <w:rFonts w:hint="eastAsia" w:cs="仿宋" w:asciiTheme="minorEastAsia" w:hAnsiTheme="minorEastAsia" w:eastAsiaTheme="minorEastAsia"/>
                <w:szCs w:val="21"/>
                <w:lang w:val="zh-CN"/>
              </w:rPr>
              <w:t>每缺一项扣</w:t>
            </w:r>
            <w:r>
              <w:rPr>
                <w:rFonts w:hint="eastAsia" w:cs="仿宋" w:asciiTheme="minorEastAsia" w:hAnsiTheme="minorEastAsia" w:eastAsiaTheme="minorEastAsia"/>
                <w:szCs w:val="21"/>
                <w:lang w:val="en-US" w:eastAsia="zh-CN"/>
              </w:rPr>
              <w:t>5</w:t>
            </w:r>
            <w:r>
              <w:rPr>
                <w:rFonts w:hint="eastAsia" w:cs="仿宋" w:asciiTheme="minorEastAsia" w:hAnsiTheme="minorEastAsia" w:eastAsiaTheme="minorEastAsia"/>
                <w:szCs w:val="21"/>
                <w:lang w:val="zh-CN"/>
              </w:rPr>
              <w:t>分，扣完为止。</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w:t>
            </w:r>
            <w:r>
              <w:rPr>
                <w:rFonts w:hint="eastAsia" w:cs="仿宋" w:asciiTheme="minorEastAsia" w:hAnsiTheme="minorEastAsia" w:eastAsiaTheme="minorEastAsia"/>
                <w:szCs w:val="21"/>
              </w:rPr>
              <w:t>二</w:t>
            </w:r>
            <w:r>
              <w:rPr>
                <w:rFonts w:hint="eastAsia" w:cs="仿宋" w:asciiTheme="minorEastAsia" w:hAnsiTheme="minorEastAsia" w:eastAsiaTheme="minorEastAsia"/>
                <w:szCs w:val="21"/>
                <w:lang w:val="zh-CN"/>
              </w:rPr>
              <w:t>）</w:t>
            </w:r>
            <w:r>
              <w:rPr>
                <w:rFonts w:hint="eastAsia" w:asciiTheme="minorEastAsia" w:hAnsiTheme="minorEastAsia" w:eastAsiaTheme="minorEastAsia"/>
                <w:kern w:val="0"/>
                <w:szCs w:val="21"/>
              </w:rPr>
              <w:t>评分依据</w:t>
            </w:r>
            <w:r>
              <w:rPr>
                <w:rFonts w:cs="仿宋" w:asciiTheme="minorEastAsia" w:hAnsiTheme="minorEastAsia" w:eastAsiaTheme="minorEastAsia"/>
                <w:szCs w:val="21"/>
                <w:lang w:val="zh-CN"/>
              </w:rPr>
              <w:t>：</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宋体" w:hAnsi="宋体"/>
                <w:kern w:val="0"/>
                <w:szCs w:val="21"/>
              </w:rPr>
            </w:pPr>
            <w:r>
              <w:rPr>
                <w:rFonts w:hint="eastAsia" w:ascii="宋体" w:hAnsi="宋体"/>
                <w:kern w:val="0"/>
                <w:szCs w:val="21"/>
              </w:rPr>
              <w:t>1.提供有效认证证书（如认证证书注明年审要求的，必须按规定年审且证书在有效期内的方为有效；如未注明年审要求的，证书必须在有效期内的方为有效）；</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宋体" w:hAnsi="宋体"/>
                <w:kern w:val="0"/>
                <w:szCs w:val="21"/>
              </w:rPr>
            </w:pPr>
            <w:r>
              <w:rPr>
                <w:rFonts w:hint="eastAsia" w:ascii="宋体" w:hAnsi="宋体"/>
                <w:kern w:val="0"/>
                <w:szCs w:val="21"/>
              </w:rPr>
              <w:t>2.提供证书官网或权威机构【如：全国认证认可信息公共服务平台（cx.cnca.cn）】认证信息查询截图（截图需显示证书状态为有效）。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pStyle w:val="18"/>
              <w:keepNext w:val="0"/>
              <w:keepLines w:val="0"/>
              <w:pageBreakBefore w:val="0"/>
              <w:kinsoku/>
              <w:wordWrap/>
              <w:overflowPunct/>
              <w:topLinePunct w:val="0"/>
              <w:bidi w:val="0"/>
              <w:spacing w:line="400" w:lineRule="exact"/>
              <w:textAlignment w:val="auto"/>
              <w:rPr>
                <w:rFonts w:cs="仿宋" w:asciiTheme="minorEastAsia" w:hAnsiTheme="minorEastAsia" w:eastAsiaTheme="minorEastAsia"/>
                <w:szCs w:val="21"/>
                <w:lang w:val="zh-CN"/>
              </w:rPr>
            </w:pPr>
            <w:r>
              <w:rPr>
                <w:rFonts w:hint="eastAsia" w:ascii="宋体" w:hAnsi="宋体"/>
                <w:kern w:val="0"/>
                <w:szCs w:val="21"/>
              </w:rPr>
              <w:t>3.</w:t>
            </w:r>
            <w:r>
              <w:rPr>
                <w:rFonts w:hint="eastAsia" w:ascii="宋体" w:hAnsi="宋体"/>
                <w:szCs w:val="21"/>
              </w:rPr>
              <w:t xml:space="preserve"> 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2</w:t>
            </w:r>
          </w:p>
        </w:tc>
        <w:tc>
          <w:tcPr>
            <w:tcW w:w="1143"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rPr>
            </w:pPr>
            <w:r>
              <w:rPr>
                <w:rFonts w:hint="eastAsia" w:cs="宋体" w:asciiTheme="minorEastAsia" w:hAnsiTheme="minorEastAsia" w:eastAsiaTheme="minorEastAsia"/>
                <w:color w:val="000000"/>
                <w:kern w:val="0"/>
                <w:szCs w:val="21"/>
              </w:rPr>
              <w:t>同类项目业绩情况</w:t>
            </w:r>
          </w:p>
        </w:tc>
        <w:tc>
          <w:tcPr>
            <w:tcW w:w="709"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5953" w:type="dxa"/>
            <w:vAlign w:val="center"/>
          </w:tcPr>
          <w:p>
            <w:pPr>
              <w:keepNext w:val="0"/>
              <w:keepLines w:val="0"/>
              <w:pageBreakBefore w:val="0"/>
              <w:widowControl/>
              <w:kinsoku/>
              <w:wordWrap/>
              <w:overflowPunct/>
              <w:topLinePunct w:val="0"/>
              <w:bidi w:val="0"/>
              <w:spacing w:line="400" w:lineRule="exact"/>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rPr>
              <w:t>（一）</w:t>
            </w:r>
            <w:r>
              <w:rPr>
                <w:rFonts w:cs="仿宋" w:asciiTheme="minorEastAsia" w:hAnsiTheme="minorEastAsia" w:eastAsiaTheme="minorEastAsia"/>
                <w:szCs w:val="21"/>
                <w:lang w:val="zh-CN"/>
              </w:rPr>
              <w:t>评审标准：</w:t>
            </w:r>
          </w:p>
          <w:p>
            <w:pPr>
              <w:keepNext w:val="0"/>
              <w:keepLines w:val="0"/>
              <w:pageBreakBefore w:val="0"/>
              <w:widowControl/>
              <w:kinsoku/>
              <w:wordWrap/>
              <w:overflowPunct/>
              <w:topLinePunct w:val="0"/>
              <w:bidi w:val="0"/>
              <w:spacing w:line="400" w:lineRule="exact"/>
              <w:textAlignment w:val="auto"/>
              <w:rPr>
                <w:rFonts w:cs="仿宋" w:asciiTheme="minorEastAsia" w:hAnsiTheme="minorEastAsia" w:eastAsiaTheme="minorEastAsia"/>
                <w:szCs w:val="21"/>
                <w:lang w:val="zh-CN"/>
              </w:rPr>
            </w:pPr>
            <w:r>
              <w:rPr>
                <w:rFonts w:cs="仿宋" w:asciiTheme="minorEastAsia" w:hAnsiTheme="minorEastAsia" w:eastAsiaTheme="minorEastAsia"/>
                <w:szCs w:val="21"/>
                <w:lang w:val="zh-CN"/>
              </w:rPr>
              <w:t>投标人近三年（</w:t>
            </w:r>
            <w:r>
              <w:rPr>
                <w:rFonts w:cs="仿宋" w:asciiTheme="minorEastAsia" w:hAnsiTheme="minorEastAsia" w:eastAsiaTheme="minorEastAsia"/>
                <w:szCs w:val="21"/>
              </w:rPr>
              <w:t>自</w:t>
            </w:r>
            <w:r>
              <w:rPr>
                <w:rFonts w:cs="仿宋" w:asciiTheme="minorEastAsia" w:hAnsiTheme="minorEastAsia" w:eastAsiaTheme="minorEastAsia"/>
                <w:szCs w:val="21"/>
                <w:lang w:val="zh-CN"/>
              </w:rPr>
              <w:t>201</w:t>
            </w:r>
            <w:r>
              <w:rPr>
                <w:rFonts w:hint="eastAsia" w:cs="仿宋" w:asciiTheme="minorEastAsia" w:hAnsiTheme="minorEastAsia" w:eastAsiaTheme="minorEastAsia"/>
                <w:szCs w:val="21"/>
                <w:lang w:val="en-US" w:eastAsia="zh-CN"/>
              </w:rPr>
              <w:t>9</w:t>
            </w:r>
            <w:r>
              <w:rPr>
                <w:rFonts w:cs="仿宋" w:asciiTheme="minorEastAsia" w:hAnsiTheme="minorEastAsia" w:eastAsiaTheme="minorEastAsia"/>
                <w:szCs w:val="21"/>
                <w:lang w:val="zh-CN"/>
              </w:rPr>
              <w:t>年</w:t>
            </w:r>
            <w:r>
              <w:rPr>
                <w:rFonts w:cs="仿宋" w:asciiTheme="minorEastAsia" w:hAnsiTheme="minorEastAsia" w:eastAsiaTheme="minorEastAsia"/>
                <w:szCs w:val="21"/>
              </w:rPr>
              <w:t>1</w:t>
            </w:r>
            <w:r>
              <w:rPr>
                <w:rFonts w:cs="仿宋" w:asciiTheme="minorEastAsia" w:hAnsiTheme="minorEastAsia" w:eastAsiaTheme="minorEastAsia"/>
                <w:szCs w:val="21"/>
                <w:lang w:val="zh-CN"/>
              </w:rPr>
              <w:t>月1日至本项目招标公告发布之日</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以合同生效时间为准</w:t>
            </w:r>
            <w:r>
              <w:rPr>
                <w:rFonts w:hint="eastAsia" w:ascii="宋体" w:hAnsi="宋体" w:cs="宋体"/>
                <w:szCs w:val="21"/>
                <w:lang w:eastAsia="zh-CN"/>
              </w:rPr>
              <w:t>）</w:t>
            </w:r>
            <w:r>
              <w:rPr>
                <w:rFonts w:cs="仿宋" w:asciiTheme="minorEastAsia" w:hAnsiTheme="minorEastAsia" w:eastAsiaTheme="minorEastAsia"/>
                <w:szCs w:val="21"/>
              </w:rPr>
              <w:t>完成的</w:t>
            </w:r>
            <w:r>
              <w:rPr>
                <w:rFonts w:hint="eastAsia"/>
              </w:rPr>
              <w:t>同类项目</w:t>
            </w:r>
            <w:r>
              <w:rPr>
                <w:rFonts w:cs="仿宋" w:asciiTheme="minorEastAsia" w:hAnsiTheme="minorEastAsia" w:eastAsiaTheme="minorEastAsia"/>
                <w:szCs w:val="21"/>
                <w:lang w:val="zh-CN"/>
              </w:rPr>
              <w:t>业绩，每提供一份有效业绩得</w:t>
            </w:r>
            <w:r>
              <w:rPr>
                <w:rFonts w:hint="eastAsia" w:cs="仿宋" w:asciiTheme="minorEastAsia" w:hAnsiTheme="minorEastAsia" w:eastAsiaTheme="minorEastAsia"/>
                <w:szCs w:val="21"/>
                <w:lang w:val="en-US" w:eastAsia="zh-CN"/>
              </w:rPr>
              <w:t>3.5</w:t>
            </w:r>
            <w:r>
              <w:rPr>
                <w:rFonts w:cs="仿宋" w:asciiTheme="minorEastAsia" w:hAnsiTheme="minorEastAsia" w:eastAsiaTheme="minorEastAsia"/>
                <w:szCs w:val="21"/>
                <w:lang w:val="zh-CN"/>
              </w:rPr>
              <w:t>分，最高得</w:t>
            </w:r>
            <w:r>
              <w:rPr>
                <w:rFonts w:hint="eastAsia" w:cs="仿宋" w:asciiTheme="minorEastAsia" w:hAnsiTheme="minorEastAsia" w:eastAsiaTheme="minorEastAsia"/>
                <w:szCs w:val="21"/>
              </w:rPr>
              <w:t>10</w:t>
            </w:r>
            <w:r>
              <w:rPr>
                <w:rFonts w:cs="仿宋" w:asciiTheme="minorEastAsia" w:hAnsiTheme="minorEastAsia" w:eastAsiaTheme="minorEastAsia"/>
                <w:szCs w:val="21"/>
                <w:lang w:val="zh-CN"/>
              </w:rPr>
              <w:t>分；</w:t>
            </w:r>
          </w:p>
          <w:p>
            <w:pPr>
              <w:keepNext w:val="0"/>
              <w:keepLines w:val="0"/>
              <w:pageBreakBefore w:val="0"/>
              <w:widowControl/>
              <w:kinsoku/>
              <w:wordWrap/>
              <w:overflowPunct/>
              <w:topLinePunct w:val="0"/>
              <w:bidi w:val="0"/>
              <w:spacing w:line="400" w:lineRule="exact"/>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w:t>
            </w:r>
            <w:r>
              <w:rPr>
                <w:rFonts w:hint="eastAsia" w:cs="仿宋" w:asciiTheme="minorEastAsia" w:hAnsiTheme="minorEastAsia" w:eastAsiaTheme="minorEastAsia"/>
                <w:szCs w:val="21"/>
              </w:rPr>
              <w:t>二</w:t>
            </w:r>
            <w:r>
              <w:rPr>
                <w:rFonts w:hint="eastAsia" w:cs="仿宋" w:asciiTheme="minorEastAsia" w:hAnsiTheme="minorEastAsia" w:eastAsiaTheme="minorEastAsia"/>
                <w:szCs w:val="21"/>
                <w:lang w:val="zh-CN"/>
              </w:rPr>
              <w:t>）</w:t>
            </w:r>
            <w:r>
              <w:rPr>
                <w:rFonts w:hint="eastAsia" w:asciiTheme="minorEastAsia" w:hAnsiTheme="minorEastAsia" w:eastAsiaTheme="minorEastAsia"/>
                <w:kern w:val="0"/>
                <w:szCs w:val="21"/>
              </w:rPr>
              <w:t>评分依据</w:t>
            </w:r>
            <w:r>
              <w:rPr>
                <w:rFonts w:cs="仿宋" w:asciiTheme="minorEastAsia" w:hAnsiTheme="minorEastAsia" w:eastAsiaTheme="minorEastAsia"/>
                <w:szCs w:val="21"/>
                <w:lang w:val="zh-CN"/>
              </w:rPr>
              <w:t>：</w:t>
            </w:r>
          </w:p>
          <w:p>
            <w:pPr>
              <w:keepNext w:val="0"/>
              <w:keepLines w:val="0"/>
              <w:pageBreakBefore w:val="0"/>
              <w:widowControl/>
              <w:kinsoku/>
              <w:wordWrap/>
              <w:overflowPunct/>
              <w:topLinePunct w:val="0"/>
              <w:bidi w:val="0"/>
              <w:spacing w:line="400" w:lineRule="exact"/>
              <w:textAlignment w:val="auto"/>
              <w:rPr>
                <w:rFonts w:cs="仿宋" w:asciiTheme="minorEastAsia" w:hAnsiTheme="minorEastAsia" w:eastAsiaTheme="minorEastAsia"/>
                <w:szCs w:val="21"/>
              </w:rPr>
            </w:pPr>
            <w:r>
              <w:rPr>
                <w:rFonts w:cs="仿宋" w:asciiTheme="minorEastAsia" w:hAnsiTheme="minorEastAsia" w:eastAsiaTheme="minorEastAsia"/>
                <w:szCs w:val="21"/>
                <w:lang w:val="zh-CN"/>
              </w:rPr>
              <w:t>投标人提供有效的合同关键页清晰</w:t>
            </w:r>
            <w:r>
              <w:rPr>
                <w:rFonts w:cs="仿宋" w:asciiTheme="minorEastAsia" w:hAnsiTheme="minorEastAsia" w:eastAsiaTheme="minorEastAsia"/>
                <w:szCs w:val="21"/>
              </w:rPr>
              <w:t>复印件或扫描件</w:t>
            </w:r>
            <w:r>
              <w:rPr>
                <w:rFonts w:cs="仿宋" w:asciiTheme="minorEastAsia" w:hAnsiTheme="minorEastAsia" w:eastAsiaTheme="minorEastAsia"/>
                <w:szCs w:val="21"/>
                <w:lang w:val="zh-CN"/>
              </w:rPr>
              <w:t>（</w:t>
            </w:r>
            <w:r>
              <w:rPr>
                <w:rFonts w:cs="仿宋" w:asciiTheme="minorEastAsia" w:hAnsiTheme="minorEastAsia" w:eastAsiaTheme="minorEastAsia"/>
                <w:szCs w:val="21"/>
              </w:rPr>
              <w:t>需清晰体现上述评审信息，</w:t>
            </w:r>
            <w:r>
              <w:rPr>
                <w:rFonts w:cs="仿宋" w:asciiTheme="minorEastAsia" w:hAnsiTheme="minorEastAsia" w:eastAsiaTheme="minorEastAsia"/>
                <w:szCs w:val="21"/>
                <w:lang w:val="zh-CN"/>
              </w:rPr>
              <w:t>以合同生效时间为准）加盖投标人公章，原件备查，未提供或提供不清晰导致专家无法辨识的均按不得分处理。</w:t>
            </w:r>
          </w:p>
        </w:tc>
        <w:tc>
          <w:tcPr>
            <w:tcW w:w="1187"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400" w:lineRule="exact"/>
              <w:jc w:val="center"/>
              <w:textAlignment w:val="auto"/>
              <w:rPr>
                <w:rFonts w:hint="eastAsia" w:cs="仿宋" w:asciiTheme="minorEastAsia" w:hAnsiTheme="minorEastAsia" w:eastAsiaTheme="minorEastAsia"/>
                <w:szCs w:val="21"/>
                <w:lang w:val="zh-CN" w:eastAsia="zh-CN"/>
              </w:rPr>
            </w:pPr>
            <w:r>
              <w:rPr>
                <w:rFonts w:hint="eastAsia" w:cs="仿宋" w:asciiTheme="minorEastAsia" w:hAnsiTheme="minorEastAsia" w:eastAsiaTheme="minorEastAsia"/>
                <w:szCs w:val="21"/>
                <w:lang w:val="en-US" w:eastAsia="zh-CN"/>
              </w:rPr>
              <w:t>3</w:t>
            </w:r>
          </w:p>
        </w:tc>
        <w:tc>
          <w:tcPr>
            <w:tcW w:w="1143"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诚信评审</w:t>
            </w:r>
          </w:p>
        </w:tc>
        <w:tc>
          <w:tcPr>
            <w:tcW w:w="709"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5953" w:type="dxa"/>
            <w:vAlign w:val="center"/>
          </w:tcPr>
          <w:p>
            <w:pPr>
              <w:pStyle w:val="94"/>
              <w:keepNext w:val="0"/>
              <w:keepLines w:val="0"/>
              <w:pageBreakBefore w:val="0"/>
              <w:kinsoku/>
              <w:wordWrap/>
              <w:overflowPunct/>
              <w:topLinePunct w:val="0"/>
              <w:bidi w:val="0"/>
              <w:spacing w:line="400" w:lineRule="exact"/>
              <w:ind w:firstLine="0" w:firstLineChars="0"/>
              <w:textAlignment w:val="auto"/>
              <w:rPr>
                <w:rFonts w:asciiTheme="minorEastAsia" w:hAnsiTheme="minorEastAsia" w:eastAsiaTheme="minorEastAsia"/>
                <w:szCs w:val="21"/>
              </w:rPr>
            </w:pPr>
            <w:r>
              <w:rPr>
                <w:rFonts w:hint="eastAsia" w:asciiTheme="minorEastAsia" w:hAnsiTheme="minorEastAsia" w:eastAsiaTheme="minorEastAsia"/>
                <w:szCs w:val="21"/>
              </w:rPr>
              <w:t>（一）评分内容：</w:t>
            </w:r>
          </w:p>
          <w:p>
            <w:pPr>
              <w:keepNext w:val="0"/>
              <w:keepLines w:val="0"/>
              <w:pageBreakBefore w:val="0"/>
              <w:kinsoku/>
              <w:wordWrap/>
              <w:overflowPunct/>
              <w:topLinePunct w:val="0"/>
              <w:bidi w:val="0"/>
              <w:adjustRightInd w:val="0"/>
              <w:snapToGrid w:val="0"/>
              <w:spacing w:line="40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cs="宋体" w:asciiTheme="minorEastAsia" w:hAnsiTheme="minorEastAsia" w:eastAsiaTheme="minorEastAsia"/>
                <w:szCs w:val="21"/>
              </w:rPr>
              <w:t>。</w:t>
            </w:r>
          </w:p>
          <w:p>
            <w:pPr>
              <w:keepNext w:val="0"/>
              <w:keepLines w:val="0"/>
              <w:pageBreakBefore w:val="0"/>
              <w:kinsoku/>
              <w:wordWrap/>
              <w:overflowPunct/>
              <w:topLinePunct w:val="0"/>
              <w:autoSpaceDE w:val="0"/>
              <w:autoSpaceDN w:val="0"/>
              <w:bidi w:val="0"/>
              <w:adjustRightInd w:val="0"/>
              <w:spacing w:line="400" w:lineRule="exact"/>
              <w:jc w:val="left"/>
              <w:textAlignment w:val="auto"/>
              <w:rPr>
                <w:rFonts w:asciiTheme="minorEastAsia" w:hAnsiTheme="minorEastAsia" w:eastAsiaTheme="minorEastAsia"/>
                <w:kern w:val="0"/>
                <w:szCs w:val="21"/>
              </w:rPr>
            </w:pPr>
            <w:r>
              <w:rPr>
                <w:rFonts w:hint="eastAsia" w:asciiTheme="minorEastAsia" w:hAnsiTheme="minorEastAsia" w:eastAsiaTheme="minorEastAsia"/>
                <w:kern w:val="0"/>
                <w:szCs w:val="21"/>
              </w:rPr>
              <w:t>（二）评分依据：</w:t>
            </w:r>
          </w:p>
          <w:p>
            <w:pPr>
              <w:keepNext w:val="0"/>
              <w:keepLines w:val="0"/>
              <w:pageBreakBefore w:val="0"/>
              <w:tabs>
                <w:tab w:val="left" w:pos="175"/>
              </w:tabs>
              <w:kinsoku/>
              <w:wordWrap/>
              <w:overflowPunct/>
              <w:topLinePunct w:val="0"/>
              <w:bidi w:val="0"/>
              <w:spacing w:line="400" w:lineRule="exact"/>
              <w:ind w:left="33"/>
              <w:jc w:val="left"/>
              <w:textAlignment w:val="auto"/>
              <w:rPr>
                <w:rFonts w:cs="仿宋" w:asciiTheme="minorEastAsia" w:hAnsiTheme="minorEastAsia" w:eastAsiaTheme="minorEastAsia"/>
                <w:szCs w:val="21"/>
              </w:rPr>
            </w:pPr>
            <w:r>
              <w:rPr>
                <w:rFonts w:hint="eastAsia" w:cs="宋体" w:asciiTheme="minorEastAsia" w:hAnsiTheme="minorEastAsia" w:eastAsiaTheme="minorEastAsia"/>
                <w:bCs/>
                <w:kern w:val="0"/>
                <w:szCs w:val="21"/>
              </w:rPr>
              <w:t>按招标文件格式如实提供</w:t>
            </w:r>
            <w:r>
              <w:rPr>
                <w:rFonts w:hint="eastAsia" w:cs="宋体" w:asciiTheme="minorEastAsia" w:hAnsiTheme="minorEastAsia" w:eastAsiaTheme="minorEastAsia"/>
                <w:szCs w:val="21"/>
              </w:rPr>
              <w:t>《诚信承诺函》</w:t>
            </w:r>
            <w:r>
              <w:rPr>
                <w:rFonts w:hint="eastAsia" w:cs="宋体" w:asciiTheme="minorEastAsia" w:hAnsiTheme="minorEastAsia" w:eastAsiaTheme="minorEastAsia"/>
                <w:bCs/>
                <w:kern w:val="0"/>
                <w:szCs w:val="21"/>
              </w:rPr>
              <w:t>原件加盖投标人公章，且承诺函格式及内容不得修改，否则不得分</w:t>
            </w:r>
            <w:r>
              <w:rPr>
                <w:rFonts w:hint="eastAsia" w:cs="宋体" w:asciiTheme="minorEastAsia" w:hAnsiTheme="minorEastAsia" w:eastAsiaTheme="minorEastAsia"/>
                <w:szCs w:val="21"/>
              </w:rPr>
              <w:t>。</w:t>
            </w:r>
            <w:r>
              <w:rPr>
                <w:rFonts w:hint="eastAsia" w:cs="宋体" w:asciiTheme="minorEastAsia" w:hAnsiTheme="minorEastAsia" w:eastAsiaTheme="minorEastAsia"/>
                <w:bCs/>
                <w:kern w:val="0"/>
                <w:szCs w:val="21"/>
              </w:rPr>
              <w:t>如若投标人承诺与实际情况不相符，将按虚假应标报相关主管部门处理</w:t>
            </w:r>
            <w:r>
              <w:rPr>
                <w:rFonts w:hint="eastAsia" w:cs="宋体" w:asciiTheme="minorEastAsia" w:hAnsiTheme="minorEastAsia" w:eastAsiaTheme="minorEastAsia"/>
                <w:szCs w:val="21"/>
              </w:rPr>
              <w:t>。</w:t>
            </w:r>
          </w:p>
        </w:tc>
        <w:tc>
          <w:tcPr>
            <w:tcW w:w="1187" w:type="dxa"/>
            <w:vAlign w:val="center"/>
          </w:tcPr>
          <w:p>
            <w:pPr>
              <w:keepNext w:val="0"/>
              <w:keepLines w:val="0"/>
              <w:pageBreakBefore w:val="0"/>
              <w:kinsoku/>
              <w:wordWrap/>
              <w:overflowPunct/>
              <w:topLinePunct w:val="0"/>
              <w:bidi w:val="0"/>
              <w:spacing w:line="400" w:lineRule="exact"/>
              <w:jc w:val="center"/>
              <w:textAlignment w:val="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bl>
    <w:p>
      <w:pPr>
        <w:pStyle w:val="5"/>
        <w:spacing w:before="0" w:after="0"/>
        <w:jc w:val="left"/>
        <w:rPr>
          <w:rFonts w:asciiTheme="minorEastAsia" w:hAnsiTheme="minorEastAsia"/>
          <w:bCs w:val="0"/>
          <w:sz w:val="21"/>
          <w:szCs w:val="21"/>
        </w:rPr>
      </w:pPr>
      <w:bookmarkStart w:id="10" w:name="_Toc44691162"/>
      <w:bookmarkStart w:id="11" w:name="_Toc44690430"/>
      <w:bookmarkStart w:id="12" w:name="_Toc44690703"/>
      <w:bookmarkStart w:id="13" w:name="_Toc73610144"/>
      <w:bookmarkStart w:id="14" w:name="_Toc44691394"/>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食堂家具采购项目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深圳市儿童医院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w:t>
            </w:r>
            <w:r>
              <w:rPr>
                <w:rFonts w:hint="eastAsia" w:hAnsi="宋体"/>
                <w:b/>
                <w:snapToGrid w:val="0"/>
                <w:szCs w:val="18"/>
              </w:rPr>
              <w:t>月</w:t>
            </w:r>
            <w:r>
              <w:rPr>
                <w:rFonts w:hint="eastAsia" w:hAnsi="宋体"/>
                <w:b/>
                <w:snapToGrid w:val="0"/>
                <w:szCs w:val="18"/>
                <w:lang w:val="en-US" w:eastAsia="zh-CN"/>
              </w:rPr>
              <w:t>24</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w:t>
            </w:r>
            <w:r>
              <w:rPr>
                <w:rFonts w:hint="eastAsia" w:hAnsi="宋体"/>
                <w:b/>
                <w:snapToGrid w:val="0"/>
                <w:szCs w:val="18"/>
              </w:rPr>
              <w:t>月</w:t>
            </w:r>
            <w:r>
              <w:rPr>
                <w:rFonts w:hint="eastAsia" w:hAnsi="宋体"/>
                <w:b/>
                <w:snapToGrid w:val="0"/>
                <w:szCs w:val="18"/>
                <w:lang w:val="en-US" w:eastAsia="zh-CN"/>
              </w:rPr>
              <w:t>24</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18" w:name="_Toc73610148"/>
      <w:r>
        <w:rPr>
          <w:rFonts w:hint="eastAsia"/>
        </w:rPr>
        <w:t>第六章  投标人须知</w:t>
      </w:r>
      <w:bookmarkEnd w:id="18"/>
    </w:p>
    <w:p>
      <w:pPr>
        <w:pStyle w:val="5"/>
        <w:spacing w:before="0" w:after="0"/>
      </w:pPr>
      <w:bookmarkStart w:id="19" w:name="_Toc7361014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3"/>
      </w:pPr>
      <w:bookmarkStart w:id="31" w:name="_Toc73610155"/>
      <w:r>
        <w:rPr>
          <w:rFonts w:hint="eastAsia"/>
        </w:rPr>
        <w:t>第七章  投标文件格式</w:t>
      </w:r>
      <w:bookmarkEnd w:id="31"/>
    </w:p>
    <w:p>
      <w:pPr>
        <w:jc w:val="center"/>
        <w:rPr>
          <w:b/>
          <w:sz w:val="52"/>
          <w:szCs w:val="52"/>
        </w:rPr>
      </w:pPr>
    </w:p>
    <w:p>
      <w:pPr>
        <w:pStyle w:val="5"/>
        <w:spacing w:line="400" w:lineRule="exact"/>
        <w:rPr>
          <w:rFonts w:ascii="仿宋" w:hAnsi="仿宋" w:eastAsia="仿宋"/>
        </w:rPr>
      </w:pPr>
      <w:bookmarkStart w:id="32" w:name="_Toc44691163"/>
      <w:bookmarkStart w:id="33" w:name="_Toc31468"/>
      <w:bookmarkStart w:id="34" w:name="_Toc25194"/>
      <w:bookmarkStart w:id="35" w:name="_Toc73610156"/>
      <w:bookmarkStart w:id="36" w:name="_Toc44690704"/>
      <w:bookmarkStart w:id="37" w:name="_Toc11772"/>
      <w:bookmarkStart w:id="38" w:name="_Toc44690431"/>
      <w:bookmarkStart w:id="39" w:name="_Toc44691395"/>
      <w:bookmarkStart w:id="40" w:name="_Toc14934"/>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7"/>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7"/>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7"/>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7"/>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5"/>
        <w:spacing w:line="400" w:lineRule="exact"/>
        <w:rPr>
          <w:rFonts w:ascii="仿宋" w:hAnsi="仿宋" w:eastAsia="仿宋"/>
        </w:rPr>
      </w:pPr>
      <w:bookmarkStart w:id="45" w:name="_Toc73610158"/>
      <w:r>
        <w:rPr>
          <w:rFonts w:hint="eastAsia" w:ascii="仿宋" w:hAnsi="仿宋" w:eastAsia="仿宋"/>
        </w:rPr>
        <w:t>评标指引表</w:t>
      </w:r>
      <w:bookmarkEnd w:id="4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396"/>
      <w:bookmarkStart w:id="47" w:name="_Toc44690432"/>
      <w:bookmarkStart w:id="48" w:name="_Toc44690705"/>
      <w:bookmarkStart w:id="49" w:name="_Toc44691164"/>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0" w:name="_Toc73610159"/>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注：</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60" w:lineRule="auto"/>
        <w:rPr>
          <w:rFonts w:ascii="仿宋_GB2312" w:eastAsia="仿宋_GB2312" w:hAnsiTheme="minorEastAsia"/>
          <w:b/>
          <w:i/>
          <w:color w:val="FF0000"/>
          <w:sz w:val="24"/>
        </w:rPr>
      </w:pP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1397"/>
      <w:bookmarkStart w:id="53" w:name="_Toc44691165"/>
      <w:bookmarkStart w:id="54" w:name="_Toc44690706"/>
      <w:bookmarkStart w:id="55" w:name="_Toc44690433"/>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食堂家具采购项目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707"/>
      <w:bookmarkStart w:id="57" w:name="_Toc44690434"/>
      <w:bookmarkStart w:id="58" w:name="_Toc44691398"/>
      <w:bookmarkStart w:id="59" w:name="_Toc44691166"/>
      <w:r>
        <w:rPr>
          <w:rFonts w:hint="eastAsia" w:asciiTheme="minorEastAsia" w:hAnsiTheme="minorEastAsia" w:eastAsiaTheme="minorEastAsia"/>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435"/>
      <w:bookmarkStart w:id="61" w:name="_Toc44691399"/>
      <w:bookmarkStart w:id="62" w:name="_Toc44690708"/>
      <w:bookmarkStart w:id="63" w:name="_Toc44691167"/>
      <w:r>
        <w:rPr>
          <w:rFonts w:hint="eastAsia" w:asciiTheme="minorEastAsia" w:hAnsiTheme="minorEastAsia" w:eastAsiaTheme="minorEastAsia"/>
          <w:sz w:val="24"/>
        </w:rPr>
        <w:t>格式7  技术规格</w:t>
      </w:r>
      <w:bookmarkEnd w:id="60"/>
      <w:bookmarkEnd w:id="61"/>
      <w:bookmarkEnd w:id="62"/>
      <w:bookmarkEnd w:id="63"/>
    </w:p>
    <w:p>
      <w:pPr>
        <w:pStyle w:val="2"/>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4" w:name="_Toc44691168"/>
      <w:bookmarkStart w:id="65" w:name="_Toc44691400"/>
      <w:bookmarkStart w:id="66" w:name="_Toc44690709"/>
      <w:bookmarkStart w:id="67" w:name="_Toc44690436"/>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q17"/>
      <w:bookmarkEnd w:id="68"/>
      <w:bookmarkStart w:id="69" w:name="_格式3__"/>
      <w:bookmarkEnd w:id="69"/>
      <w:bookmarkStart w:id="70" w:name="_格式4__"/>
      <w:bookmarkEnd w:id="70"/>
      <w:bookmarkStart w:id="71" w:name="_格式2__投标保证金凭证"/>
      <w:bookmarkEnd w:id="71"/>
      <w:bookmarkStart w:id="72" w:name="q16"/>
      <w:bookmarkEnd w:id="72"/>
      <w:bookmarkStart w:id="73" w:name="_格式5__"/>
      <w:bookmarkEnd w:id="73"/>
      <w:bookmarkStart w:id="74" w:name="q15"/>
      <w:bookmarkEnd w:id="74"/>
      <w:r>
        <w:rPr>
          <w:rFonts w:asciiTheme="minorEastAsia" w:hAnsiTheme="minorEastAsia" w:eastAsiaTheme="minorEastAsia"/>
          <w:sz w:val="24"/>
        </w:rPr>
        <w:tab/>
      </w:r>
      <w:bookmarkStart w:id="75" w:name="_Toc44690710"/>
      <w:bookmarkStart w:id="76" w:name="_Toc44691401"/>
      <w:bookmarkStart w:id="77" w:name="_Toc44691169"/>
      <w:bookmarkStart w:id="78" w:name="_Toc44690437"/>
      <w:r>
        <w:rPr>
          <w:rFonts w:hint="eastAsia" w:asciiTheme="minorEastAsia" w:hAnsiTheme="minorEastAsia" w:eastAsiaTheme="minorEastAsia"/>
          <w:sz w:val="24"/>
        </w:rPr>
        <w:t>格式10  投标人资格声明</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79" w:name="_格式7__投标人资格声明"/>
      <w:bookmarkEnd w:id="79"/>
      <w:bookmarkStart w:id="80"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1" w:name="_Toc73610160"/>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2" w:name="_Toc73610161"/>
      <w:r>
        <w:rPr>
          <w:rFonts w:hint="eastAsia"/>
        </w:rPr>
        <w:t>第九章  附件</w:t>
      </w:r>
      <w:bookmarkEnd w:id="82"/>
    </w:p>
    <w:p>
      <w:pPr>
        <w:pStyle w:val="4"/>
        <w:spacing w:before="0" w:after="0"/>
        <w:jc w:val="center"/>
      </w:pPr>
      <w:bookmarkStart w:id="83" w:name="_Toc73610162"/>
      <w:r>
        <w:rPr>
          <w:rFonts w:hint="eastAsia"/>
        </w:rPr>
        <w:t>一、财政部 工业和信息化部关于印发《政府采购促进中小企业发展管理办法》的通知</w:t>
      </w:r>
      <w:bookmarkEnd w:id="83"/>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4" w:name="_Toc73610163"/>
      <w:r>
        <w:rPr>
          <w:rFonts w:hint="eastAsia"/>
        </w:rPr>
        <w:t>二、关于印发中小企业划型标准规定的通知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6" w:name="_Toc73610165"/>
      <w:r>
        <w:rPr>
          <w:rFonts w:hint="eastAsia"/>
        </w:rPr>
        <w:t>四、</w:t>
      </w:r>
      <w:r>
        <w:t>财政部 民政部 中国残疾人联合会关于促进残疾人就业 政府采购政策的通知</w:t>
      </w:r>
      <w:bookmarkEnd w:id="86"/>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modern"/>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3</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项目名称：食堂家具采购项目                                                     项目编号：SZZZ2021-QA0372</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BA7A6"/>
    <w:multiLevelType w:val="singleLevel"/>
    <w:tmpl w:val="861BA7A6"/>
    <w:lvl w:ilvl="0" w:tentative="0">
      <w:start w:val="2"/>
      <w:numFmt w:val="decimal"/>
      <w:lvlText w:val="%1."/>
      <w:lvlJc w:val="left"/>
      <w:pPr>
        <w:tabs>
          <w:tab w:val="left" w:pos="312"/>
        </w:tabs>
      </w:pPr>
    </w:lvl>
  </w:abstractNum>
  <w:abstractNum w:abstractNumId="1">
    <w:nsid w:val="9EE7B9EE"/>
    <w:multiLevelType w:val="singleLevel"/>
    <w:tmpl w:val="9EE7B9EE"/>
    <w:lvl w:ilvl="0" w:tentative="0">
      <w:start w:val="3"/>
      <w:numFmt w:val="decimal"/>
      <w:lvlText w:val="%1."/>
      <w:lvlJc w:val="left"/>
      <w:pPr>
        <w:tabs>
          <w:tab w:val="left" w:pos="312"/>
        </w:tabs>
      </w:pPr>
    </w:lvl>
  </w:abstractNum>
  <w:abstractNum w:abstractNumId="2">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3">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6">
    <w:nsid w:val="555B1969"/>
    <w:multiLevelType w:val="singleLevel"/>
    <w:tmpl w:val="555B1969"/>
    <w:lvl w:ilvl="0" w:tentative="0">
      <w:start w:val="3"/>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35BF"/>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3F4D"/>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05A5"/>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1B11"/>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6629"/>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0A6E56"/>
    <w:rsid w:val="01F0299B"/>
    <w:rsid w:val="026E4F91"/>
    <w:rsid w:val="02810A7C"/>
    <w:rsid w:val="04123CC2"/>
    <w:rsid w:val="041D095D"/>
    <w:rsid w:val="0519328C"/>
    <w:rsid w:val="052971A9"/>
    <w:rsid w:val="05882122"/>
    <w:rsid w:val="05C87DB9"/>
    <w:rsid w:val="07031BC7"/>
    <w:rsid w:val="076E7A8F"/>
    <w:rsid w:val="07985736"/>
    <w:rsid w:val="087C123D"/>
    <w:rsid w:val="089F6C1A"/>
    <w:rsid w:val="0961739E"/>
    <w:rsid w:val="098E6083"/>
    <w:rsid w:val="09D17ED7"/>
    <w:rsid w:val="0B205B2B"/>
    <w:rsid w:val="0B782559"/>
    <w:rsid w:val="0B8B28A0"/>
    <w:rsid w:val="0C0A13E6"/>
    <w:rsid w:val="0C8427D5"/>
    <w:rsid w:val="0D106B09"/>
    <w:rsid w:val="0D566BC9"/>
    <w:rsid w:val="0DD03410"/>
    <w:rsid w:val="0E180322"/>
    <w:rsid w:val="0E3D3448"/>
    <w:rsid w:val="0E8C4995"/>
    <w:rsid w:val="0EF27BFB"/>
    <w:rsid w:val="0FBC50EF"/>
    <w:rsid w:val="10125409"/>
    <w:rsid w:val="10E87C94"/>
    <w:rsid w:val="110E5BD1"/>
    <w:rsid w:val="113F3353"/>
    <w:rsid w:val="115F3FD7"/>
    <w:rsid w:val="11A259DD"/>
    <w:rsid w:val="120474A0"/>
    <w:rsid w:val="13102ABE"/>
    <w:rsid w:val="1321108B"/>
    <w:rsid w:val="13B54B38"/>
    <w:rsid w:val="167D280D"/>
    <w:rsid w:val="17047766"/>
    <w:rsid w:val="17935895"/>
    <w:rsid w:val="17F52C18"/>
    <w:rsid w:val="184530EF"/>
    <w:rsid w:val="18893D8F"/>
    <w:rsid w:val="19227A4B"/>
    <w:rsid w:val="19D4034B"/>
    <w:rsid w:val="1A4A5C7F"/>
    <w:rsid w:val="1A676352"/>
    <w:rsid w:val="1AB439E4"/>
    <w:rsid w:val="1B3E182A"/>
    <w:rsid w:val="1B4B5195"/>
    <w:rsid w:val="1BD06180"/>
    <w:rsid w:val="1BD322CB"/>
    <w:rsid w:val="1BDD5918"/>
    <w:rsid w:val="1BFD0D1C"/>
    <w:rsid w:val="1C174C6F"/>
    <w:rsid w:val="1C7C020D"/>
    <w:rsid w:val="1C8F78BA"/>
    <w:rsid w:val="1C9B0D84"/>
    <w:rsid w:val="1CDD3F3B"/>
    <w:rsid w:val="1D4D6869"/>
    <w:rsid w:val="1E9966D1"/>
    <w:rsid w:val="1EE53CE9"/>
    <w:rsid w:val="1F2B48C1"/>
    <w:rsid w:val="1F7C63FB"/>
    <w:rsid w:val="20EC3763"/>
    <w:rsid w:val="21760101"/>
    <w:rsid w:val="21D26EA7"/>
    <w:rsid w:val="22B25284"/>
    <w:rsid w:val="22C07D9F"/>
    <w:rsid w:val="22CE2D16"/>
    <w:rsid w:val="23056CBA"/>
    <w:rsid w:val="234C1E42"/>
    <w:rsid w:val="23C6059E"/>
    <w:rsid w:val="23C95079"/>
    <w:rsid w:val="23FA3D93"/>
    <w:rsid w:val="24031A53"/>
    <w:rsid w:val="24307C26"/>
    <w:rsid w:val="248E5D4C"/>
    <w:rsid w:val="24C47897"/>
    <w:rsid w:val="24E337F8"/>
    <w:rsid w:val="258D3B57"/>
    <w:rsid w:val="25AF51C8"/>
    <w:rsid w:val="262336EE"/>
    <w:rsid w:val="26603223"/>
    <w:rsid w:val="269E4C0C"/>
    <w:rsid w:val="27024D1A"/>
    <w:rsid w:val="27A44635"/>
    <w:rsid w:val="28F74C65"/>
    <w:rsid w:val="29780755"/>
    <w:rsid w:val="2AD85037"/>
    <w:rsid w:val="2B292012"/>
    <w:rsid w:val="2B983A93"/>
    <w:rsid w:val="2B9B5CD4"/>
    <w:rsid w:val="2BD0253B"/>
    <w:rsid w:val="2C444480"/>
    <w:rsid w:val="2C564DC3"/>
    <w:rsid w:val="2C6A3ACE"/>
    <w:rsid w:val="2CCA3908"/>
    <w:rsid w:val="2D6C141D"/>
    <w:rsid w:val="2E7D7A9A"/>
    <w:rsid w:val="2EB64B4B"/>
    <w:rsid w:val="2EDB590A"/>
    <w:rsid w:val="2F0A29E3"/>
    <w:rsid w:val="2F4A070C"/>
    <w:rsid w:val="30817D6A"/>
    <w:rsid w:val="3157114E"/>
    <w:rsid w:val="31F2037F"/>
    <w:rsid w:val="32044F89"/>
    <w:rsid w:val="326669FD"/>
    <w:rsid w:val="329B11F6"/>
    <w:rsid w:val="32D3264E"/>
    <w:rsid w:val="32FD3ED3"/>
    <w:rsid w:val="33246412"/>
    <w:rsid w:val="336E087E"/>
    <w:rsid w:val="33B676CB"/>
    <w:rsid w:val="33C3087D"/>
    <w:rsid w:val="33D952B0"/>
    <w:rsid w:val="34982EF7"/>
    <w:rsid w:val="35961B12"/>
    <w:rsid w:val="35B57508"/>
    <w:rsid w:val="364523AD"/>
    <w:rsid w:val="36700D38"/>
    <w:rsid w:val="36C4673D"/>
    <w:rsid w:val="36F36E10"/>
    <w:rsid w:val="37B10B63"/>
    <w:rsid w:val="37D17C49"/>
    <w:rsid w:val="390721D7"/>
    <w:rsid w:val="393B510C"/>
    <w:rsid w:val="393F4767"/>
    <w:rsid w:val="39A97E97"/>
    <w:rsid w:val="3A260C29"/>
    <w:rsid w:val="3B57268D"/>
    <w:rsid w:val="3B6176CE"/>
    <w:rsid w:val="3BF9504C"/>
    <w:rsid w:val="3CF11603"/>
    <w:rsid w:val="3D7507FB"/>
    <w:rsid w:val="3DAB2BCA"/>
    <w:rsid w:val="3DD53847"/>
    <w:rsid w:val="3E72445E"/>
    <w:rsid w:val="3EAC198D"/>
    <w:rsid w:val="3EB5127A"/>
    <w:rsid w:val="3EBF4C0A"/>
    <w:rsid w:val="3F503E5E"/>
    <w:rsid w:val="3FC16214"/>
    <w:rsid w:val="401B4686"/>
    <w:rsid w:val="41576FF8"/>
    <w:rsid w:val="41897C4C"/>
    <w:rsid w:val="41CB02B4"/>
    <w:rsid w:val="41D9164E"/>
    <w:rsid w:val="41DD521D"/>
    <w:rsid w:val="42030C49"/>
    <w:rsid w:val="423B7022"/>
    <w:rsid w:val="42BE7065"/>
    <w:rsid w:val="42D90EB4"/>
    <w:rsid w:val="432B5139"/>
    <w:rsid w:val="43353097"/>
    <w:rsid w:val="438020F9"/>
    <w:rsid w:val="4389060E"/>
    <w:rsid w:val="43B46B74"/>
    <w:rsid w:val="43C8028A"/>
    <w:rsid w:val="43D51667"/>
    <w:rsid w:val="443B2C25"/>
    <w:rsid w:val="446E77B0"/>
    <w:rsid w:val="448421F1"/>
    <w:rsid w:val="45D37D9B"/>
    <w:rsid w:val="469F373E"/>
    <w:rsid w:val="46DA4CE4"/>
    <w:rsid w:val="48194FD5"/>
    <w:rsid w:val="484514CB"/>
    <w:rsid w:val="48C86EE1"/>
    <w:rsid w:val="499606D1"/>
    <w:rsid w:val="49FA6EF8"/>
    <w:rsid w:val="4A784961"/>
    <w:rsid w:val="4ACF3A3C"/>
    <w:rsid w:val="4B1700DF"/>
    <w:rsid w:val="4B50261A"/>
    <w:rsid w:val="4BFC429C"/>
    <w:rsid w:val="4CCC4D64"/>
    <w:rsid w:val="4D116D2D"/>
    <w:rsid w:val="4D396FB8"/>
    <w:rsid w:val="4D6236AB"/>
    <w:rsid w:val="4E0F030B"/>
    <w:rsid w:val="4E9F50B2"/>
    <w:rsid w:val="4F0F6A19"/>
    <w:rsid w:val="50FE2865"/>
    <w:rsid w:val="51B64EEE"/>
    <w:rsid w:val="51D10A66"/>
    <w:rsid w:val="528A390F"/>
    <w:rsid w:val="528C6991"/>
    <w:rsid w:val="54054633"/>
    <w:rsid w:val="540605E4"/>
    <w:rsid w:val="547F0032"/>
    <w:rsid w:val="549E31BD"/>
    <w:rsid w:val="54A02A20"/>
    <w:rsid w:val="55C87B3E"/>
    <w:rsid w:val="568F60AF"/>
    <w:rsid w:val="56A37DD5"/>
    <w:rsid w:val="57B275C1"/>
    <w:rsid w:val="58D67D8C"/>
    <w:rsid w:val="58E10577"/>
    <w:rsid w:val="590B3D71"/>
    <w:rsid w:val="59165EF7"/>
    <w:rsid w:val="59702A12"/>
    <w:rsid w:val="599F4C01"/>
    <w:rsid w:val="5AC904A3"/>
    <w:rsid w:val="5AED2A9C"/>
    <w:rsid w:val="5B1D52DF"/>
    <w:rsid w:val="5B9D0EAC"/>
    <w:rsid w:val="5BC746C9"/>
    <w:rsid w:val="5CC61F72"/>
    <w:rsid w:val="5CF206F7"/>
    <w:rsid w:val="5E2C0A11"/>
    <w:rsid w:val="5E33549F"/>
    <w:rsid w:val="5E9A6E64"/>
    <w:rsid w:val="5EA0340D"/>
    <w:rsid w:val="5ED66C3C"/>
    <w:rsid w:val="5F732B98"/>
    <w:rsid w:val="5FDD643B"/>
    <w:rsid w:val="608525E1"/>
    <w:rsid w:val="60BA3E42"/>
    <w:rsid w:val="60CE0BC4"/>
    <w:rsid w:val="6194383B"/>
    <w:rsid w:val="61A14A39"/>
    <w:rsid w:val="61CB5375"/>
    <w:rsid w:val="623348CA"/>
    <w:rsid w:val="639F1FF7"/>
    <w:rsid w:val="64025D70"/>
    <w:rsid w:val="64107193"/>
    <w:rsid w:val="65C95483"/>
    <w:rsid w:val="65CA685B"/>
    <w:rsid w:val="65CF34A7"/>
    <w:rsid w:val="65DF0A5F"/>
    <w:rsid w:val="65F660EF"/>
    <w:rsid w:val="6673798C"/>
    <w:rsid w:val="673905B6"/>
    <w:rsid w:val="681C3942"/>
    <w:rsid w:val="68460AAC"/>
    <w:rsid w:val="68AC1CFE"/>
    <w:rsid w:val="6BCD1DE6"/>
    <w:rsid w:val="6C125A74"/>
    <w:rsid w:val="6C505023"/>
    <w:rsid w:val="6D14299F"/>
    <w:rsid w:val="6D672A1E"/>
    <w:rsid w:val="6DA61924"/>
    <w:rsid w:val="6DC237D1"/>
    <w:rsid w:val="6EBA37B1"/>
    <w:rsid w:val="6F40725E"/>
    <w:rsid w:val="711172CF"/>
    <w:rsid w:val="71FD54DD"/>
    <w:rsid w:val="72857B1C"/>
    <w:rsid w:val="73700A17"/>
    <w:rsid w:val="737373AD"/>
    <w:rsid w:val="74016B4B"/>
    <w:rsid w:val="7410294D"/>
    <w:rsid w:val="74A02E4F"/>
    <w:rsid w:val="76147D8F"/>
    <w:rsid w:val="76557E54"/>
    <w:rsid w:val="76D71644"/>
    <w:rsid w:val="774F57B2"/>
    <w:rsid w:val="776C2FB6"/>
    <w:rsid w:val="77BD2C8E"/>
    <w:rsid w:val="77C21379"/>
    <w:rsid w:val="78602D7F"/>
    <w:rsid w:val="795676C4"/>
    <w:rsid w:val="79982284"/>
    <w:rsid w:val="7998662D"/>
    <w:rsid w:val="7A8C5878"/>
    <w:rsid w:val="7AF145B6"/>
    <w:rsid w:val="7B1C683C"/>
    <w:rsid w:val="7B471854"/>
    <w:rsid w:val="7C552333"/>
    <w:rsid w:val="7CA86C55"/>
    <w:rsid w:val="7CED1690"/>
    <w:rsid w:val="7CF019C1"/>
    <w:rsid w:val="7D461CAD"/>
    <w:rsid w:val="7D586CD5"/>
    <w:rsid w:val="7D9673B4"/>
    <w:rsid w:val="7E062BD5"/>
    <w:rsid w:val="7E28286A"/>
    <w:rsid w:val="7E40012B"/>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2"/>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2"/>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2"/>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2"/>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next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2"/>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F8F88-8647-4DE7-9650-E04C99FC73A1}">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75</Pages>
  <Words>8237</Words>
  <Characters>46953</Characters>
  <Lines>391</Lines>
  <Paragraphs>110</Paragraphs>
  <TotalTime>61</TotalTime>
  <ScaleCrop>false</ScaleCrop>
  <LinksUpToDate>false</LinksUpToDate>
  <CharactersWithSpaces>55080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2022-01-11T01:30:32Z</dcterms:modified>
  <dc:title>招标编号：UHO2010-G0029</dc:title>
  <cp:revision>466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14FFE6A4E0E04A5BA68C3DE8D4D39DD3</vt:lpwstr>
  </property>
</Properties>
</file>