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w:pict>
          <v:shape id="文本框 299" o:spid="_x0000_s2051" o:spt="202" type="#_x0000_t202" style="position:absolute;left:0pt;margin-left:45.7pt;margin-top:-3.3pt;height:46.8pt;width:294.8pt;z-index:251659264;mso-width-relative:margin;mso-height-relative:margin;" stroked="t" coordsize="21600,21600">
            <v:path/>
            <v:fill focussize="0,0"/>
            <v:stroke color="#FFFFFF" joinstyle="miter"/>
            <v:imagedata o:title=""/>
            <o:lock v:ext="edit"/>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asciiTheme="minorEastAsia" w:hAnsiTheme="minorEastAsia" w:eastAsiaTheme="minorEastAsia"/>
          <w:b/>
          <w:snapToGrid w:val="0"/>
          <w:kern w:val="0"/>
          <w:sz w:val="70"/>
          <w:szCs w:val="70"/>
        </w:rPr>
      </w:pPr>
      <w:r>
        <w:rPr>
          <w:rFonts w:hint="eastAsia" w:asciiTheme="minorEastAsia" w:hAnsiTheme="minorEastAsia" w:eastAsiaTheme="minorEastAsia"/>
          <w:b/>
          <w:bCs/>
          <w:snapToGrid w:val="0"/>
          <w:kern w:val="0"/>
          <w:sz w:val="70"/>
          <w:szCs w:val="70"/>
        </w:rPr>
        <w:t>疫情防控智能监控系统      采购项目</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招　标　文　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项目编号：SZZZ2021-QA0277</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pPr>
        <w:pStyle w:val="28"/>
        <w:adjustRightInd w:val="0"/>
        <w:snapToGrid w:val="0"/>
        <w:spacing w:line="300" w:lineRule="auto"/>
        <w:jc w:val="center"/>
        <w:rPr>
          <w:rFonts w:ascii="Times New Roman" w:hAnsi="Times New Roman" w:eastAsia="经典等线简"/>
          <w:b/>
          <w:snapToGrid w:val="0"/>
          <w:sz w:val="30"/>
        </w:rPr>
      </w:pPr>
    </w:p>
    <w:p/>
    <w:p/>
    <w:p>
      <w:pPr>
        <w:pStyle w:val="28"/>
        <w:adjustRightInd w:val="0"/>
        <w:snapToGrid w:val="0"/>
        <w:spacing w:line="300" w:lineRule="auto"/>
        <w:ind w:hanging="835"/>
        <w:jc w:val="center"/>
        <w:rPr>
          <w:b/>
          <w:kern w:val="0"/>
          <w:sz w:val="28"/>
          <w:szCs w:val="28"/>
        </w:rPr>
      </w:pPr>
      <w:r>
        <w:rPr>
          <w:rFonts w:hint="eastAsia"/>
          <w:b/>
          <w:snapToGrid w:val="0"/>
          <w:sz w:val="30"/>
        </w:rPr>
        <w:t>二〇二一年十一月</w:t>
      </w:r>
      <w:r>
        <w:rPr>
          <w:b/>
          <w:kern w:val="0"/>
          <w:sz w:val="28"/>
          <w:szCs w:val="28"/>
        </w:rPr>
        <w:br w:type="page"/>
      </w:r>
    </w:p>
    <w:p>
      <w:pPr>
        <w:jc w:val="center"/>
        <w:rPr>
          <w:rFonts w:asciiTheme="minorEastAsia" w:hAnsiTheme="minorEastAsia" w:eastAsiaTheme="minorEastAsia"/>
          <w:b/>
          <w:bCs/>
          <w:szCs w:val="21"/>
        </w:rPr>
      </w:pPr>
    </w:p>
    <w:p>
      <w:pPr>
        <w:jc w:val="center"/>
        <w:rPr>
          <w:rFonts w:ascii="宋体" w:hAnsi="宋体"/>
          <w:sz w:val="2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仿宋" w:hAnsi="仿宋" w:eastAsia="仿宋"/>
          <w:sz w:val="24"/>
        </w:rPr>
      </w:pPr>
      <w:r>
        <w:rPr>
          <w:rFonts w:hint="eastAsia" w:ascii="仿宋" w:hAnsi="仿宋" w:eastAsia="仿宋"/>
          <w:sz w:val="24"/>
        </w:rPr>
        <w:t>一、《深圳经济特区政府采购条例》第五十七条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360" w:lineRule="auto"/>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360" w:lineRule="auto"/>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360" w:lineRule="auto"/>
        <w:ind w:firstLine="480" w:firstLineChars="200"/>
        <w:rPr>
          <w:rFonts w:ascii="仿宋" w:hAnsi="仿宋" w:eastAsia="仿宋"/>
          <w:sz w:val="24"/>
        </w:rPr>
      </w:pPr>
      <w:r>
        <w:rPr>
          <w:rFonts w:hint="eastAsia" w:ascii="仿宋" w:hAnsi="仿宋" w:eastAsia="仿宋"/>
          <w:sz w:val="24"/>
        </w:rPr>
        <w:t>（三）隐瞒真实情况，提供虚假资料的；</w:t>
      </w:r>
    </w:p>
    <w:p>
      <w:pPr>
        <w:spacing w:line="360" w:lineRule="auto"/>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360" w:lineRule="auto"/>
        <w:ind w:firstLine="480" w:firstLineChars="200"/>
        <w:rPr>
          <w:rFonts w:ascii="仿宋" w:hAnsi="仿宋" w:eastAsia="仿宋"/>
          <w:sz w:val="24"/>
        </w:rPr>
      </w:pPr>
      <w:r>
        <w:rPr>
          <w:rFonts w:hint="eastAsia" w:ascii="仿宋" w:hAnsi="仿宋" w:eastAsia="仿宋"/>
          <w:sz w:val="24"/>
        </w:rPr>
        <w:t>（五）与其他采购参加人串通投标的；</w:t>
      </w:r>
    </w:p>
    <w:p>
      <w:pPr>
        <w:spacing w:line="360" w:lineRule="auto"/>
        <w:ind w:firstLine="480" w:firstLineChars="200"/>
        <w:rPr>
          <w:rFonts w:ascii="仿宋" w:hAnsi="仿宋" w:eastAsia="仿宋"/>
          <w:sz w:val="24"/>
        </w:rPr>
      </w:pPr>
      <w:r>
        <w:rPr>
          <w:rFonts w:hint="eastAsia" w:ascii="仿宋" w:hAnsi="仿宋" w:eastAsia="仿宋"/>
          <w:sz w:val="24"/>
        </w:rPr>
        <w:t>（六）恶意投诉的；</w:t>
      </w:r>
    </w:p>
    <w:p>
      <w:pPr>
        <w:spacing w:line="360" w:lineRule="auto"/>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360" w:lineRule="auto"/>
        <w:ind w:firstLine="480" w:firstLineChars="200"/>
        <w:rPr>
          <w:rFonts w:ascii="仿宋" w:hAnsi="仿宋" w:eastAsia="仿宋"/>
          <w:sz w:val="24"/>
        </w:rPr>
      </w:pPr>
      <w:r>
        <w:rPr>
          <w:rFonts w:hint="eastAsia" w:ascii="仿宋" w:hAnsi="仿宋" w:eastAsia="仿宋"/>
          <w:sz w:val="24"/>
        </w:rPr>
        <w:t>（八）阻碍、抗拒主管部门监督检查的；</w:t>
      </w:r>
    </w:p>
    <w:p>
      <w:pPr>
        <w:spacing w:line="360" w:lineRule="auto"/>
        <w:ind w:firstLine="480" w:firstLineChars="200"/>
        <w:rPr>
          <w:rFonts w:ascii="仿宋" w:hAnsi="仿宋" w:eastAsia="仿宋"/>
          <w:sz w:val="24"/>
        </w:rPr>
      </w:pPr>
      <w:r>
        <w:rPr>
          <w:rFonts w:hint="eastAsia" w:ascii="仿宋" w:hAnsi="仿宋" w:eastAsia="仿宋"/>
          <w:sz w:val="24"/>
        </w:rPr>
        <w:t>（九）其他违反本条例规定的行为。</w:t>
      </w:r>
    </w:p>
    <w:p>
      <w:pPr>
        <w:spacing w:line="360" w:lineRule="auto"/>
        <w:ind w:firstLine="480" w:firstLineChars="200"/>
        <w:rPr>
          <w:rFonts w:ascii="仿宋" w:hAnsi="仿宋" w:eastAsia="仿宋"/>
          <w:sz w:val="24"/>
        </w:rPr>
      </w:pPr>
    </w:p>
    <w:p>
      <w:pPr>
        <w:spacing w:line="360" w:lineRule="auto"/>
        <w:ind w:firstLine="480" w:firstLineChars="200"/>
        <w:rPr>
          <w:rFonts w:ascii="仿宋" w:hAnsi="仿宋" w:eastAsia="仿宋"/>
          <w:sz w:val="24"/>
        </w:rPr>
      </w:pPr>
      <w:r>
        <w:rPr>
          <w:rFonts w:hint="eastAsia" w:ascii="仿宋" w:hAnsi="仿宋" w:eastAsia="仿宋"/>
          <w:sz w:val="24"/>
        </w:rPr>
        <w:t>二、《深圳经济特区政府采购条例实施细则》第七十六条 供应商有下列行为之一的，由主管部门记入供应商诚信档案并作出以下处罚：</w:t>
      </w:r>
    </w:p>
    <w:p>
      <w:pPr>
        <w:spacing w:line="360" w:lineRule="auto"/>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360" w:lineRule="auto"/>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360" w:lineRule="auto"/>
        <w:ind w:firstLine="480" w:firstLineChars="200"/>
        <w:rPr>
          <w:rFonts w:ascii="仿宋" w:hAnsi="仿宋" w:eastAsia="仿宋"/>
          <w:sz w:val="24"/>
        </w:rPr>
      </w:pPr>
      <w:r>
        <w:rPr>
          <w:rFonts w:hint="eastAsia" w:ascii="仿宋" w:hAnsi="仿宋" w:eastAsia="仿宋"/>
          <w:sz w:val="24"/>
        </w:rPr>
        <w:t xml:space="preserve">第七十七条 供应商有下列行为之一的，属于情节严重，由市场监管部门依法吊销其营业执照，主管部门取消其参与本市政府采购的资格，并作出以下处罚： </w:t>
      </w:r>
    </w:p>
    <w:p>
      <w:pPr>
        <w:spacing w:line="360" w:lineRule="auto"/>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360" w:lineRule="auto"/>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360" w:lineRule="auto"/>
        <w:ind w:firstLine="480" w:firstLineChars="200"/>
        <w:rPr>
          <w:rFonts w:ascii="仿宋" w:hAnsi="仿宋" w:eastAsia="仿宋"/>
          <w:sz w:val="24"/>
        </w:rPr>
      </w:pPr>
      <w:r>
        <w:rPr>
          <w:rFonts w:hint="eastAsia" w:ascii="仿宋" w:hAnsi="仿宋" w:eastAsia="仿宋"/>
          <w:sz w:val="24"/>
        </w:rPr>
        <w:t>第七十九条 供应商有下列情形的，属于采购条例所称的串通投标行为，按照采购条例第五十七条有关规定处理：</w:t>
      </w:r>
    </w:p>
    <w:p>
      <w:pPr>
        <w:spacing w:line="360" w:lineRule="auto"/>
        <w:ind w:firstLine="480" w:firstLineChars="200"/>
        <w:rPr>
          <w:rFonts w:ascii="仿宋" w:hAnsi="仿宋" w:eastAsia="仿宋"/>
          <w:sz w:val="24"/>
        </w:rPr>
      </w:pPr>
      <w:r>
        <w:rPr>
          <w:rFonts w:hint="eastAsia" w:ascii="仿宋" w:hAnsi="仿宋" w:eastAsia="仿宋"/>
          <w:sz w:val="24"/>
        </w:rPr>
        <w:t>（一）投标供应商之间相互约定给予未中标的供应商利益补偿；</w:t>
      </w:r>
    </w:p>
    <w:p>
      <w:pPr>
        <w:spacing w:line="360" w:lineRule="auto"/>
        <w:ind w:firstLine="480" w:firstLineChars="200"/>
        <w:rPr>
          <w:rFonts w:ascii="仿宋" w:hAnsi="仿宋" w:eastAsia="仿宋"/>
          <w:sz w:val="24"/>
        </w:rPr>
      </w:pPr>
      <w:r>
        <w:rPr>
          <w:rFonts w:hint="eastAsia" w:ascii="仿宋" w:hAnsi="仿宋" w:eastAsia="仿宋"/>
          <w:sz w:val="24"/>
        </w:rPr>
        <w:t xml:space="preserve">（二）不同投标供应商的法定代表人、主要经营负责人、项目投标授权代表人、项目负责人、主要技术人员为同一人、属同一单位或者在同一单位缴纳社会保险；          </w:t>
      </w:r>
    </w:p>
    <w:p>
      <w:pPr>
        <w:spacing w:line="360" w:lineRule="auto"/>
        <w:ind w:firstLine="480" w:firstLineChars="200"/>
        <w:rPr>
          <w:rFonts w:ascii="仿宋" w:hAnsi="仿宋" w:eastAsia="仿宋"/>
          <w:sz w:val="24"/>
        </w:rPr>
      </w:pPr>
      <w:r>
        <w:rPr>
          <w:rFonts w:hint="eastAsia" w:ascii="仿宋" w:hAnsi="仿宋" w:eastAsia="仿宋"/>
          <w:sz w:val="24"/>
        </w:rPr>
        <w:t>（三）不同投标供应商的投标文件由同一单位或者同一人编制，或者由同一人分阶段参与编制的；</w:t>
      </w:r>
    </w:p>
    <w:p>
      <w:pPr>
        <w:spacing w:line="360" w:lineRule="auto"/>
        <w:ind w:firstLine="480" w:firstLineChars="200"/>
        <w:rPr>
          <w:rFonts w:ascii="仿宋" w:hAnsi="仿宋" w:eastAsia="仿宋"/>
          <w:sz w:val="24"/>
        </w:rPr>
      </w:pPr>
      <w:r>
        <w:rPr>
          <w:rFonts w:hint="eastAsia" w:ascii="仿宋" w:hAnsi="仿宋" w:eastAsia="仿宋"/>
          <w:sz w:val="24"/>
        </w:rPr>
        <w:t>（四）不同投标供应商的投标文件或部分投标文件相互混装；</w:t>
      </w:r>
    </w:p>
    <w:p>
      <w:pPr>
        <w:spacing w:line="360" w:lineRule="auto"/>
        <w:ind w:firstLine="480" w:firstLineChars="200"/>
        <w:rPr>
          <w:rFonts w:ascii="仿宋" w:hAnsi="仿宋" w:eastAsia="仿宋"/>
          <w:sz w:val="24"/>
        </w:rPr>
      </w:pPr>
      <w:r>
        <w:rPr>
          <w:rFonts w:hint="eastAsia" w:ascii="仿宋" w:hAnsi="仿宋" w:eastAsia="仿宋"/>
          <w:sz w:val="24"/>
        </w:rPr>
        <w:t>（五）不同投标供应商的投标文件内容存在非正常一致；</w:t>
      </w:r>
    </w:p>
    <w:p>
      <w:pPr>
        <w:spacing w:line="360" w:lineRule="auto"/>
        <w:ind w:firstLine="480" w:firstLineChars="200"/>
        <w:rPr>
          <w:rFonts w:ascii="仿宋" w:hAnsi="仿宋" w:eastAsia="仿宋"/>
          <w:sz w:val="24"/>
        </w:rPr>
      </w:pPr>
      <w:r>
        <w:rPr>
          <w:rFonts w:hint="eastAsia" w:ascii="仿宋" w:hAnsi="仿宋" w:eastAsia="仿宋"/>
          <w:sz w:val="24"/>
        </w:rPr>
        <w:t>（六）由同一单位工作人员为两家以上（含两家）供应商进行同一项投标活动的；</w:t>
      </w:r>
    </w:p>
    <w:p>
      <w:pPr>
        <w:spacing w:line="360" w:lineRule="auto"/>
        <w:ind w:firstLine="480" w:firstLineChars="200"/>
        <w:rPr>
          <w:rFonts w:ascii="仿宋" w:hAnsi="仿宋" w:eastAsia="仿宋"/>
          <w:sz w:val="24"/>
        </w:rPr>
      </w:pPr>
      <w:r>
        <w:rPr>
          <w:rFonts w:hint="eastAsia" w:ascii="仿宋" w:hAnsi="仿宋" w:eastAsia="仿宋"/>
          <w:sz w:val="24"/>
        </w:rPr>
        <w:t>（七）主管部门依照法律、法规认定的其他情形。</w:t>
      </w:r>
    </w:p>
    <w:p>
      <w:pPr>
        <w:spacing w:line="360" w:lineRule="auto"/>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360" w:lineRule="auto"/>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360" w:lineRule="auto"/>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360" w:lineRule="auto"/>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360" w:lineRule="auto"/>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360" w:lineRule="auto"/>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360" w:lineRule="auto"/>
        <w:ind w:firstLine="480" w:firstLineChars="200"/>
      </w:pPr>
      <w:r>
        <w:rPr>
          <w:rFonts w:hint="eastAsia" w:ascii="仿宋" w:hAnsi="仿宋" w:eastAsia="仿宋"/>
          <w:sz w:val="24"/>
        </w:rPr>
        <w:t>投标供应商不能提供项目负责人或者主要技术人员的劳动合同、社会保险等劳动关系证明材料的，视为存在前款第（三）项规定的情形。</w:t>
      </w:r>
    </w:p>
    <w:sdt>
      <w:sdtPr>
        <w:rPr>
          <w:rFonts w:ascii="Times New Roman" w:hAnsi="Times New Roman" w:eastAsia="宋体" w:cs="Times New Roman"/>
          <w:b w:val="0"/>
          <w:bCs w:val="0"/>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color w:val="auto"/>
          <w:kern w:val="2"/>
          <w:sz w:val="21"/>
          <w:szCs w:val="24"/>
          <w:lang w:val="en-US"/>
        </w:rPr>
      </w:sdtEndPr>
      <w:sdtContent>
        <w:p>
          <w:pPr>
            <w:pStyle w:val="504"/>
            <w:jc w:val="center"/>
            <w:rPr>
              <w:color w:val="auto"/>
              <w:lang w:val="zh-CN"/>
            </w:rPr>
          </w:pPr>
          <w:r>
            <w:rPr>
              <w:color w:val="auto"/>
              <w:lang w:val="zh-CN"/>
            </w:rPr>
            <w:t>目</w:t>
          </w:r>
          <w:r>
            <w:rPr>
              <w:rFonts w:hint="eastAsia"/>
              <w:color w:val="auto"/>
              <w:lang w:val="zh-CN"/>
            </w:rPr>
            <w:t xml:space="preserve">  </w:t>
          </w:r>
          <w:r>
            <w:rPr>
              <w:color w:val="auto"/>
              <w:lang w:val="zh-CN"/>
            </w:rPr>
            <w:t>录</w:t>
          </w:r>
        </w:p>
        <w:p>
          <w:pPr>
            <w:rPr>
              <w:lang w:val="zh-CN"/>
            </w:rPr>
          </w:pP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TOC \o "1-3" \h \z \u </w:instrText>
          </w:r>
          <w:r>
            <w:fldChar w:fldCharType="separate"/>
          </w:r>
          <w:r>
            <w:fldChar w:fldCharType="begin"/>
          </w:r>
          <w:r>
            <w:instrText xml:space="preserve"> HYPERLINK \l "_Toc73610135"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_Toc73610135 \h </w:instrText>
          </w:r>
          <w:r>
            <w:rPr>
              <w:rFonts w:hint="eastAsia" w:ascii="仿宋_GB2312" w:eastAsia="仿宋_GB2312"/>
              <w:sz w:val="24"/>
            </w:rPr>
            <w:fldChar w:fldCharType="separate"/>
          </w:r>
          <w:r>
            <w:rPr>
              <w:rFonts w:hint="eastAsia"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"_Toc73610136"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_Toc73610136 \h </w:instrText>
          </w:r>
          <w:r>
            <w:rPr>
              <w:rFonts w:hint="eastAsia" w:ascii="仿宋_GB2312" w:eastAsia="仿宋_GB2312"/>
              <w:sz w:val="24"/>
            </w:rPr>
            <w:fldChar w:fldCharType="separate"/>
          </w:r>
          <w:r>
            <w:rPr>
              <w:rFonts w:hint="eastAsia" w:ascii="仿宋_GB2312" w:eastAsia="仿宋_GB2312"/>
              <w:sz w:val="24"/>
            </w:rPr>
            <w:t>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"_Toc73610140"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_Toc73610140 \h </w:instrText>
          </w:r>
          <w:r>
            <w:rPr>
              <w:rFonts w:hint="eastAsia" w:ascii="仿宋_GB2312" w:eastAsia="仿宋_GB2312"/>
              <w:sz w:val="24"/>
            </w:rPr>
            <w:fldChar w:fldCharType="separate"/>
          </w:r>
          <w:r>
            <w:rPr>
              <w:rFonts w:hint="eastAsia"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"_Toc73610141"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_Toc73610141 \h </w:instrText>
          </w:r>
          <w:r>
            <w:rPr>
              <w:rFonts w:hint="eastAsia" w:ascii="仿宋_GB2312" w:eastAsia="仿宋_GB2312"/>
              <w:sz w:val="24"/>
            </w:rPr>
            <w:fldChar w:fldCharType="separate"/>
          </w:r>
          <w:r>
            <w:rPr>
              <w:rFonts w:hint="eastAsia" w:ascii="仿宋_GB2312" w:eastAsia="仿宋_GB2312"/>
              <w:sz w:val="24"/>
            </w:rPr>
            <w:t>14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"_Toc73610142"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_Toc73610142 \h </w:instrText>
          </w:r>
          <w:r>
            <w:rPr>
              <w:rFonts w:hint="eastAsia" w:ascii="仿宋_GB2312" w:eastAsia="仿宋_GB2312"/>
              <w:sz w:val="24"/>
            </w:rPr>
            <w:fldChar w:fldCharType="separate"/>
          </w:r>
          <w:r>
            <w:rPr>
              <w:rFonts w:hint="eastAsia" w:ascii="仿宋_GB2312" w:eastAsia="仿宋_GB2312"/>
              <w:sz w:val="24"/>
            </w:rPr>
            <w:t>14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"_Toc73610143"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_Toc73610143 \h </w:instrText>
          </w:r>
          <w:r>
            <w:rPr>
              <w:rFonts w:hint="eastAsia" w:ascii="仿宋_GB2312" w:eastAsia="仿宋_GB2312"/>
              <w:sz w:val="24"/>
            </w:rPr>
            <w:fldChar w:fldCharType="separate"/>
          </w:r>
          <w:r>
            <w:rPr>
              <w:rFonts w:hint="eastAsia" w:ascii="仿宋_GB2312" w:eastAsia="仿宋_GB2312"/>
              <w:sz w:val="24"/>
            </w:rPr>
            <w:t>14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"_Toc73610144"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_Toc73610144 \h </w:instrText>
          </w:r>
          <w:r>
            <w:rPr>
              <w:rFonts w:hint="eastAsia" w:ascii="仿宋_GB2312" w:eastAsia="仿宋_GB2312"/>
              <w:sz w:val="24"/>
            </w:rPr>
            <w:fldChar w:fldCharType="separate"/>
          </w:r>
          <w:r>
            <w:rPr>
              <w:rFonts w:hint="eastAsia" w:ascii="仿宋_GB2312" w:eastAsia="仿宋_GB2312"/>
              <w:sz w:val="24"/>
            </w:rPr>
            <w:t>17</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80" w:lineRule="exact"/>
            <w:rPr>
              <w:rFonts w:ascii="仿宋_GB2312" w:eastAsia="仿宋_GB2312" w:hAnsiTheme="minorHAnsi" w:cstheme="minorBidi"/>
              <w:iCs w:val="0"/>
              <w:sz w:val="24"/>
            </w:rPr>
          </w:pPr>
          <w:r>
            <w:fldChar w:fldCharType="begin"/>
          </w:r>
          <w:r>
            <w:instrText xml:space="preserve"> HYPERLINK \l "_Toc73610145"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_Toc73610145 \h </w:instrText>
          </w:r>
          <w:r>
            <w:rPr>
              <w:rFonts w:hint="eastAsia" w:ascii="仿宋_GB2312" w:eastAsia="仿宋_GB2312"/>
              <w:sz w:val="24"/>
            </w:rPr>
            <w:fldChar w:fldCharType="separate"/>
          </w:r>
          <w:r>
            <w:rPr>
              <w:rFonts w:hint="eastAsia" w:ascii="仿宋_GB2312" w:eastAsia="仿宋_GB2312"/>
              <w:sz w:val="24"/>
            </w:rPr>
            <w:t>17</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80" w:lineRule="exact"/>
            <w:rPr>
              <w:rFonts w:ascii="仿宋_GB2312" w:eastAsia="仿宋_GB2312" w:hAnsiTheme="minorHAnsi" w:cstheme="minorBidi"/>
              <w:iCs w:val="0"/>
              <w:sz w:val="24"/>
            </w:rPr>
          </w:pPr>
          <w:r>
            <w:fldChar w:fldCharType="begin"/>
          </w:r>
          <w:r>
            <w:instrText xml:space="preserve"> HYPERLINK \l "_Toc73610146" </w:instrText>
          </w:r>
          <w:r>
            <w:fldChar w:fldCharType="separate"/>
          </w:r>
          <w:r>
            <w:rPr>
              <w:rStyle w:val="57"/>
              <w:rFonts w:hint="eastAsia" w:ascii="仿宋_GB2312" w:eastAsia="仿宋_GB2312" w:hAnsiTheme="minorEastAsia"/>
              <w:sz w:val="24"/>
            </w:rPr>
            <w:t>2、政府采购优惠政策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_Toc73610146 \h </w:instrText>
          </w:r>
          <w:r>
            <w:rPr>
              <w:rFonts w:hint="eastAsia" w:ascii="仿宋_GB2312" w:eastAsia="仿宋_GB2312"/>
              <w:sz w:val="24"/>
            </w:rPr>
            <w:fldChar w:fldCharType="separate"/>
          </w:r>
          <w:r>
            <w:rPr>
              <w:rFonts w:hint="eastAsia" w:ascii="仿宋_GB2312" w:eastAsia="仿宋_GB2312"/>
              <w:sz w:val="24"/>
            </w:rPr>
            <w:t>17</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"_Toc73610147"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_Toc73610147 \h </w:instrText>
          </w:r>
          <w:r>
            <w:rPr>
              <w:rFonts w:hint="eastAsia" w:ascii="仿宋_GB2312" w:eastAsia="仿宋_GB2312"/>
              <w:sz w:val="24"/>
            </w:rPr>
            <w:fldChar w:fldCharType="separate"/>
          </w:r>
          <w:r>
            <w:rPr>
              <w:rFonts w:hint="eastAsia"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"_Toc73610148"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_Toc73610148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"_Toc73610149"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_Toc73610149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"_Toc73610150"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_Toc73610150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"_Toc73610151"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_Toc73610151 \h </w:instrText>
          </w:r>
          <w:r>
            <w:rPr>
              <w:rFonts w:hint="eastAsia" w:ascii="仿宋_GB2312" w:eastAsia="仿宋_GB2312"/>
              <w:sz w:val="24"/>
            </w:rPr>
            <w:fldChar w:fldCharType="separate"/>
          </w:r>
          <w:r>
            <w:rPr>
              <w:rFonts w:hint="eastAsia" w:ascii="仿宋_GB2312" w:eastAsia="仿宋_GB2312"/>
              <w:sz w:val="24"/>
            </w:rPr>
            <w:t>23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"_Toc73610152"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_Toc73610152 \h </w:instrText>
          </w:r>
          <w:r>
            <w:rPr>
              <w:rFonts w:hint="eastAsia" w:ascii="仿宋_GB2312" w:eastAsia="仿宋_GB2312"/>
              <w:sz w:val="24"/>
            </w:rPr>
            <w:fldChar w:fldCharType="separate"/>
          </w:r>
          <w:r>
            <w:rPr>
              <w:rFonts w:hint="eastAsia"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"_Toc73610153"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_Toc73610153 \h </w:instrText>
          </w:r>
          <w:r>
            <w:rPr>
              <w:rFonts w:hint="eastAsia" w:ascii="仿宋_GB2312" w:eastAsia="仿宋_GB2312"/>
              <w:sz w:val="24"/>
            </w:rPr>
            <w:fldChar w:fldCharType="separate"/>
          </w:r>
          <w:r>
            <w:rPr>
              <w:rFonts w:hint="eastAsia" w:ascii="仿宋_GB2312" w:eastAsia="仿宋_GB2312"/>
              <w:sz w:val="24"/>
            </w:rPr>
            <w:t>27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"_Toc73610154"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_Toc73610154 \h </w:instrText>
          </w:r>
          <w:r>
            <w:rPr>
              <w:rFonts w:hint="eastAsia" w:ascii="仿宋_GB2312" w:eastAsia="仿宋_GB2312"/>
              <w:sz w:val="24"/>
            </w:rPr>
            <w:fldChar w:fldCharType="separate"/>
          </w:r>
          <w:r>
            <w:rPr>
              <w:rFonts w:hint="eastAsia" w:ascii="仿宋_GB2312" w:eastAsia="仿宋_GB2312"/>
              <w:sz w:val="24"/>
            </w:rPr>
            <w:t>29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"_Toc73610155"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_Toc73610155 \h </w:instrText>
          </w:r>
          <w:r>
            <w:rPr>
              <w:rFonts w:hint="eastAsia" w:ascii="仿宋_GB2312" w:eastAsia="仿宋_GB2312"/>
              <w:sz w:val="24"/>
            </w:rPr>
            <w:fldChar w:fldCharType="separate"/>
          </w:r>
          <w:r>
            <w:rPr>
              <w:rFonts w:hint="eastAsia"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"_Toc73610156"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_Toc73610156 \h </w:instrText>
          </w:r>
          <w:r>
            <w:rPr>
              <w:rFonts w:hint="eastAsia" w:ascii="仿宋_GB2312" w:eastAsia="仿宋_GB2312"/>
              <w:sz w:val="24"/>
            </w:rPr>
            <w:fldChar w:fldCharType="separate"/>
          </w:r>
          <w:r>
            <w:rPr>
              <w:rFonts w:hint="eastAsia"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"_Toc73610157"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_Toc73610157 \h </w:instrText>
          </w:r>
          <w:r>
            <w:rPr>
              <w:rFonts w:hint="eastAsia" w:ascii="仿宋_GB2312" w:eastAsia="仿宋_GB2312"/>
              <w:sz w:val="24"/>
            </w:rPr>
            <w:fldChar w:fldCharType="separate"/>
          </w:r>
          <w:r>
            <w:rPr>
              <w:rFonts w:hint="eastAsia" w:ascii="仿宋_GB2312" w:eastAsia="仿宋_GB2312"/>
              <w:sz w:val="24"/>
            </w:rPr>
            <w:t>33</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"_Toc73610160"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_Toc73610160 \h </w:instrText>
          </w:r>
          <w:r>
            <w:rPr>
              <w:rFonts w:hint="eastAsia" w:ascii="仿宋_GB2312" w:eastAsia="仿宋_GB2312"/>
              <w:sz w:val="24"/>
            </w:rPr>
            <w:fldChar w:fldCharType="separate"/>
          </w:r>
          <w:r>
            <w:rPr>
              <w:rFonts w:hint="eastAsia" w:ascii="仿宋_GB2312" w:eastAsia="仿宋_GB2312"/>
              <w:sz w:val="24"/>
            </w:rPr>
            <w:t>56</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"_Toc73610161"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_Toc73610161 \h </w:instrText>
          </w:r>
          <w:r>
            <w:rPr>
              <w:rFonts w:hint="eastAsia" w:ascii="仿宋_GB2312" w:eastAsia="仿宋_GB2312"/>
              <w:sz w:val="24"/>
            </w:rPr>
            <w:fldChar w:fldCharType="separate"/>
          </w:r>
          <w:r>
            <w:rPr>
              <w:rFonts w:hint="eastAsia" w:ascii="仿宋_GB2312" w:eastAsia="仿宋_GB2312"/>
              <w:sz w:val="24"/>
            </w:rPr>
            <w:t>60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"_Toc73610162"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_Toc73610162 \h </w:instrText>
          </w:r>
          <w:r>
            <w:rPr>
              <w:rFonts w:hint="eastAsia" w:ascii="仿宋_GB2312" w:eastAsia="仿宋_GB2312"/>
              <w:sz w:val="24"/>
            </w:rPr>
            <w:fldChar w:fldCharType="separate"/>
          </w:r>
          <w:r>
            <w:rPr>
              <w:rFonts w:hint="eastAsia" w:ascii="仿宋_GB2312" w:eastAsia="仿宋_GB2312"/>
              <w:sz w:val="24"/>
            </w:rPr>
            <w:t>60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"_Toc73610163"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_Toc73610163 \h </w:instrText>
          </w:r>
          <w:r>
            <w:rPr>
              <w:rFonts w:hint="eastAsia" w:ascii="仿宋_GB2312" w:eastAsia="仿宋_GB2312"/>
              <w:sz w:val="24"/>
            </w:rPr>
            <w:fldChar w:fldCharType="separate"/>
          </w:r>
          <w:r>
            <w:rPr>
              <w:rFonts w:hint="eastAsia" w:ascii="仿宋_GB2312" w:eastAsia="仿宋_GB2312"/>
              <w:sz w:val="24"/>
            </w:rPr>
            <w:t>64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"_Toc73610164" </w:instrText>
          </w:r>
          <w:r>
            <w:fldChar w:fldCharType="separate"/>
          </w:r>
          <w:r>
            <w:rPr>
              <w:rStyle w:val="57"/>
              <w:rFonts w:hint="eastAsia" w:ascii="仿宋_GB2312" w:eastAsia="仿宋_GB2312" w:hAnsiTheme="minorEastAsia"/>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_Toc73610164 \h </w:instrText>
          </w:r>
          <w:r>
            <w:rPr>
              <w:rFonts w:hint="eastAsia" w:ascii="仿宋_GB2312" w:eastAsia="仿宋_GB2312"/>
              <w:sz w:val="24"/>
            </w:rPr>
            <w:fldChar w:fldCharType="separate"/>
          </w:r>
          <w:r>
            <w:rPr>
              <w:rFonts w:hint="eastAsia" w:ascii="仿宋_GB2312" w:eastAsia="仿宋_GB2312"/>
              <w:sz w:val="24"/>
            </w:rPr>
            <w:t>67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Theme="minorHAnsi" w:hAnsiTheme="minorHAnsi" w:eastAsiaTheme="minorEastAsia" w:cstheme="minorBidi"/>
              <w:iCs/>
              <w:szCs w:val="22"/>
            </w:rPr>
          </w:pPr>
          <w:r>
            <w:fldChar w:fldCharType="begin"/>
          </w:r>
          <w:r>
            <w:instrText xml:space="preserve"> HYPERLINK \l "_Toc73610165"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_Toc73610165 \h </w:instrText>
          </w:r>
          <w:r>
            <w:rPr>
              <w:rFonts w:hint="eastAsia" w:ascii="仿宋_GB2312" w:eastAsia="仿宋_GB2312"/>
              <w:sz w:val="24"/>
            </w:rPr>
            <w:fldChar w:fldCharType="separate"/>
          </w:r>
          <w:r>
            <w:rPr>
              <w:rFonts w:hint="eastAsia" w:ascii="仿宋_GB2312" w:eastAsia="仿宋_GB2312"/>
              <w:sz w:val="24"/>
            </w:rPr>
            <w:t>70</w:t>
          </w:r>
          <w:r>
            <w:rPr>
              <w:rFonts w:hint="eastAsia" w:ascii="仿宋_GB2312" w:eastAsia="仿宋_GB2312"/>
              <w:sz w:val="24"/>
            </w:rPr>
            <w:fldChar w:fldCharType="end"/>
          </w:r>
          <w:r>
            <w:rPr>
              <w:rFonts w:hint="eastAsia" w:ascii="仿宋_GB2312" w:eastAsia="仿宋_GB2312"/>
              <w:sz w:val="24"/>
            </w:rPr>
            <w:fldChar w:fldCharType="end"/>
          </w:r>
        </w:p>
        <w:p>
          <w:r>
            <w:fldChar w:fldCharType="end"/>
          </w:r>
        </w:p>
      </w:sdtContent>
    </w:sdt>
    <w:p>
      <w:pPr>
        <w:widowControl/>
        <w:jc w:val="left"/>
      </w:pPr>
      <w:r>
        <w:br w:type="page"/>
      </w:r>
    </w:p>
    <w:p>
      <w:pPr>
        <w:pStyle w:val="2"/>
      </w:pPr>
      <w:bookmarkStart w:id="0" w:name="_Toc73610135"/>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rPr>
        <w:t>疫情防控智能监控系统采购项目</w:t>
      </w:r>
      <w:r>
        <w:rPr>
          <w:rFonts w:hint="eastAsia" w:ascii="宋体" w:hAnsi="宋体" w:cs="Arial Unicode MS"/>
          <w:snapToGrid w:val="0"/>
          <w:kern w:val="0"/>
          <w:szCs w:val="21"/>
        </w:rPr>
        <w:t>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2021年11月17日14点30分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Theme="minorEastAsia" w:hAnsiTheme="minorEastAsia" w:eastAsiaTheme="minorEastAsia"/>
          <w:sz w:val="21"/>
          <w:szCs w:val="21"/>
        </w:rPr>
        <w:t>SZZZ2021-QA0277</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2、项目名称：疫情防控智能监控系统采购项目</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115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115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708"/>
        <w:gridCol w:w="3120"/>
        <w:gridCol w:w="779"/>
        <w:gridCol w:w="779"/>
        <w:gridCol w:w="326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120" w:type="dxa"/>
            <w:shd w:val="clear" w:color="auto" w:fill="ABCDEF"/>
            <w:vAlign w:val="center"/>
          </w:tcPr>
          <w:p>
            <w:pPr>
              <w:pStyle w:val="45"/>
              <w:spacing w:line="360" w:lineRule="auto"/>
              <w:jc w:val="center"/>
              <w:rPr>
                <w:sz w:val="21"/>
              </w:rPr>
            </w:pPr>
            <w:r>
              <w:rPr>
                <w:sz w:val="21"/>
              </w:rPr>
              <w:t>标的名称</w:t>
            </w:r>
          </w:p>
        </w:tc>
        <w:tc>
          <w:tcPr>
            <w:tcW w:w="779"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779"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3261"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1134"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3120" w:type="dxa"/>
            <w:shd w:val="clear" w:color="auto" w:fill="auto"/>
            <w:vAlign w:val="center"/>
          </w:tcPr>
          <w:p>
            <w:pPr>
              <w:pStyle w:val="45"/>
              <w:spacing w:line="360" w:lineRule="auto"/>
              <w:jc w:val="center"/>
              <w:rPr>
                <w:rFonts w:asciiTheme="minorEastAsia" w:hAnsiTheme="minorEastAsia" w:eastAsiaTheme="minorEastAsia"/>
                <w:sz w:val="21"/>
                <w:szCs w:val="21"/>
              </w:rPr>
            </w:pPr>
            <w:r>
              <w:rPr>
                <w:rFonts w:hint="eastAsia" w:ascii="宋体" w:hAnsi="宋体" w:cs="宋体"/>
                <w:sz w:val="21"/>
                <w:szCs w:val="21"/>
              </w:rPr>
              <w:t>详见项目需求《货物清单明细》</w:t>
            </w:r>
          </w:p>
        </w:tc>
        <w:tc>
          <w:tcPr>
            <w:tcW w:w="779"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779"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批</w:t>
            </w:r>
          </w:p>
        </w:tc>
        <w:tc>
          <w:tcPr>
            <w:tcW w:w="3261" w:type="dxa"/>
            <w:shd w:val="clear" w:color="auto" w:fill="auto"/>
            <w:vAlign w:val="center"/>
          </w:tcPr>
          <w:p>
            <w:pPr>
              <w:pStyle w:val="45"/>
              <w:spacing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w:t>
            </w:r>
          </w:p>
        </w:tc>
        <w:tc>
          <w:tcPr>
            <w:tcW w:w="1134" w:type="dxa"/>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156"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7、合同履行期限：本项目自签订合同之日起60个日历日内交货</w:t>
      </w:r>
      <w:bookmarkStart w:id="90" w:name="_GoBack"/>
      <w:bookmarkEnd w:id="90"/>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（6）本项目不接受联合体投标，不允许分包或转包；</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（7）本项目不接受进口产品投标（进口产品是指通过中国海关报关验放进入中国境内且产自关境外的产品，相关内容以“财库【2007】119号文”和“财办库【2008】248号文”的相关规定为准）。</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2021年11月5日至2021年11月12日，每天上午9：00至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（2）线上获取：投标人通过邮件报名及获取招标文件，报名时间以我司邮箱收件时间为准（我司邮箱：qtszzzzb@163.com），逾期不予受理。</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开户银行：上海银行深圳分行天安支行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2021年11月17日14点30分（北京时间）</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1、凡参与深圳市政府采购活动的供应商，应自行在深圳公共资源交易中心网站上办理注册（注册网址：</w:t>
      </w:r>
      <w:r>
        <w:rPr>
          <w:rFonts w:asciiTheme="minorEastAsia" w:hAnsiTheme="minorEastAsia" w:eastAsiaTheme="minorEastAsia"/>
          <w:b/>
          <w:snapToGrid w:val="0"/>
          <w:color w:val="auto"/>
          <w:sz w:val="21"/>
        </w:rPr>
        <w:t>www.szzfcg.cn</w:t>
      </w:r>
      <w:r>
        <w:rPr>
          <w:rFonts w:hint="eastAsia" w:ascii="宋体" w:hAnsi="宋体" w:eastAsia="宋体"/>
          <w:b/>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、《关于环境标志产品政府采购实施的意见》（财库〔</w:t>
      </w:r>
      <w:r>
        <w:rPr>
          <w:rFonts w:ascii="宋体" w:hAnsi="宋体" w:eastAsia="宋体"/>
          <w:snapToGrid w:val="0"/>
          <w:color w:val="auto"/>
          <w:sz w:val="21"/>
          <w:szCs w:val="21"/>
        </w:rPr>
        <w:t>2006</w:t>
      </w:r>
      <w:r>
        <w:rPr>
          <w:rFonts w:hint="eastAsia" w:ascii="宋体" w:hAnsi="宋体" w:eastAsia="宋体"/>
          <w:snapToGrid w:val="0"/>
          <w:color w:val="auto"/>
          <w:sz w:val="21"/>
          <w:szCs w:val="21"/>
        </w:rPr>
        <w:t>〕</w:t>
      </w:r>
      <w:r>
        <w:rPr>
          <w:rFonts w:ascii="宋体" w:hAnsi="宋体" w:eastAsia="宋体"/>
          <w:snapToGrid w:val="0"/>
          <w:color w:val="auto"/>
          <w:sz w:val="21"/>
          <w:szCs w:val="21"/>
        </w:rPr>
        <w:t>90</w:t>
      </w:r>
      <w:r>
        <w:rPr>
          <w:rFonts w:hint="eastAsia" w:ascii="宋体" w:hAnsi="宋体" w:eastAsia="宋体"/>
          <w:snapToGrid w:val="0"/>
          <w:color w:val="auto"/>
          <w:sz w:val="21"/>
          <w:szCs w:val="21"/>
        </w:rPr>
        <w:t>号）、《关于印发&lt;节能产品政府采购实施意见&gt;的通知》（财库〔</w:t>
      </w:r>
      <w:r>
        <w:rPr>
          <w:rFonts w:ascii="宋体" w:hAnsi="宋体" w:eastAsia="宋体"/>
          <w:snapToGrid w:val="0"/>
          <w:color w:val="auto"/>
          <w:sz w:val="21"/>
          <w:szCs w:val="21"/>
        </w:rPr>
        <w:t>2004</w:t>
      </w:r>
      <w:r>
        <w:rPr>
          <w:rFonts w:hint="eastAsia" w:ascii="宋体" w:hAnsi="宋体" w:eastAsia="宋体"/>
          <w:snapToGrid w:val="0"/>
          <w:color w:val="auto"/>
          <w:sz w:val="21"/>
          <w:szCs w:val="21"/>
        </w:rPr>
        <w:t>〕</w:t>
      </w:r>
      <w:r>
        <w:rPr>
          <w:rFonts w:ascii="宋体" w:hAnsi="宋体" w:eastAsia="宋体"/>
          <w:snapToGrid w:val="0"/>
          <w:color w:val="auto"/>
          <w:sz w:val="21"/>
          <w:szCs w:val="21"/>
        </w:rPr>
        <w:t>185</w:t>
      </w:r>
      <w:r>
        <w:rPr>
          <w:rFonts w:hint="eastAsia" w:ascii="宋体" w:hAnsi="宋体" w:eastAsia="宋体"/>
          <w:snapToGrid w:val="0"/>
          <w:color w:val="auto"/>
          <w:sz w:val="21"/>
          <w:szCs w:val="21"/>
        </w:rPr>
        <w:t>号）、《关于调整优化节能产品、环境标志产品政府采购执行机制的通知》（财库〔</w:t>
      </w:r>
      <w:r>
        <w:rPr>
          <w:rFonts w:ascii="宋体" w:hAnsi="宋体" w:eastAsia="宋体"/>
          <w:snapToGrid w:val="0"/>
          <w:color w:val="auto"/>
          <w:sz w:val="21"/>
          <w:szCs w:val="21"/>
        </w:rPr>
        <w:t>2019</w:t>
      </w:r>
      <w:r>
        <w:rPr>
          <w:rFonts w:hint="eastAsia" w:ascii="宋体" w:hAnsi="宋体" w:eastAsia="宋体"/>
          <w:snapToGrid w:val="0"/>
          <w:color w:val="auto"/>
          <w:sz w:val="21"/>
          <w:szCs w:val="21"/>
        </w:rPr>
        <w:t>〕</w:t>
      </w:r>
      <w:r>
        <w:rPr>
          <w:rFonts w:ascii="宋体" w:hAnsi="宋体" w:eastAsia="宋体"/>
          <w:snapToGrid w:val="0"/>
          <w:color w:val="auto"/>
          <w:sz w:val="21"/>
          <w:szCs w:val="21"/>
        </w:rPr>
        <w:t>9</w:t>
      </w:r>
      <w:r>
        <w:rPr>
          <w:rFonts w:hint="eastAsia" w:ascii="宋体" w:hAnsi="宋体" w:eastAsia="宋体"/>
          <w:snapToGrid w:val="0"/>
          <w:color w:val="auto"/>
          <w:sz w:val="21"/>
          <w:szCs w:val="21"/>
        </w:rPr>
        <w:t>号）。</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w:t>
      </w:r>
      <w:r>
        <w:rPr>
          <w:rFonts w:hint="eastAsia" w:ascii="宋体" w:hAnsi="宋体" w:eastAsia="宋体" w:cs="宋体"/>
          <w:sz w:val="21"/>
          <w:szCs w:val="21"/>
          <w:shd w:val="clear" w:color="auto" w:fill="FFFFFF"/>
        </w:rPr>
        <w:t>深圳市宝安区疾病预防控制中心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w:t>
      </w:r>
      <w:r>
        <w:rPr>
          <w:rFonts w:hint="eastAsia" w:ascii="宋体" w:hAnsi="宋体" w:eastAsia="宋体" w:cs="宋体"/>
          <w:sz w:val="21"/>
          <w:szCs w:val="21"/>
          <w:shd w:val="clear" w:color="auto" w:fill="FFFFFF"/>
        </w:rPr>
        <w:t>广东省深圳市宝安区海秀路</w:t>
      </w:r>
      <w:r>
        <w:rPr>
          <w:rFonts w:hint="eastAsia" w:ascii="Arial" w:hAnsi="Arial" w:eastAsia="Arial" w:cs="Arial"/>
          <w:sz w:val="21"/>
          <w:szCs w:val="21"/>
          <w:shd w:val="clear" w:color="auto" w:fill="FFFFFF"/>
        </w:rPr>
        <w:t>3</w:t>
      </w:r>
      <w:r>
        <w:rPr>
          <w:rFonts w:hint="eastAsia" w:ascii="宋体" w:hAnsi="宋体" w:eastAsia="宋体" w:cs="宋体"/>
          <w:sz w:val="21"/>
          <w:szCs w:val="21"/>
          <w:shd w:val="clear" w:color="auto" w:fill="FFFFFF"/>
        </w:rPr>
        <w:t>号</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w:t>
      </w:r>
      <w:r>
        <w:rPr>
          <w:rFonts w:hint="eastAsia" w:ascii="Arial" w:hAnsi="Arial" w:eastAsia="Arial" w:cs="Arial"/>
          <w:sz w:val="21"/>
          <w:szCs w:val="21"/>
          <w:shd w:val="clear" w:color="auto" w:fill="FFFFFF"/>
        </w:rPr>
        <w:t>0755-27881663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2、招标代理机构信息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联系方式：罗小姐，0755-83026699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项目联系人：罗小姐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r>
        <w:rPr>
          <w:rFonts w:ascii="宋体" w:hAnsi="宋体"/>
          <w:snapToGrid w:val="0"/>
          <w:kern w:val="0"/>
          <w:sz w:val="24"/>
        </w:rPr>
        <w:t>202</w:t>
      </w:r>
      <w:r>
        <w:rPr>
          <w:rFonts w:hint="eastAsia" w:ascii="宋体" w:hAnsi="宋体"/>
          <w:snapToGrid w:val="0"/>
          <w:kern w:val="0"/>
          <w:sz w:val="24"/>
        </w:rPr>
        <w:t>1</w:t>
      </w:r>
      <w:r>
        <w:rPr>
          <w:rFonts w:ascii="宋体" w:hAnsi="宋体"/>
          <w:snapToGrid w:val="0"/>
          <w:kern w:val="0"/>
          <w:sz w:val="24"/>
        </w:rPr>
        <w:t>年</w:t>
      </w:r>
      <w:r>
        <w:rPr>
          <w:rFonts w:hint="eastAsia" w:ascii="宋体" w:hAnsi="宋体"/>
          <w:snapToGrid w:val="0"/>
          <w:kern w:val="0"/>
          <w:sz w:val="24"/>
        </w:rPr>
        <w:t>11</w:t>
      </w:r>
      <w:r>
        <w:rPr>
          <w:rFonts w:ascii="宋体" w:hAnsi="宋体"/>
          <w:snapToGrid w:val="0"/>
          <w:kern w:val="0"/>
          <w:sz w:val="24"/>
        </w:rPr>
        <w:t>月</w:t>
      </w:r>
      <w:r>
        <w:rPr>
          <w:rFonts w:hint="eastAsia" w:ascii="宋体" w:hAnsi="宋体"/>
          <w:snapToGrid w:val="0"/>
          <w:kern w:val="0"/>
          <w:sz w:val="24"/>
        </w:rPr>
        <w:t>5日</w:t>
      </w:r>
    </w:p>
    <w:p>
      <w:pPr>
        <w:widowControl/>
        <w:jc w:val="left"/>
        <w:rPr>
          <w:rFonts w:eastAsiaTheme="minorEastAsia"/>
          <w:b/>
          <w:kern w:val="44"/>
          <w:szCs w:val="21"/>
        </w:rPr>
      </w:pPr>
      <w:r>
        <w:rPr>
          <w:szCs w:val="21"/>
        </w:rPr>
        <w:br w:type="page"/>
      </w:r>
    </w:p>
    <w:p>
      <w:pPr>
        <w:pStyle w:val="2"/>
        <w:spacing w:line="240" w:lineRule="auto"/>
        <w:rPr>
          <w:sz w:val="21"/>
          <w:szCs w:val="21"/>
        </w:rPr>
      </w:pPr>
    </w:p>
    <w:p>
      <w:pPr>
        <w:pStyle w:val="2"/>
      </w:pPr>
      <w:bookmarkStart w:id="1" w:name="_Toc73610136"/>
      <w:r>
        <w:rPr>
          <w:rFonts w:hint="eastAsia"/>
        </w:rPr>
        <w:t>第二章  项目需求</w:t>
      </w:r>
      <w:bookmarkEnd w:id="1"/>
    </w:p>
    <w:p>
      <w:pPr>
        <w:spacing w:after="156" w:afterLines="50" w:line="360" w:lineRule="auto"/>
        <w:ind w:left="2"/>
        <w:jc w:val="center"/>
        <w:rPr>
          <w:rFonts w:ascii="宋体" w:hAnsi="宋体"/>
          <w:b/>
          <w:sz w:val="28"/>
          <w:szCs w:val="28"/>
        </w:rPr>
      </w:pPr>
      <w:r>
        <w:rPr>
          <w:rFonts w:hint="eastAsia" w:ascii="宋体" w:hAnsi="宋体"/>
          <w:b/>
          <w:sz w:val="28"/>
          <w:szCs w:val="28"/>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1、本章项目需求中所出现的工艺、材料、设备或参照的品牌等仅为方便描述而没有限制性，投标人可以在其提供的文件资料中选用替代标准，但这些替代标准要优于或相当于技术规格中要求的标准。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3、技术参数设置为区间要求的（例如：潮气量：</w:t>
      </w:r>
      <w:r>
        <w:rPr>
          <w:rFonts w:ascii="仿宋_GB2312" w:eastAsia="仿宋_GB2312"/>
          <w:sz w:val="24"/>
        </w:rPr>
        <w:t>0-2000ML</w:t>
      </w:r>
      <w:r>
        <w:rPr>
          <w:rFonts w:hint="eastAsia" w:ascii="仿宋_GB2312" w:eastAsia="仿宋_GB2312"/>
          <w:sz w:val="24"/>
        </w:rPr>
        <w:t>），投标产品参数区间与招标要求不完全一致的均视为负偏离。</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4、对于定制类产品，投标人需在投标文件“分项价格表”中明确注明“定制”，否则该产品技术参数按负偏离处理。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5、加注▲的条款为重要条款要求，如不满足将按照第四章“评标标准”进行扣分。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6、加注★的条款为不可负偏离条款，任一项未响应或不满足要求的，将导致投标无效。</w:t>
      </w:r>
    </w:p>
    <w:p>
      <w:pPr>
        <w:spacing w:line="360" w:lineRule="auto"/>
        <w:ind w:left="510"/>
        <w:rPr>
          <w:rFonts w:eastAsia="黑体"/>
          <w:bCs/>
          <w:snapToGrid w:val="0"/>
          <w:kern w:val="0"/>
          <w:sz w:val="24"/>
        </w:rPr>
      </w:pPr>
    </w:p>
    <w:p>
      <w:pPr>
        <w:spacing w:line="360" w:lineRule="auto"/>
        <w:ind w:left="2"/>
        <w:rPr>
          <w:rFonts w:ascii="宋体" w:hAnsi="宋体"/>
          <w:b/>
          <w:sz w:val="24"/>
        </w:rPr>
      </w:pPr>
      <w:r>
        <w:rPr>
          <w:rFonts w:hint="eastAsia" w:ascii="宋体" w:hAnsi="宋体"/>
          <w:bCs/>
          <w:snapToGrid w:val="0"/>
          <w:kern w:val="0"/>
          <w:sz w:val="24"/>
        </w:rPr>
        <w:t>一、</w:t>
      </w:r>
      <w:r>
        <w:rPr>
          <w:rFonts w:hint="eastAsia" w:ascii="宋体" w:hAnsi="宋体"/>
          <w:b/>
          <w:sz w:val="24"/>
        </w:rPr>
        <w:t>采购范围</w:t>
      </w:r>
    </w:p>
    <w:p>
      <w:pPr>
        <w:rPr>
          <w:rFonts w:ascii="宋体" w:hAnsi="宋体"/>
          <w:b/>
          <w:szCs w:val="21"/>
        </w:rPr>
      </w:pPr>
      <w:r>
        <w:rPr>
          <w:rFonts w:hint="eastAsia" w:ascii="宋体" w:hAnsi="宋体"/>
          <w:b/>
          <w:szCs w:val="21"/>
        </w:rPr>
        <w:t>（一）采购总清单</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3119"/>
        <w:gridCol w:w="850"/>
        <w:gridCol w:w="993"/>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 w:hRule="atLeast"/>
          <w:jc w:val="center"/>
        </w:trPr>
        <w:tc>
          <w:tcPr>
            <w:tcW w:w="85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11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项目名称</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993"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70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采购预算金额</w:t>
            </w:r>
          </w:p>
          <w:p>
            <w:pPr>
              <w:widowControl/>
              <w:spacing w:line="360" w:lineRule="auto"/>
              <w:jc w:val="center"/>
              <w:rPr>
                <w:rFonts w:ascii="宋体" w:hAnsi="宋体" w:cs="宋体"/>
                <w:bCs/>
                <w:kern w:val="0"/>
                <w:szCs w:val="21"/>
              </w:rPr>
            </w:pPr>
            <w:r>
              <w:rPr>
                <w:rFonts w:hint="eastAsia" w:ascii="宋体" w:hAnsi="宋体" w:cs="宋体"/>
                <w:b/>
                <w:szCs w:val="21"/>
              </w:rPr>
              <w:t>（人民币元）</w:t>
            </w:r>
          </w:p>
        </w:tc>
        <w:tc>
          <w:tcPr>
            <w:tcW w:w="14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5" w:hRule="atLeast"/>
          <w:jc w:val="center"/>
        </w:trPr>
        <w:tc>
          <w:tcPr>
            <w:tcW w:w="851"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119"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疫情防控智能监控系统采购项目</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993"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批</w:t>
            </w:r>
          </w:p>
        </w:tc>
        <w:tc>
          <w:tcPr>
            <w:tcW w:w="1701" w:type="dxa"/>
            <w:vAlign w:val="center"/>
          </w:tcPr>
          <w:p>
            <w:pPr>
              <w:jc w:val="center"/>
              <w:rPr>
                <w:rFonts w:ascii="宋体" w:hAnsi="宋体" w:cs="宋体"/>
                <w:bCs/>
                <w:kern w:val="0"/>
                <w:szCs w:val="21"/>
              </w:rPr>
            </w:pPr>
            <w:r>
              <w:rPr>
                <w:rFonts w:ascii="宋体" w:hAnsi="宋体" w:cs="宋体"/>
                <w:bCs/>
                <w:kern w:val="0"/>
                <w:szCs w:val="21"/>
              </w:rPr>
              <w:t>1,150</w:t>
            </w:r>
            <w:r>
              <w:rPr>
                <w:rFonts w:hint="eastAsia" w:ascii="宋体" w:hAnsi="宋体" w:cs="宋体"/>
                <w:bCs/>
                <w:kern w:val="0"/>
                <w:szCs w:val="21"/>
              </w:rPr>
              <w:t>,</w:t>
            </w:r>
            <w:r>
              <w:rPr>
                <w:rFonts w:ascii="宋体" w:hAnsi="宋体" w:cs="宋体"/>
                <w:bCs/>
                <w:kern w:val="0"/>
                <w:szCs w:val="21"/>
              </w:rPr>
              <w:t>0</w:t>
            </w:r>
            <w:r>
              <w:rPr>
                <w:rFonts w:hint="eastAsia" w:ascii="宋体" w:hAnsi="宋体" w:cs="宋体"/>
                <w:bCs/>
                <w:kern w:val="0"/>
                <w:szCs w:val="21"/>
              </w:rPr>
              <w:t>00.00</w:t>
            </w:r>
          </w:p>
        </w:tc>
        <w:tc>
          <w:tcPr>
            <w:tcW w:w="14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拒绝进口</w:t>
            </w:r>
          </w:p>
        </w:tc>
      </w:tr>
    </w:tbl>
    <w:p>
      <w:pPr>
        <w:widowControl/>
        <w:snapToGrid w:val="0"/>
        <w:spacing w:line="360" w:lineRule="auto"/>
        <w:ind w:left="2"/>
        <w:jc w:val="left"/>
        <w:rPr>
          <w:rFonts w:ascii="宋体" w:hAnsi="宋体"/>
          <w:bCs/>
          <w:snapToGrid w:val="0"/>
          <w:kern w:val="0"/>
          <w:szCs w:val="21"/>
        </w:rPr>
      </w:pPr>
    </w:p>
    <w:p>
      <w:pPr>
        <w:rPr>
          <w:rFonts w:ascii="宋体" w:hAnsi="宋体"/>
          <w:b/>
          <w:szCs w:val="21"/>
        </w:rPr>
      </w:pPr>
      <w:r>
        <w:rPr>
          <w:rFonts w:hint="eastAsia" w:ascii="宋体" w:hAnsi="宋体"/>
          <w:b/>
          <w:szCs w:val="21"/>
        </w:rPr>
        <w:t>（二）采购清单明细</w:t>
      </w:r>
    </w:p>
    <w:tbl>
      <w:tblPr>
        <w:tblStyle w:val="5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969"/>
        <w:gridCol w:w="1081"/>
        <w:gridCol w:w="1134"/>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blHeader/>
          <w:jc w:val="center"/>
        </w:trPr>
        <w:tc>
          <w:tcPr>
            <w:tcW w:w="8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96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标的名称</w:t>
            </w:r>
          </w:p>
        </w:tc>
        <w:tc>
          <w:tcPr>
            <w:tcW w:w="108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1134"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896"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897" w:type="dxa"/>
            <w:gridSpan w:val="5"/>
            <w:vAlign w:val="center"/>
          </w:tcPr>
          <w:p>
            <w:pPr>
              <w:spacing w:line="360" w:lineRule="auto"/>
              <w:jc w:val="left"/>
              <w:rPr>
                <w:rFonts w:ascii="宋体" w:hAnsi="宋体" w:cs="宋体"/>
                <w:kern w:val="0"/>
                <w:szCs w:val="21"/>
              </w:rPr>
            </w:pPr>
            <w:r>
              <w:rPr>
                <w:rFonts w:hint="eastAsia" w:cs="宋体" w:asciiTheme="majorEastAsia" w:hAnsiTheme="majorEastAsia" w:eastAsiaTheme="majorEastAsia"/>
                <w:b/>
                <w:bCs/>
                <w:kern w:val="0"/>
                <w:szCs w:val="21"/>
              </w:rPr>
              <w:t>一、设备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969" w:type="dxa"/>
            <w:vAlign w:val="center"/>
          </w:tcPr>
          <w:p>
            <w:pPr>
              <w:widowControl/>
              <w:jc w:val="center"/>
              <w:rPr>
                <w:rFonts w:ascii="宋体" w:hAnsi="宋体" w:cs="宋体"/>
                <w:kern w:val="0"/>
                <w:szCs w:val="21"/>
              </w:rPr>
            </w:pPr>
            <w:r>
              <w:rPr>
                <w:rFonts w:hint="eastAsia" w:cs="宋体" w:asciiTheme="majorEastAsia" w:hAnsiTheme="majorEastAsia" w:eastAsiaTheme="majorEastAsia"/>
                <w:kern w:val="0"/>
                <w:szCs w:val="21"/>
              </w:rPr>
              <w:t>数字立体无感测温系统（包含相应配套设备）</w:t>
            </w:r>
          </w:p>
        </w:tc>
        <w:tc>
          <w:tcPr>
            <w:tcW w:w="1081" w:type="dxa"/>
            <w:vAlign w:val="center"/>
          </w:tcPr>
          <w:p>
            <w:pPr>
              <w:widowControl/>
              <w:jc w:val="center"/>
              <w:rPr>
                <w:rFonts w:ascii="宋体" w:hAnsi="宋体" w:cs="宋体"/>
                <w:kern w:val="0"/>
                <w:szCs w:val="21"/>
              </w:rPr>
            </w:pPr>
            <w:r>
              <w:rPr>
                <w:rFonts w:cs="宋体" w:asciiTheme="majorEastAsia" w:hAnsiTheme="majorEastAsia" w:eastAsiaTheme="majorEastAsia"/>
                <w:kern w:val="0"/>
                <w:szCs w:val="21"/>
              </w:rPr>
              <w:t>14</w:t>
            </w:r>
          </w:p>
        </w:tc>
        <w:tc>
          <w:tcPr>
            <w:tcW w:w="1134" w:type="dxa"/>
            <w:vAlign w:val="center"/>
          </w:tcPr>
          <w:p>
            <w:pPr>
              <w:widowControl/>
              <w:jc w:val="center"/>
              <w:rPr>
                <w:rFonts w:ascii="宋体" w:hAnsi="宋体" w:cs="宋体"/>
                <w:kern w:val="0"/>
                <w:szCs w:val="21"/>
              </w:rPr>
            </w:pPr>
            <w:r>
              <w:rPr>
                <w:rFonts w:hint="eastAsia" w:cs="宋体" w:asciiTheme="majorEastAsia" w:hAnsiTheme="majorEastAsia" w:eastAsiaTheme="majorEastAsia"/>
                <w:kern w:val="0"/>
                <w:szCs w:val="21"/>
              </w:rPr>
              <w:t>套</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ascii="宋体" w:hAnsi="宋体" w:cs="宋体"/>
                <w:kern w:val="0"/>
                <w:szCs w:val="21"/>
              </w:rPr>
              <w:t>2</w:t>
            </w:r>
          </w:p>
        </w:tc>
        <w:tc>
          <w:tcPr>
            <w:tcW w:w="3969" w:type="dxa"/>
            <w:vAlign w:val="center"/>
          </w:tcPr>
          <w:p>
            <w:pPr>
              <w:widowControl/>
              <w:jc w:val="center"/>
              <w:rPr>
                <w:rFonts w:ascii="宋体" w:hAnsi="宋体" w:cs="宋体"/>
                <w:kern w:val="0"/>
                <w:szCs w:val="21"/>
              </w:rPr>
            </w:pPr>
            <w:r>
              <w:rPr>
                <w:rFonts w:hint="eastAsia" w:cs="宋体" w:asciiTheme="majorEastAsia" w:hAnsiTheme="majorEastAsia" w:eastAsiaTheme="majorEastAsia"/>
                <w:kern w:val="0"/>
                <w:szCs w:val="21"/>
              </w:rPr>
              <w:t>防雨罩</w:t>
            </w:r>
          </w:p>
        </w:tc>
        <w:tc>
          <w:tcPr>
            <w:tcW w:w="1081" w:type="dxa"/>
            <w:vAlign w:val="center"/>
          </w:tcPr>
          <w:p>
            <w:pPr>
              <w:widowControl/>
              <w:jc w:val="center"/>
              <w:rPr>
                <w:rFonts w:ascii="宋体" w:hAnsi="宋体" w:cs="宋体"/>
                <w:kern w:val="0"/>
                <w:szCs w:val="21"/>
              </w:rPr>
            </w:pPr>
            <w:r>
              <w:rPr>
                <w:rFonts w:hint="eastAsia" w:cs="宋体" w:asciiTheme="majorEastAsia" w:hAnsiTheme="majorEastAsia" w:eastAsiaTheme="majorEastAsia"/>
                <w:kern w:val="0"/>
                <w:szCs w:val="21"/>
              </w:rPr>
              <w:t>2</w:t>
            </w:r>
          </w:p>
        </w:tc>
        <w:tc>
          <w:tcPr>
            <w:tcW w:w="1134" w:type="dxa"/>
            <w:vAlign w:val="center"/>
          </w:tcPr>
          <w:p>
            <w:pPr>
              <w:widowControl/>
              <w:jc w:val="center"/>
              <w:rPr>
                <w:rFonts w:ascii="宋体" w:hAnsi="宋体" w:cs="宋体"/>
                <w:kern w:val="0"/>
                <w:szCs w:val="21"/>
              </w:rPr>
            </w:pPr>
            <w:r>
              <w:rPr>
                <w:rFonts w:hint="eastAsia" w:cs="宋体" w:asciiTheme="majorEastAsia" w:hAnsiTheme="majorEastAsia" w:eastAsiaTheme="majorEastAsia"/>
                <w:kern w:val="0"/>
                <w:szCs w:val="21"/>
              </w:rPr>
              <w:t>个</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ascii="宋体" w:hAnsi="宋体" w:cs="宋体"/>
                <w:kern w:val="0"/>
                <w:szCs w:val="21"/>
              </w:rPr>
              <w:t>3</w:t>
            </w:r>
          </w:p>
        </w:tc>
        <w:tc>
          <w:tcPr>
            <w:tcW w:w="3969" w:type="dxa"/>
            <w:vAlign w:val="center"/>
          </w:tcPr>
          <w:p>
            <w:pPr>
              <w:widowControl/>
              <w:jc w:val="center"/>
              <w:rPr>
                <w:rFonts w:ascii="宋体" w:hAnsi="宋体" w:cs="宋体"/>
                <w:kern w:val="0"/>
                <w:szCs w:val="21"/>
              </w:rPr>
            </w:pPr>
            <w:r>
              <w:rPr>
                <w:rFonts w:hint="eastAsia" w:cs="宋体" w:asciiTheme="majorEastAsia" w:hAnsiTheme="majorEastAsia" w:eastAsiaTheme="majorEastAsia"/>
                <w:kern w:val="0"/>
                <w:szCs w:val="21"/>
              </w:rPr>
              <w:t>设备支架</w:t>
            </w:r>
          </w:p>
        </w:tc>
        <w:tc>
          <w:tcPr>
            <w:tcW w:w="1081" w:type="dxa"/>
            <w:vAlign w:val="center"/>
          </w:tcPr>
          <w:p>
            <w:pPr>
              <w:widowControl/>
              <w:jc w:val="center"/>
              <w:rPr>
                <w:rFonts w:ascii="宋体" w:hAnsi="宋体" w:cs="宋体"/>
                <w:kern w:val="0"/>
                <w:szCs w:val="21"/>
              </w:rPr>
            </w:pPr>
            <w:r>
              <w:rPr>
                <w:rFonts w:hint="eastAsia" w:cs="宋体" w:asciiTheme="majorEastAsia" w:hAnsiTheme="majorEastAsia" w:eastAsiaTheme="majorEastAsia"/>
                <w:kern w:val="0"/>
                <w:szCs w:val="21"/>
              </w:rPr>
              <w:t>14</w:t>
            </w:r>
          </w:p>
        </w:tc>
        <w:tc>
          <w:tcPr>
            <w:tcW w:w="1134" w:type="dxa"/>
            <w:vAlign w:val="center"/>
          </w:tcPr>
          <w:p>
            <w:pPr>
              <w:widowControl/>
              <w:jc w:val="center"/>
              <w:rPr>
                <w:rFonts w:ascii="宋体" w:hAnsi="宋体" w:cs="宋体"/>
                <w:kern w:val="0"/>
                <w:szCs w:val="21"/>
              </w:rPr>
            </w:pPr>
            <w:r>
              <w:rPr>
                <w:rFonts w:hint="eastAsia" w:cs="宋体" w:asciiTheme="majorEastAsia" w:hAnsiTheme="majorEastAsia" w:eastAsiaTheme="majorEastAsia"/>
                <w:kern w:val="0"/>
                <w:szCs w:val="21"/>
              </w:rPr>
              <w:t>套</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897" w:type="dxa"/>
            <w:gridSpan w:val="5"/>
            <w:vAlign w:val="center"/>
          </w:tcPr>
          <w:p>
            <w:pPr>
              <w:spacing w:line="360" w:lineRule="auto"/>
              <w:jc w:val="left"/>
              <w:rPr>
                <w:rFonts w:ascii="宋体" w:hAnsi="宋体" w:cs="宋体"/>
                <w:kern w:val="0"/>
                <w:szCs w:val="21"/>
              </w:rPr>
            </w:pPr>
            <w:r>
              <w:rPr>
                <w:rFonts w:hint="eastAsia" w:ascii="宋体" w:hAnsi="宋体" w:cs="宋体"/>
                <w:kern w:val="0"/>
                <w:szCs w:val="21"/>
              </w:rPr>
              <w:t>二、</w:t>
            </w:r>
            <w:r>
              <w:rPr>
                <w:rFonts w:hint="eastAsia" w:cs="宋体" w:asciiTheme="majorEastAsia" w:hAnsiTheme="majorEastAsia" w:eastAsiaTheme="majorEastAsia"/>
                <w:b/>
                <w:bCs/>
                <w:kern w:val="0"/>
                <w:szCs w:val="21"/>
              </w:rPr>
              <w:t>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rPr>
                <w:rFonts w:ascii="宋体" w:hAnsi="宋体" w:cs="宋体"/>
                <w:kern w:val="0"/>
                <w:szCs w:val="21"/>
              </w:rPr>
            </w:pPr>
            <w:r>
              <w:rPr>
                <w:rFonts w:hint="eastAsia" w:cs="宋体" w:asciiTheme="majorEastAsia" w:hAnsiTheme="majorEastAsia" w:eastAsiaTheme="majorEastAsia"/>
                <w:kern w:val="0"/>
                <w:szCs w:val="21"/>
              </w:rPr>
              <w:t>1</w:t>
            </w:r>
          </w:p>
        </w:tc>
        <w:tc>
          <w:tcPr>
            <w:tcW w:w="3969" w:type="dxa"/>
            <w:vAlign w:val="center"/>
          </w:tcPr>
          <w:p>
            <w:pPr>
              <w:widowControl/>
              <w:jc w:val="center"/>
              <w:rPr>
                <w:rFonts w:ascii="宋体" w:hAnsi="宋体" w:cs="宋体"/>
                <w:kern w:val="0"/>
                <w:szCs w:val="21"/>
              </w:rPr>
            </w:pPr>
            <w:r>
              <w:rPr>
                <w:rFonts w:hint="eastAsia" w:cs="宋体" w:asciiTheme="majorEastAsia" w:hAnsiTheme="majorEastAsia" w:eastAsiaTheme="majorEastAsia"/>
                <w:kern w:val="0"/>
                <w:szCs w:val="21"/>
              </w:rPr>
              <w:t>人脸识别管理系统</w:t>
            </w:r>
          </w:p>
        </w:tc>
        <w:tc>
          <w:tcPr>
            <w:tcW w:w="1081" w:type="dxa"/>
            <w:vAlign w:val="center"/>
          </w:tcPr>
          <w:p>
            <w:pPr>
              <w:widowControl/>
              <w:jc w:val="center"/>
              <w:rPr>
                <w:rFonts w:ascii="宋体" w:hAnsi="宋体" w:cs="宋体"/>
                <w:kern w:val="0"/>
                <w:szCs w:val="21"/>
              </w:rPr>
            </w:pPr>
            <w:r>
              <w:rPr>
                <w:rFonts w:hint="eastAsia" w:cs="宋体" w:asciiTheme="majorEastAsia" w:hAnsiTheme="majorEastAsia" w:eastAsiaTheme="majorEastAsia"/>
                <w:kern w:val="0"/>
                <w:szCs w:val="21"/>
              </w:rPr>
              <w:t>1</w:t>
            </w:r>
          </w:p>
        </w:tc>
        <w:tc>
          <w:tcPr>
            <w:tcW w:w="1134" w:type="dxa"/>
            <w:vAlign w:val="center"/>
          </w:tcPr>
          <w:p>
            <w:pPr>
              <w:widowControl/>
              <w:jc w:val="center"/>
              <w:rPr>
                <w:rFonts w:ascii="宋体" w:hAnsi="宋体" w:cs="宋体"/>
                <w:kern w:val="0"/>
                <w:szCs w:val="21"/>
              </w:rPr>
            </w:pPr>
            <w:r>
              <w:rPr>
                <w:rFonts w:hint="eastAsia" w:cs="宋体" w:asciiTheme="majorEastAsia" w:hAnsiTheme="majorEastAsia" w:eastAsiaTheme="majorEastAsia"/>
                <w:kern w:val="0"/>
                <w:szCs w:val="21"/>
              </w:rPr>
              <w:t>套</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jc w:val="center"/>
        </w:trPr>
        <w:tc>
          <w:tcPr>
            <w:tcW w:w="817" w:type="dxa"/>
            <w:vAlign w:val="center"/>
          </w:tcPr>
          <w:p>
            <w:pPr>
              <w:widowControl/>
              <w:jc w:val="center"/>
              <w:rPr>
                <w:rFonts w:ascii="宋体" w:hAnsi="宋体" w:cs="宋体"/>
                <w:kern w:val="0"/>
                <w:szCs w:val="21"/>
              </w:rPr>
            </w:pPr>
            <w:r>
              <w:rPr>
                <w:rFonts w:hint="eastAsia" w:cs="宋体" w:asciiTheme="majorEastAsia" w:hAnsiTheme="majorEastAsia" w:eastAsiaTheme="majorEastAsia"/>
                <w:kern w:val="0"/>
                <w:szCs w:val="21"/>
              </w:rPr>
              <w:t>2</w:t>
            </w:r>
          </w:p>
        </w:tc>
        <w:tc>
          <w:tcPr>
            <w:tcW w:w="3969" w:type="dxa"/>
            <w:vAlign w:val="center"/>
          </w:tcPr>
          <w:p>
            <w:pPr>
              <w:widowControl/>
              <w:jc w:val="center"/>
              <w:rPr>
                <w:rFonts w:ascii="宋体" w:hAnsi="宋体" w:cs="宋体"/>
                <w:kern w:val="0"/>
                <w:szCs w:val="21"/>
              </w:rPr>
            </w:pPr>
            <w:r>
              <w:rPr>
                <w:rFonts w:hint="eastAsia" w:cs="宋体" w:asciiTheme="majorEastAsia" w:hAnsiTheme="majorEastAsia" w:eastAsiaTheme="majorEastAsia"/>
                <w:kern w:val="0"/>
                <w:szCs w:val="21"/>
              </w:rPr>
              <w:t>考勤管理模块特殊功能定制</w:t>
            </w:r>
          </w:p>
        </w:tc>
        <w:tc>
          <w:tcPr>
            <w:tcW w:w="1081" w:type="dxa"/>
            <w:vAlign w:val="center"/>
          </w:tcPr>
          <w:p>
            <w:pPr>
              <w:widowControl/>
              <w:jc w:val="center"/>
              <w:rPr>
                <w:rFonts w:ascii="宋体" w:hAnsi="宋体" w:cs="宋体"/>
                <w:kern w:val="0"/>
                <w:szCs w:val="21"/>
              </w:rPr>
            </w:pPr>
            <w:r>
              <w:rPr>
                <w:rFonts w:hint="eastAsia" w:cs="宋体" w:asciiTheme="majorEastAsia" w:hAnsiTheme="majorEastAsia" w:eastAsiaTheme="majorEastAsia"/>
                <w:kern w:val="0"/>
                <w:szCs w:val="21"/>
              </w:rPr>
              <w:t>1</w:t>
            </w:r>
          </w:p>
        </w:tc>
        <w:tc>
          <w:tcPr>
            <w:tcW w:w="1134" w:type="dxa"/>
            <w:vAlign w:val="center"/>
          </w:tcPr>
          <w:p>
            <w:pPr>
              <w:widowControl/>
              <w:jc w:val="center"/>
              <w:rPr>
                <w:rFonts w:ascii="宋体" w:hAnsi="宋体" w:cs="宋体"/>
                <w:kern w:val="0"/>
                <w:szCs w:val="21"/>
              </w:rPr>
            </w:pPr>
            <w:r>
              <w:rPr>
                <w:rFonts w:hint="eastAsia" w:cs="宋体" w:asciiTheme="majorEastAsia" w:hAnsiTheme="majorEastAsia" w:eastAsiaTheme="majorEastAsia"/>
                <w:kern w:val="0"/>
                <w:szCs w:val="21"/>
              </w:rPr>
              <w:t>项</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rPr>
                <w:rFonts w:ascii="宋体" w:hAnsi="宋体" w:cs="宋体"/>
                <w:kern w:val="0"/>
                <w:szCs w:val="21"/>
              </w:rPr>
            </w:pPr>
            <w:r>
              <w:rPr>
                <w:rFonts w:hint="eastAsia" w:cs="宋体" w:asciiTheme="majorEastAsia" w:hAnsiTheme="majorEastAsia" w:eastAsiaTheme="majorEastAsia"/>
                <w:kern w:val="0"/>
                <w:szCs w:val="21"/>
              </w:rPr>
              <w:t>3</w:t>
            </w:r>
          </w:p>
        </w:tc>
        <w:tc>
          <w:tcPr>
            <w:tcW w:w="3969" w:type="dxa"/>
            <w:vAlign w:val="center"/>
          </w:tcPr>
          <w:p>
            <w:pPr>
              <w:widowControl/>
              <w:jc w:val="center"/>
              <w:rPr>
                <w:rFonts w:ascii="宋体" w:hAnsi="宋体" w:cs="宋体"/>
                <w:kern w:val="0"/>
                <w:szCs w:val="21"/>
              </w:rPr>
            </w:pPr>
            <w:r>
              <w:rPr>
                <w:rFonts w:hint="eastAsia" w:cs="宋体" w:asciiTheme="majorEastAsia" w:hAnsiTheme="majorEastAsia" w:eastAsiaTheme="majorEastAsia"/>
                <w:kern w:val="0"/>
                <w:szCs w:val="21"/>
              </w:rPr>
              <w:t>云计算服务</w:t>
            </w:r>
          </w:p>
        </w:tc>
        <w:tc>
          <w:tcPr>
            <w:tcW w:w="1081" w:type="dxa"/>
            <w:vAlign w:val="center"/>
          </w:tcPr>
          <w:p>
            <w:pPr>
              <w:widowControl/>
              <w:jc w:val="center"/>
              <w:rPr>
                <w:rFonts w:ascii="宋体" w:hAnsi="宋体" w:cs="宋体"/>
                <w:kern w:val="0"/>
                <w:szCs w:val="21"/>
              </w:rPr>
            </w:pPr>
            <w:r>
              <w:rPr>
                <w:rFonts w:cs="宋体" w:asciiTheme="majorEastAsia" w:hAnsiTheme="majorEastAsia" w:eastAsiaTheme="majorEastAsia"/>
                <w:kern w:val="0"/>
                <w:szCs w:val="21"/>
              </w:rPr>
              <w:t>1</w:t>
            </w:r>
          </w:p>
        </w:tc>
        <w:tc>
          <w:tcPr>
            <w:tcW w:w="1134" w:type="dxa"/>
            <w:vAlign w:val="center"/>
          </w:tcPr>
          <w:p>
            <w:pPr>
              <w:widowControl/>
              <w:jc w:val="center"/>
              <w:rPr>
                <w:rFonts w:ascii="宋体" w:hAnsi="宋体" w:cs="宋体"/>
                <w:kern w:val="0"/>
                <w:szCs w:val="21"/>
              </w:rPr>
            </w:pPr>
            <w:r>
              <w:rPr>
                <w:rFonts w:hint="eastAsia" w:cs="宋体" w:asciiTheme="majorEastAsia" w:hAnsiTheme="majorEastAsia" w:eastAsiaTheme="majorEastAsia"/>
                <w:kern w:val="0"/>
                <w:szCs w:val="21"/>
              </w:rPr>
              <w:t>项</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jc w:val="center"/>
              <w:rPr>
                <w:rFonts w:ascii="宋体" w:hAnsi="宋体" w:cs="宋体"/>
                <w:kern w:val="0"/>
                <w:szCs w:val="21"/>
              </w:rPr>
            </w:pPr>
            <w:r>
              <w:rPr>
                <w:rFonts w:hint="eastAsia" w:cs="宋体" w:asciiTheme="majorEastAsia" w:hAnsiTheme="majorEastAsia" w:eastAsiaTheme="majorEastAsia"/>
                <w:kern w:val="0"/>
                <w:szCs w:val="21"/>
              </w:rPr>
              <w:t>4</w:t>
            </w:r>
          </w:p>
        </w:tc>
        <w:tc>
          <w:tcPr>
            <w:tcW w:w="3969" w:type="dxa"/>
            <w:vAlign w:val="center"/>
          </w:tcPr>
          <w:p>
            <w:pPr>
              <w:widowControl/>
              <w:jc w:val="center"/>
              <w:rPr>
                <w:rFonts w:ascii="宋体" w:hAnsi="宋体" w:cs="宋体"/>
                <w:kern w:val="0"/>
                <w:szCs w:val="21"/>
              </w:rPr>
            </w:pPr>
            <w:r>
              <w:rPr>
                <w:rFonts w:hint="eastAsia" w:cs="宋体" w:asciiTheme="majorEastAsia" w:hAnsiTheme="majorEastAsia" w:eastAsiaTheme="majorEastAsia"/>
                <w:kern w:val="0"/>
                <w:szCs w:val="21"/>
              </w:rPr>
              <w:t>其他辅材</w:t>
            </w:r>
          </w:p>
        </w:tc>
        <w:tc>
          <w:tcPr>
            <w:tcW w:w="1081" w:type="dxa"/>
            <w:vAlign w:val="center"/>
          </w:tcPr>
          <w:p>
            <w:pPr>
              <w:widowControl/>
              <w:jc w:val="center"/>
              <w:rPr>
                <w:rFonts w:ascii="宋体" w:hAnsi="宋体" w:cs="宋体"/>
                <w:kern w:val="0"/>
                <w:szCs w:val="21"/>
              </w:rPr>
            </w:pPr>
            <w:r>
              <w:rPr>
                <w:rFonts w:hint="eastAsia" w:cs="宋体" w:asciiTheme="majorEastAsia" w:hAnsiTheme="majorEastAsia" w:eastAsiaTheme="majorEastAsia"/>
                <w:kern w:val="0"/>
                <w:szCs w:val="21"/>
              </w:rPr>
              <w:t>1</w:t>
            </w:r>
          </w:p>
        </w:tc>
        <w:tc>
          <w:tcPr>
            <w:tcW w:w="1134" w:type="dxa"/>
            <w:vAlign w:val="center"/>
          </w:tcPr>
          <w:p>
            <w:pPr>
              <w:widowControl/>
              <w:jc w:val="center"/>
              <w:rPr>
                <w:rFonts w:ascii="宋体" w:hAnsi="宋体" w:cs="宋体"/>
                <w:kern w:val="0"/>
                <w:szCs w:val="21"/>
              </w:rPr>
            </w:pPr>
            <w:r>
              <w:rPr>
                <w:rFonts w:hint="eastAsia" w:cs="宋体" w:asciiTheme="majorEastAsia" w:hAnsiTheme="majorEastAsia" w:eastAsiaTheme="majorEastAsia"/>
                <w:kern w:val="0"/>
                <w:szCs w:val="21"/>
              </w:rPr>
              <w:t>项</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bl>
    <w:p>
      <w:pPr>
        <w:widowControl/>
        <w:snapToGrid w:val="0"/>
        <w:spacing w:line="360" w:lineRule="auto"/>
        <w:ind w:left="2"/>
        <w:jc w:val="left"/>
        <w:rPr>
          <w:rFonts w:ascii="宋体" w:hAnsi="宋体"/>
          <w:bCs/>
          <w:snapToGrid w:val="0"/>
          <w:kern w:val="0"/>
          <w:szCs w:val="21"/>
        </w:rPr>
      </w:pPr>
    </w:p>
    <w:p>
      <w:pPr>
        <w:pStyle w:val="453"/>
        <w:adjustRightInd w:val="0"/>
        <w:snapToGrid w:val="0"/>
        <w:spacing w:before="0" w:beforeAutospacing="0" w:after="0" w:afterAutospacing="0" w:line="360" w:lineRule="auto"/>
        <w:ind w:firstLine="424" w:firstLineChars="202"/>
        <w:rPr>
          <w:rFonts w:ascii="宋体" w:hAnsi="宋体" w:eastAsia="宋体"/>
          <w:b/>
          <w:snapToGrid w:val="0"/>
          <w:color w:val="auto"/>
          <w:sz w:val="21"/>
          <w:szCs w:val="21"/>
        </w:rPr>
      </w:pPr>
      <w:r>
        <w:rPr>
          <w:rFonts w:hint="eastAsia" w:ascii="宋体" w:hAnsi="宋体" w:eastAsia="宋体" w:cs="Times New Roman"/>
          <w:color w:val="auto"/>
          <w:kern w:val="2"/>
          <w:sz w:val="21"/>
          <w:szCs w:val="21"/>
        </w:rPr>
        <w:t>注：（1）</w:t>
      </w:r>
      <w:r>
        <w:rPr>
          <w:rFonts w:hint="eastAsia" w:ascii="宋体" w:hAnsi="宋体" w:eastAsia="宋体" w:cs="Times New Roman"/>
          <w:b/>
          <w:color w:val="auto"/>
          <w:kern w:val="2"/>
          <w:sz w:val="21"/>
          <w:szCs w:val="21"/>
        </w:rPr>
        <w:t>本项目所属行业为</w:t>
      </w:r>
      <w:r>
        <w:rPr>
          <w:rFonts w:hint="eastAsia" w:ascii="宋体" w:hAnsi="宋体" w:eastAsia="宋体" w:cs="Times New Roman"/>
          <w:b/>
          <w:color w:val="auto"/>
          <w:kern w:val="2"/>
          <w:sz w:val="21"/>
          <w:szCs w:val="21"/>
          <w:u w:val="single"/>
        </w:rPr>
        <w:t xml:space="preserve">  工业  </w:t>
      </w:r>
      <w:r>
        <w:rPr>
          <w:rFonts w:hint="eastAsia" w:ascii="宋体" w:hAnsi="宋体" w:eastAsia="宋体" w:cs="Times New Roman"/>
          <w:b/>
          <w:color w:val="auto"/>
          <w:kern w:val="2"/>
          <w:sz w:val="21"/>
          <w:szCs w:val="21"/>
        </w:rPr>
        <w:t>，标的名称详见以上采购清单明细。</w:t>
      </w:r>
      <w:r>
        <w:rPr>
          <w:rFonts w:hint="eastAsia" w:ascii="宋体" w:hAnsi="宋体" w:eastAsia="宋体" w:cs="Times New Roman"/>
          <w:color w:val="auto"/>
          <w:kern w:val="2"/>
          <w:sz w:val="21"/>
          <w:szCs w:val="21"/>
        </w:rPr>
        <w:t>投标人应根据《工业和信息化部、国家统计局、国家发展和改革委员会、财政部关于印发中小企业划型标准规定的通知》(工信部联企业〔2011〕300号)规定的中小企业划型标准填写《中小企业声明函》。</w:t>
      </w:r>
    </w:p>
    <w:p>
      <w:pPr>
        <w:widowControl/>
        <w:snapToGrid w:val="0"/>
        <w:spacing w:line="360" w:lineRule="auto"/>
        <w:ind w:left="2" w:firstLine="422" w:firstLineChars="201"/>
        <w:jc w:val="left"/>
        <w:rPr>
          <w:rFonts w:ascii="宋体" w:hAnsi="宋体"/>
          <w:bCs/>
          <w:snapToGrid w:val="0"/>
          <w:kern w:val="0"/>
          <w:szCs w:val="21"/>
        </w:rPr>
      </w:pPr>
      <w:r>
        <w:rPr>
          <w:rFonts w:hint="eastAsia" w:ascii="宋体" w:hAnsi="宋体"/>
          <w:bCs/>
          <w:snapToGrid w:val="0"/>
          <w:kern w:val="0"/>
          <w:szCs w:val="21"/>
        </w:rPr>
        <w:t>（2）</w:t>
      </w:r>
      <w:r>
        <w:rPr>
          <w:rFonts w:hint="eastAsia" w:ascii="宋体" w:hAnsi="宋体"/>
          <w:b/>
          <w:bCs/>
          <w:snapToGrid w:val="0"/>
          <w:szCs w:val="21"/>
        </w:rPr>
        <w:t>本项目核心产品为：</w:t>
      </w:r>
      <w:r>
        <w:rPr>
          <w:rFonts w:hint="eastAsia" w:ascii="宋体" w:hAnsi="宋体"/>
          <w:b/>
          <w:bCs/>
          <w:snapToGrid w:val="0"/>
          <w:szCs w:val="21"/>
          <w:u w:val="single"/>
        </w:rPr>
        <w:t xml:space="preserve">  人脸识别管理系统   </w:t>
      </w:r>
      <w:r>
        <w:rPr>
          <w:rFonts w:hint="eastAsia" w:ascii="宋体" w:hAnsi="宋体"/>
          <w:b/>
          <w:bCs/>
          <w:snapToGrid w:val="0"/>
          <w:szCs w:val="21"/>
        </w:rPr>
        <w:t>。</w:t>
      </w:r>
      <w:r>
        <w:rPr>
          <w:rFonts w:hint="eastAsia" w:ascii="宋体" w:hAnsi="宋体"/>
          <w:bCs/>
          <w:snapToGrid w:val="0"/>
          <w:kern w:val="0"/>
          <w:szCs w:val="21"/>
        </w:rPr>
        <w:t>如同时有两家或两家以上（均为制造商的合法代理商）通过资格审查及符合性审查的合格投标人</w:t>
      </w:r>
      <w:r>
        <w:rPr>
          <w:rFonts w:hint="eastAsia" w:ascii="宋体" w:hAnsi="宋体"/>
          <w:b/>
          <w:bCs/>
          <w:snapToGrid w:val="0"/>
          <w:kern w:val="0"/>
          <w:szCs w:val="21"/>
        </w:rPr>
        <w:t>所投核心产品为相同品牌的，按一家投标人计算</w:t>
      </w:r>
      <w:r>
        <w:rPr>
          <w:rFonts w:hint="eastAsia" w:ascii="宋体" w:hAnsi="宋体"/>
          <w:bCs/>
          <w:snapToGrid w:val="0"/>
          <w:kern w:val="0"/>
          <w:szCs w:val="21"/>
        </w:rPr>
        <w:t>。在此种情况下，评审后得分最高的</w:t>
      </w:r>
      <w:r>
        <w:rPr>
          <w:rFonts w:hint="eastAsia" w:asciiTheme="minorEastAsia" w:hAnsiTheme="minorEastAsia" w:eastAsiaTheme="minorEastAsia"/>
          <w:color w:val="333333"/>
        </w:rPr>
        <w:t>同品牌</w:t>
      </w:r>
      <w:r>
        <w:rPr>
          <w:rFonts w:hint="eastAsia" w:ascii="宋体" w:hAnsi="宋体"/>
          <w:bCs/>
          <w:snapToGrid w:val="0"/>
          <w:kern w:val="0"/>
          <w:szCs w:val="21"/>
        </w:rPr>
        <w:t>投标人获得中标人推荐资格；评审得分相同的由报价相对最低的获得中标人推荐资格；评审得分及报价均相同的由技术部分评分相对最高的获得中标人推荐资格；</w:t>
      </w:r>
      <w:r>
        <w:rPr>
          <w:rFonts w:hint="eastAsia"/>
          <w:snapToGrid w:val="0"/>
          <w:kern w:val="0"/>
        </w:rPr>
        <w:t>以上均相同的由评标委员会采取随机抽取方式确定</w:t>
      </w:r>
      <w:r>
        <w:rPr>
          <w:rFonts w:hint="eastAsia" w:ascii="宋体" w:hAnsi="宋体"/>
          <w:bCs/>
          <w:snapToGrid w:val="0"/>
          <w:kern w:val="0"/>
          <w:szCs w:val="21"/>
        </w:rPr>
        <w:t>，其他同品牌投标人不作为中标候选人。</w:t>
      </w:r>
    </w:p>
    <w:p>
      <w:pPr>
        <w:adjustRightInd w:val="0"/>
        <w:snapToGrid w:val="0"/>
        <w:spacing w:line="360" w:lineRule="auto"/>
        <w:ind w:firstLine="422" w:firstLineChars="201"/>
        <w:rPr>
          <w:rFonts w:ascii="宋体" w:hAnsi="宋体"/>
          <w:b/>
          <w:bCs/>
          <w:snapToGrid w:val="0"/>
          <w:kern w:val="0"/>
          <w:szCs w:val="21"/>
        </w:rPr>
      </w:pPr>
      <w:r>
        <w:rPr>
          <w:rFonts w:hint="eastAsia" w:ascii="宋体" w:hAnsi="宋体"/>
          <w:bCs/>
          <w:snapToGrid w:val="0"/>
          <w:kern w:val="0"/>
          <w:szCs w:val="21"/>
        </w:rPr>
        <w:t>（3）</w:t>
      </w:r>
      <w:r>
        <w:rPr>
          <w:rFonts w:hint="eastAsia" w:ascii="宋体" w:hAnsi="宋体"/>
          <w:szCs w:val="21"/>
        </w:rPr>
        <w:t>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hint="eastAsia" w:ascii="宋体" w:hAnsi="宋体"/>
          <w:bCs/>
          <w:snapToGrid w:val="0"/>
          <w:kern w:val="0"/>
          <w:szCs w:val="21"/>
        </w:rPr>
        <w:t>致的，按照“少数服从多数”的原则确定评标委员会的意见。</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 xml:space="preserve">（4）备注栏注明“拒绝进口”的产品不接受投标人选用进口产品参与投标；注明“接受进口”的产品允许投标人选用进口产品参与投标，但不排斥国内产品。 </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5）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pPr>
        <w:spacing w:line="360" w:lineRule="auto"/>
        <w:ind w:left="2" w:firstLine="484" w:firstLineChars="201"/>
        <w:rPr>
          <w:rFonts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二、技术要求</w:t>
      </w:r>
    </w:p>
    <w:tbl>
      <w:tblPr>
        <w:tblStyle w:val="50"/>
        <w:tblW w:w="9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980"/>
        <w:gridCol w:w="6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900"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1980" w:type="dxa"/>
            <w:vAlign w:val="center"/>
          </w:tcPr>
          <w:p>
            <w:pPr>
              <w:widowControl/>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货物名称</w:t>
            </w:r>
          </w:p>
        </w:tc>
        <w:tc>
          <w:tcPr>
            <w:tcW w:w="6737"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招标技术参数要求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900"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980" w:type="dxa"/>
            <w:vAlign w:val="center"/>
          </w:tcPr>
          <w:p>
            <w:pPr>
              <w:spacing w:after="60" w:line="360" w:lineRule="auto"/>
              <w:jc w:val="center"/>
              <w:rPr>
                <w:rFonts w:asciiTheme="minorEastAsia" w:hAnsiTheme="minorEastAsia" w:eastAsiaTheme="minorEastAsia"/>
                <w:b/>
                <w:szCs w:val="21"/>
              </w:rPr>
            </w:pPr>
            <w:r>
              <w:rPr>
                <w:rFonts w:hint="eastAsia" w:ascii="等线" w:hAnsi="等线"/>
                <w:sz w:val="22"/>
                <w:szCs w:val="22"/>
              </w:rPr>
              <w:t>数字立体无感测温系统</w:t>
            </w:r>
          </w:p>
        </w:tc>
        <w:tc>
          <w:tcPr>
            <w:tcW w:w="673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1、热成像分辨率：206*160（±5%）；</w:t>
            </w:r>
            <w:r>
              <w:rPr>
                <w:rFonts w:hint="eastAsia" w:asciiTheme="minorEastAsia" w:hAnsiTheme="minorEastAsia" w:eastAsiaTheme="minorEastAsia"/>
                <w:szCs w:val="21"/>
              </w:rPr>
              <w:br w:type="textWrapping"/>
            </w:r>
            <w:r>
              <w:rPr>
                <w:rFonts w:hint="eastAsia" w:asciiTheme="minorEastAsia" w:hAnsiTheme="minorEastAsia" w:eastAsiaTheme="minorEastAsia"/>
                <w:szCs w:val="21"/>
              </w:rPr>
              <w:t>2、测温距离：0.8-6.0米（±5%）；</w:t>
            </w:r>
            <w:r>
              <w:rPr>
                <w:rFonts w:hint="eastAsia" w:asciiTheme="minorEastAsia" w:hAnsiTheme="minorEastAsia" w:eastAsiaTheme="minorEastAsia"/>
                <w:szCs w:val="21"/>
              </w:rPr>
              <w:br w:type="textWrapping"/>
            </w:r>
            <w:r>
              <w:rPr>
                <w:rFonts w:hint="eastAsia" w:asciiTheme="minorEastAsia" w:hAnsiTheme="minorEastAsia" w:eastAsiaTheme="minorEastAsia"/>
                <w:szCs w:val="21"/>
              </w:rPr>
              <w:t>3、人脸摄像头：200万像素态摄像头；</w:t>
            </w:r>
            <w:r>
              <w:rPr>
                <w:rFonts w:hint="eastAsia" w:asciiTheme="minorEastAsia" w:hAnsiTheme="minorEastAsia" w:eastAsiaTheme="minorEastAsia"/>
                <w:szCs w:val="21"/>
              </w:rPr>
              <w:br w:type="textWrapping"/>
            </w:r>
            <w:r>
              <w:rPr>
                <w:rFonts w:hint="eastAsia" w:asciiTheme="minorEastAsia" w:hAnsiTheme="minorEastAsia" w:eastAsiaTheme="minorEastAsia"/>
                <w:szCs w:val="21"/>
              </w:rPr>
              <w:t>4、主板配置：2+16G（±5%）；</w:t>
            </w:r>
            <w:r>
              <w:rPr>
                <w:rFonts w:hint="eastAsia" w:asciiTheme="minorEastAsia" w:hAnsiTheme="minorEastAsia" w:eastAsiaTheme="minorEastAsia"/>
                <w:szCs w:val="21"/>
              </w:rPr>
              <w:br w:type="textWrapping"/>
            </w:r>
            <w:r>
              <w:rPr>
                <w:rFonts w:hint="eastAsia" w:asciiTheme="minorEastAsia" w:hAnsiTheme="minorEastAsia" w:eastAsiaTheme="minorEastAsia"/>
                <w:szCs w:val="21"/>
              </w:rPr>
              <w:t>5、测温速度：每秒测温刷新≥10次；一次可以识别≥30人；</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6、测温温差：5米内测温温差±0.3°，5-6±0.5°（±5%）；</w:t>
            </w:r>
            <w:r>
              <w:rPr>
                <w:rFonts w:hint="eastAsia" w:asciiTheme="minorEastAsia" w:hAnsiTheme="minorEastAsia" w:eastAsiaTheme="minorEastAsia"/>
                <w:szCs w:val="21"/>
              </w:rPr>
              <w:br w:type="textWrapping"/>
            </w:r>
            <w:r>
              <w:rPr>
                <w:rFonts w:hint="eastAsia" w:asciiTheme="minorEastAsia" w:hAnsiTheme="minorEastAsia" w:eastAsiaTheme="minorEastAsia"/>
                <w:szCs w:val="21"/>
              </w:rPr>
              <w:t>7、部署方便性：一体机设计，也可以通过HDMI线接显示器；</w:t>
            </w:r>
            <w:r>
              <w:rPr>
                <w:rFonts w:hint="eastAsia" w:asciiTheme="minorEastAsia" w:hAnsiTheme="minorEastAsia" w:eastAsiaTheme="minorEastAsia"/>
                <w:szCs w:val="21"/>
              </w:rPr>
              <w:br w:type="textWrapping"/>
            </w:r>
            <w:r>
              <w:rPr>
                <w:rFonts w:hint="eastAsia" w:asciiTheme="minorEastAsia" w:hAnsiTheme="minorEastAsia" w:eastAsiaTheme="minorEastAsia"/>
                <w:szCs w:val="21"/>
              </w:rPr>
              <w:t>8、AI校温能力：一键设置适应当前应用环境的异常体温参照温度 支持部分在遮荫户外环境下应用场景下的使用；</w:t>
            </w:r>
            <w:r>
              <w:rPr>
                <w:rFonts w:hint="eastAsia" w:asciiTheme="minorEastAsia" w:hAnsiTheme="minorEastAsia" w:eastAsiaTheme="minorEastAsia"/>
                <w:szCs w:val="21"/>
              </w:rPr>
              <w:br w:type="textWrapping"/>
            </w:r>
            <w:r>
              <w:rPr>
                <w:rFonts w:hint="eastAsia" w:asciiTheme="minorEastAsia" w:hAnsiTheme="minorEastAsia" w:eastAsiaTheme="minorEastAsia"/>
                <w:szCs w:val="21"/>
              </w:rPr>
              <w:t>9、应用拓展：支持有线、支持WIFI；</w:t>
            </w:r>
            <w:r>
              <w:rPr>
                <w:rFonts w:hint="eastAsia" w:asciiTheme="minorEastAsia" w:hAnsiTheme="minorEastAsia" w:eastAsiaTheme="minorEastAsia"/>
                <w:szCs w:val="21"/>
              </w:rPr>
              <w:br w:type="textWrapping"/>
            </w:r>
            <w:r>
              <w:rPr>
                <w:rFonts w:hint="eastAsia" w:asciiTheme="minorEastAsia" w:hAnsiTheme="minorEastAsia" w:eastAsiaTheme="minorEastAsia"/>
                <w:szCs w:val="21"/>
              </w:rPr>
              <w:t>1</w:t>
            </w:r>
            <w:r>
              <w:rPr>
                <w:rFonts w:asciiTheme="minorEastAsia" w:hAnsiTheme="minorEastAsia" w:eastAsiaTheme="minorEastAsia"/>
                <w:szCs w:val="21"/>
              </w:rPr>
              <w:t>0</w:t>
            </w:r>
            <w:r>
              <w:rPr>
                <w:rFonts w:hint="eastAsia" w:asciiTheme="minorEastAsia" w:hAnsiTheme="minorEastAsia" w:eastAsiaTheme="minorEastAsia"/>
                <w:szCs w:val="21"/>
              </w:rPr>
              <w:t>、二次开发：支持二次开发，界面定制；</w:t>
            </w:r>
            <w:r>
              <w:rPr>
                <w:rFonts w:hint="eastAsia" w:asciiTheme="minorEastAsia" w:hAnsiTheme="minorEastAsia" w:eastAsiaTheme="minorEastAsia"/>
                <w:szCs w:val="21"/>
              </w:rPr>
              <w:br w:type="textWrapping"/>
            </w:r>
            <w:r>
              <w:rPr>
                <w:rFonts w:hint="eastAsia" w:asciiTheme="minorEastAsia" w:hAnsiTheme="minorEastAsia" w:eastAsiaTheme="minorEastAsia"/>
                <w:szCs w:val="21"/>
              </w:rPr>
              <w:t>1</w:t>
            </w:r>
            <w:r>
              <w:rPr>
                <w:rFonts w:asciiTheme="minorEastAsia" w:hAnsiTheme="minorEastAsia" w:eastAsiaTheme="minorEastAsia"/>
                <w:szCs w:val="21"/>
              </w:rPr>
              <w:t>1</w:t>
            </w:r>
            <w:r>
              <w:rPr>
                <w:rFonts w:hint="eastAsia" w:asciiTheme="minorEastAsia" w:hAnsiTheme="minorEastAsia" w:eastAsiaTheme="minorEastAsia"/>
                <w:szCs w:val="21"/>
              </w:rPr>
              <w:t>、网络连接：支持有线、支持WIFI；</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2</w:t>
            </w:r>
            <w:r>
              <w:rPr>
                <w:rFonts w:hint="eastAsia" w:asciiTheme="minorEastAsia" w:hAnsiTheme="minorEastAsia" w:eastAsiaTheme="minorEastAsia"/>
                <w:szCs w:val="21"/>
              </w:rPr>
              <w:t>、配置清单：</w:t>
            </w:r>
          </w:p>
          <w:p>
            <w:pPr>
              <w:spacing w:after="60"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（1）千兆以太网交换机1；背板带宽48Gbps；包转发率36Mpps；接口数目为24口 ；传输速率10M/100M/1000Mbps；MAC地址表8K；电源电压100～240V AC,50/60Hz。</w:t>
            </w:r>
          </w:p>
          <w:p>
            <w:pPr>
              <w:spacing w:after="60"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（2）千兆以太网交换机2；应用层级为二级；背板带宽16Gbps；包转发率12Mpps；接口数目为8口 ；传输速率10M/100M/1000Mbps；MAC地址表4K；电源电压DC12V/0.5A。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spacing w:after="60" w:line="360" w:lineRule="auto"/>
              <w:jc w:val="center"/>
              <w:rPr>
                <w:rFonts w:asciiTheme="minorEastAsia" w:hAnsiTheme="minorEastAsia" w:eastAsiaTheme="minorEastAsia"/>
                <w:szCs w:val="21"/>
              </w:rPr>
            </w:pPr>
            <w:r>
              <w:rPr>
                <w:rFonts w:asciiTheme="minorEastAsia" w:hAnsiTheme="minorEastAsia" w:eastAsiaTheme="minorEastAsia"/>
                <w:szCs w:val="21"/>
              </w:rPr>
              <w:t>2</w:t>
            </w:r>
          </w:p>
        </w:tc>
        <w:tc>
          <w:tcPr>
            <w:tcW w:w="1980" w:type="dxa"/>
            <w:vAlign w:val="center"/>
          </w:tcPr>
          <w:p>
            <w:pPr>
              <w:spacing w:after="60" w:line="360" w:lineRule="auto"/>
              <w:jc w:val="center"/>
              <w:rPr>
                <w:rFonts w:asciiTheme="minorEastAsia" w:hAnsiTheme="minorEastAsia" w:eastAsiaTheme="minorEastAsia"/>
                <w:szCs w:val="21"/>
              </w:rPr>
            </w:pPr>
            <w:r>
              <w:rPr>
                <w:rFonts w:hint="eastAsia" w:cs="宋体" w:asciiTheme="majorEastAsia" w:hAnsiTheme="majorEastAsia" w:eastAsiaTheme="majorEastAsia"/>
                <w:kern w:val="0"/>
                <w:szCs w:val="21"/>
              </w:rPr>
              <w:t>防雨罩</w:t>
            </w:r>
          </w:p>
        </w:tc>
        <w:tc>
          <w:tcPr>
            <w:tcW w:w="6737" w:type="dxa"/>
          </w:tcPr>
          <w:p>
            <w:pPr>
              <w:spacing w:after="60" w:line="360" w:lineRule="auto"/>
              <w:rPr>
                <w:rFonts w:asciiTheme="minorEastAsia" w:hAnsiTheme="minorEastAsia" w:eastAsiaTheme="minorEastAsia"/>
                <w:szCs w:val="21"/>
              </w:rPr>
            </w:pPr>
            <w:r>
              <w:rPr>
                <w:rFonts w:hint="eastAsia" w:cs="宋体" w:asciiTheme="majorEastAsia" w:hAnsiTheme="majorEastAsia" w:eastAsiaTheme="majorEastAsia"/>
                <w:kern w:val="0"/>
                <w:szCs w:val="21"/>
              </w:rPr>
              <w:t>防雨功能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spacing w:after="60" w:line="360" w:lineRule="auto"/>
              <w:jc w:val="center"/>
              <w:rPr>
                <w:rFonts w:asciiTheme="minorEastAsia" w:hAnsiTheme="minorEastAsia" w:eastAsiaTheme="minorEastAsia"/>
                <w:szCs w:val="21"/>
              </w:rPr>
            </w:pPr>
            <w:r>
              <w:rPr>
                <w:rFonts w:asciiTheme="minorEastAsia" w:hAnsiTheme="minorEastAsia" w:eastAsiaTheme="minorEastAsia"/>
                <w:szCs w:val="21"/>
              </w:rPr>
              <w:t>3</w:t>
            </w:r>
          </w:p>
        </w:tc>
        <w:tc>
          <w:tcPr>
            <w:tcW w:w="1980" w:type="dxa"/>
            <w:vAlign w:val="center"/>
          </w:tcPr>
          <w:p>
            <w:pPr>
              <w:spacing w:after="60" w:line="360" w:lineRule="auto"/>
              <w:jc w:val="center"/>
              <w:rPr>
                <w:rFonts w:asciiTheme="minorEastAsia" w:hAnsiTheme="minorEastAsia" w:eastAsiaTheme="minorEastAsia"/>
                <w:szCs w:val="21"/>
              </w:rPr>
            </w:pPr>
            <w:r>
              <w:rPr>
                <w:rFonts w:hint="eastAsia" w:cs="宋体" w:asciiTheme="majorEastAsia" w:hAnsiTheme="majorEastAsia" w:eastAsiaTheme="majorEastAsia"/>
                <w:kern w:val="0"/>
                <w:szCs w:val="21"/>
              </w:rPr>
              <w:t>设备支架</w:t>
            </w:r>
          </w:p>
        </w:tc>
        <w:tc>
          <w:tcPr>
            <w:tcW w:w="6737" w:type="dxa"/>
          </w:tcPr>
          <w:p>
            <w:pPr>
              <w:spacing w:after="60" w:line="360" w:lineRule="auto"/>
              <w:rPr>
                <w:rFonts w:asciiTheme="minorEastAsia" w:hAnsiTheme="minorEastAsia" w:eastAsiaTheme="minorEastAsia"/>
                <w:szCs w:val="21"/>
              </w:rPr>
            </w:pPr>
            <w:r>
              <w:rPr>
                <w:rFonts w:hint="eastAsia" w:cs="宋体" w:asciiTheme="majorEastAsia" w:hAnsiTheme="majorEastAsia" w:eastAsiaTheme="majorEastAsia"/>
                <w:kern w:val="0"/>
                <w:szCs w:val="21"/>
              </w:rPr>
              <w:t>壁装/吊装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1980" w:type="dxa"/>
            <w:vAlign w:val="center"/>
          </w:tcPr>
          <w:p>
            <w:pPr>
              <w:spacing w:after="60" w:line="360" w:lineRule="auto"/>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人脸识别管理系统</w:t>
            </w:r>
          </w:p>
        </w:tc>
        <w:tc>
          <w:tcPr>
            <w:tcW w:w="6737" w:type="dxa"/>
          </w:tcPr>
          <w:p>
            <w:pPr>
              <w:spacing w:after="60" w:line="360" w:lineRule="auto"/>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支持在线连人脸应用后台，形成无感人员管理功能和测温应用。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spacing w:after="60" w:line="360" w:lineRule="auto"/>
              <w:jc w:val="center"/>
              <w:rPr>
                <w:rFonts w:asciiTheme="minorEastAsia" w:hAnsiTheme="minorEastAsia" w:eastAsiaTheme="minorEastAsia"/>
                <w:szCs w:val="21"/>
              </w:rPr>
            </w:pPr>
            <w:r>
              <w:rPr>
                <w:rFonts w:asciiTheme="minorEastAsia" w:hAnsiTheme="minorEastAsia" w:eastAsiaTheme="minorEastAsia"/>
                <w:szCs w:val="21"/>
              </w:rPr>
              <w:t>5</w:t>
            </w:r>
          </w:p>
        </w:tc>
        <w:tc>
          <w:tcPr>
            <w:tcW w:w="1980" w:type="dxa"/>
            <w:vAlign w:val="center"/>
          </w:tcPr>
          <w:p>
            <w:pPr>
              <w:spacing w:after="60" w:line="360" w:lineRule="auto"/>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考勤管理模块特殊功能定制</w:t>
            </w:r>
          </w:p>
        </w:tc>
        <w:tc>
          <w:tcPr>
            <w:tcW w:w="6737" w:type="dxa"/>
            <w:vAlign w:val="center"/>
          </w:tcPr>
          <w:p>
            <w:pPr>
              <w:spacing w:after="60" w:line="360" w:lineRule="auto"/>
              <w:jc w:val="left"/>
              <w:rPr>
                <w:rFonts w:hint="eastAsia" w:cs="宋体" w:asciiTheme="majorEastAsia" w:hAnsiTheme="majorEastAsia" w:eastAsiaTheme="majorEastAsia"/>
                <w:kern w:val="0"/>
                <w:szCs w:val="21"/>
              </w:rPr>
            </w:pPr>
            <w:r>
              <w:rPr>
                <w:rFonts w:hint="eastAsia" w:cs="宋体" w:asciiTheme="majorEastAsia" w:hAnsiTheme="majorEastAsia" w:eastAsiaTheme="majorEastAsia"/>
                <w:kern w:val="0"/>
                <w:szCs w:val="21"/>
              </w:rPr>
              <w:t>1、系统可视化：支持多个测温终端采集的测温大数据呈现可视化效果，按照不同权限查看不同管理可视化界面，方便管理。</w:t>
            </w:r>
          </w:p>
          <w:p>
            <w:pPr>
              <w:spacing w:after="60" w:line="360" w:lineRule="auto"/>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2、二次开发：支持二次开发，界面定制。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spacing w:after="60" w:line="360" w:lineRule="auto"/>
              <w:jc w:val="center"/>
              <w:rPr>
                <w:rFonts w:asciiTheme="minorEastAsia" w:hAnsiTheme="minorEastAsia" w:eastAsiaTheme="minorEastAsia"/>
                <w:szCs w:val="21"/>
              </w:rPr>
            </w:pPr>
            <w:r>
              <w:rPr>
                <w:rFonts w:asciiTheme="minorEastAsia" w:hAnsiTheme="minorEastAsia" w:eastAsiaTheme="minorEastAsia"/>
                <w:szCs w:val="21"/>
              </w:rPr>
              <w:t>6</w:t>
            </w:r>
          </w:p>
        </w:tc>
        <w:tc>
          <w:tcPr>
            <w:tcW w:w="1980" w:type="dxa"/>
            <w:vAlign w:val="center"/>
          </w:tcPr>
          <w:p>
            <w:pPr>
              <w:spacing w:after="60" w:line="360" w:lineRule="auto"/>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云计算服务</w:t>
            </w:r>
          </w:p>
        </w:tc>
        <w:tc>
          <w:tcPr>
            <w:tcW w:w="6737" w:type="dxa"/>
            <w:vAlign w:val="center"/>
          </w:tcPr>
          <w:p>
            <w:pPr>
              <w:pStyle w:val="455"/>
              <w:numPr>
                <w:ilvl w:val="0"/>
                <w:numId w:val="4"/>
              </w:numPr>
              <w:spacing w:after="60" w:line="360" w:lineRule="auto"/>
              <w:ind w:firstLineChars="0"/>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至强4核CPU；</w:t>
            </w:r>
          </w:p>
          <w:p>
            <w:pPr>
              <w:pStyle w:val="455"/>
              <w:numPr>
                <w:ilvl w:val="0"/>
                <w:numId w:val="4"/>
              </w:numPr>
              <w:spacing w:after="60" w:line="360" w:lineRule="auto"/>
              <w:ind w:firstLineChars="0"/>
              <w:jc w:val="left"/>
              <w:rPr>
                <w:rFonts w:hint="eastAsia" w:cs="宋体" w:asciiTheme="majorEastAsia" w:hAnsiTheme="majorEastAsia" w:eastAsiaTheme="majorEastAsia"/>
                <w:kern w:val="0"/>
                <w:szCs w:val="21"/>
              </w:rPr>
            </w:pPr>
            <w:r>
              <w:rPr>
                <w:rFonts w:hint="eastAsia" w:cs="宋体" w:asciiTheme="majorEastAsia" w:hAnsiTheme="majorEastAsia" w:eastAsiaTheme="majorEastAsia"/>
                <w:kern w:val="0"/>
                <w:szCs w:val="21"/>
              </w:rPr>
              <w:t>16G内存，500G硬盘；</w:t>
            </w:r>
          </w:p>
          <w:p>
            <w:pPr>
              <w:spacing w:after="60" w:line="360" w:lineRule="auto"/>
              <w:jc w:val="left"/>
              <w:rPr>
                <w:rFonts w:hint="eastAsia" w:cs="宋体" w:asciiTheme="majorEastAsia" w:hAnsiTheme="majorEastAsia" w:eastAsiaTheme="majorEastAsia"/>
                <w:kern w:val="0"/>
                <w:szCs w:val="21"/>
              </w:rPr>
            </w:pPr>
            <w:r>
              <w:rPr>
                <w:rFonts w:hint="eastAsia" w:cs="宋体" w:asciiTheme="majorEastAsia" w:hAnsiTheme="majorEastAsia" w:eastAsiaTheme="majorEastAsia"/>
                <w:kern w:val="0"/>
                <w:szCs w:val="21"/>
              </w:rPr>
              <w:t>3、系统及软件环境：系统：centos7.2-64位；</w:t>
            </w:r>
          </w:p>
          <w:p>
            <w:pPr>
              <w:spacing w:after="60" w:line="360" w:lineRule="auto"/>
              <w:jc w:val="left"/>
              <w:rPr>
                <w:rFonts w:cs="宋体" w:asciiTheme="majorEastAsia" w:hAnsiTheme="majorEastAsia" w:eastAsiaTheme="majorEastAsia"/>
                <w:kern w:val="0"/>
                <w:szCs w:val="21"/>
              </w:rPr>
            </w:pPr>
            <w:r>
              <w:rPr>
                <w:rFonts w:cs="宋体" w:asciiTheme="majorEastAsia" w:hAnsiTheme="majorEastAsia" w:eastAsiaTheme="majorEastAsia"/>
                <w:kern w:val="0"/>
                <w:szCs w:val="21"/>
              </w:rPr>
              <w:t>4</w:t>
            </w:r>
            <w:r>
              <w:rPr>
                <w:rFonts w:hint="eastAsia" w:cs="宋体" w:asciiTheme="majorEastAsia" w:hAnsiTheme="majorEastAsia" w:eastAsiaTheme="majorEastAsia"/>
                <w:kern w:val="0"/>
                <w:szCs w:val="21"/>
              </w:rPr>
              <w:t>、软件：nginx ，php-5.6及以上，mysql5.6。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spacing w:after="60" w:line="360" w:lineRule="auto"/>
              <w:jc w:val="center"/>
              <w:rPr>
                <w:rFonts w:asciiTheme="minorEastAsia" w:hAnsiTheme="minorEastAsia" w:eastAsiaTheme="minorEastAsia"/>
                <w:szCs w:val="21"/>
              </w:rPr>
            </w:pPr>
            <w:r>
              <w:rPr>
                <w:rFonts w:asciiTheme="minorEastAsia" w:hAnsiTheme="minorEastAsia" w:eastAsiaTheme="minorEastAsia"/>
                <w:szCs w:val="21"/>
              </w:rPr>
              <w:t>7</w:t>
            </w:r>
          </w:p>
        </w:tc>
        <w:tc>
          <w:tcPr>
            <w:tcW w:w="1980" w:type="dxa"/>
            <w:vAlign w:val="center"/>
          </w:tcPr>
          <w:p>
            <w:pPr>
              <w:spacing w:after="60" w:line="360" w:lineRule="auto"/>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其他辅材</w:t>
            </w:r>
          </w:p>
        </w:tc>
        <w:tc>
          <w:tcPr>
            <w:tcW w:w="6737" w:type="dxa"/>
            <w:vAlign w:val="center"/>
          </w:tcPr>
          <w:p>
            <w:pPr>
              <w:spacing w:after="60" w:line="360" w:lineRule="auto"/>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六类网线：Cat6，非屏蔽网线。</w:t>
            </w:r>
          </w:p>
        </w:tc>
      </w:tr>
    </w:tbl>
    <w:p>
      <w:pPr>
        <w:spacing w:line="360" w:lineRule="auto"/>
        <w:rPr>
          <w:rFonts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三、商务要求</w:t>
      </w:r>
    </w:p>
    <w:p>
      <w:pPr>
        <w:widowControl/>
        <w:spacing w:line="360" w:lineRule="auto"/>
        <w:jc w:val="left"/>
        <w:outlineLvl w:val="0"/>
        <w:rPr>
          <w:rFonts w:ascii="宋体" w:hAnsi="宋体"/>
          <w:b/>
          <w:kern w:val="0"/>
          <w:szCs w:val="21"/>
        </w:rPr>
      </w:pPr>
      <w:bookmarkStart w:id="2" w:name="_Toc73610137"/>
      <w:r>
        <w:rPr>
          <w:rFonts w:hint="eastAsia" w:ascii="宋体" w:hAnsi="宋体"/>
          <w:kern w:val="0"/>
          <w:szCs w:val="21"/>
          <w:highlight w:val="yellow"/>
        </w:rPr>
        <w:t>★</w:t>
      </w:r>
      <w:r>
        <w:rPr>
          <w:rFonts w:hint="eastAsia" w:ascii="宋体" w:hAnsi="宋体"/>
          <w:b/>
          <w:kern w:val="0"/>
          <w:szCs w:val="21"/>
          <w:highlight w:val="yellow"/>
        </w:rPr>
        <w:t>（一）交货期：本项目自签订合同之日起</w:t>
      </w:r>
      <w:r>
        <w:rPr>
          <w:rFonts w:ascii="宋体" w:hAnsi="宋体"/>
          <w:b/>
          <w:kern w:val="0"/>
          <w:szCs w:val="21"/>
          <w:highlight w:val="yellow"/>
        </w:rPr>
        <w:t>60</w:t>
      </w:r>
      <w:r>
        <w:rPr>
          <w:rFonts w:hint="eastAsia" w:ascii="宋体" w:hAnsi="宋体"/>
          <w:b/>
          <w:kern w:val="0"/>
          <w:szCs w:val="21"/>
          <w:highlight w:val="yellow"/>
        </w:rPr>
        <w:t>个日历日内交货。指合同生效后，中标人将全部货物运抵采购人指定地点并安装调试完成，经验收合格，正式交付采购人使用所需的时间。</w:t>
      </w:r>
      <w:bookmarkEnd w:id="2"/>
    </w:p>
    <w:p>
      <w:pPr>
        <w:widowControl/>
        <w:spacing w:line="360" w:lineRule="auto"/>
        <w:jc w:val="left"/>
        <w:outlineLvl w:val="0"/>
        <w:rPr>
          <w:rFonts w:ascii="宋体" w:hAnsi="宋体"/>
          <w:kern w:val="0"/>
          <w:szCs w:val="21"/>
        </w:rPr>
      </w:pPr>
      <w:bookmarkStart w:id="3" w:name="_Toc73610138"/>
      <w:r>
        <w:rPr>
          <w:rFonts w:hint="eastAsia" w:ascii="宋体" w:hAnsi="宋体"/>
          <w:kern w:val="0"/>
          <w:szCs w:val="21"/>
        </w:rPr>
        <w:t>（二）交货地点：采购人指定地点。</w:t>
      </w:r>
      <w:bookmarkEnd w:id="3"/>
    </w:p>
    <w:p>
      <w:pPr>
        <w:widowControl/>
        <w:spacing w:line="360" w:lineRule="auto"/>
        <w:jc w:val="left"/>
        <w:outlineLvl w:val="0"/>
        <w:rPr>
          <w:rFonts w:ascii="宋体" w:hAnsi="宋体"/>
          <w:b/>
          <w:bCs/>
          <w:kern w:val="0"/>
          <w:szCs w:val="21"/>
          <w:highlight w:val="yellow"/>
        </w:rPr>
      </w:pPr>
      <w:bookmarkStart w:id="4" w:name="_Toc73610139"/>
      <w:r>
        <w:rPr>
          <w:rFonts w:hint="eastAsia" w:ascii="宋体" w:hAnsi="宋体"/>
          <w:kern w:val="0"/>
          <w:szCs w:val="21"/>
          <w:highlight w:val="yellow"/>
        </w:rPr>
        <w:t>★</w:t>
      </w:r>
      <w:r>
        <w:rPr>
          <w:rFonts w:hint="eastAsia" w:ascii="宋体" w:hAnsi="宋体"/>
          <w:b/>
          <w:bCs/>
          <w:kern w:val="0"/>
          <w:szCs w:val="21"/>
          <w:highlight w:val="yellow"/>
        </w:rPr>
        <w:t>（三）报价要求：</w:t>
      </w:r>
      <w:bookmarkEnd w:id="4"/>
    </w:p>
    <w:p>
      <w:pPr>
        <w:widowControl/>
        <w:spacing w:line="360" w:lineRule="auto"/>
        <w:ind w:firstLine="422" w:firstLineChars="200"/>
        <w:jc w:val="left"/>
        <w:outlineLvl w:val="0"/>
        <w:rPr>
          <w:rFonts w:ascii="宋体" w:hAnsi="宋体"/>
          <w:b/>
          <w:bCs/>
          <w:kern w:val="0"/>
          <w:szCs w:val="21"/>
          <w:highlight w:val="yellow"/>
        </w:rPr>
      </w:pPr>
      <w:r>
        <w:rPr>
          <w:rFonts w:hint="eastAsia" w:ascii="宋体" w:hAnsi="宋体"/>
          <w:b/>
          <w:bCs/>
          <w:kern w:val="0"/>
          <w:szCs w:val="21"/>
          <w:highlight w:val="yellow"/>
        </w:rPr>
        <w:t>（1）本项目预算控制金额及最高投标限价为人民币壹佰壹拾伍万元整（¥1,150，000.00）。超出此预算控制金额或最高投标限价的作无效投标处理。</w:t>
      </w:r>
    </w:p>
    <w:p>
      <w:pPr>
        <w:widowControl/>
        <w:spacing w:line="360" w:lineRule="auto"/>
        <w:ind w:firstLine="422" w:firstLineChars="200"/>
        <w:jc w:val="left"/>
        <w:outlineLvl w:val="0"/>
        <w:rPr>
          <w:rFonts w:ascii="宋体" w:hAnsi="宋体"/>
          <w:b/>
          <w:bCs/>
          <w:kern w:val="0"/>
          <w:szCs w:val="21"/>
          <w:highlight w:val="yellow"/>
        </w:rPr>
      </w:pPr>
      <w:r>
        <w:rPr>
          <w:rFonts w:hint="eastAsia" w:ascii="宋体" w:hAnsi="宋体"/>
          <w:b/>
          <w:bCs/>
          <w:kern w:val="0"/>
          <w:szCs w:val="21"/>
          <w:highlight w:val="yellow"/>
        </w:rPr>
        <w:t>（2）本次采购报价币种为人民币，单位为元；</w:t>
      </w:r>
    </w:p>
    <w:p>
      <w:pPr>
        <w:widowControl/>
        <w:spacing w:line="360" w:lineRule="auto"/>
        <w:ind w:firstLine="422" w:firstLineChars="200"/>
        <w:jc w:val="left"/>
        <w:outlineLvl w:val="0"/>
        <w:rPr>
          <w:rFonts w:ascii="宋体" w:hAnsi="宋体"/>
          <w:b/>
          <w:bCs/>
          <w:kern w:val="0"/>
          <w:szCs w:val="21"/>
          <w:highlight w:val="yellow"/>
        </w:rPr>
      </w:pPr>
      <w:r>
        <w:rPr>
          <w:rFonts w:hint="eastAsia" w:ascii="宋体" w:hAnsi="宋体"/>
          <w:b/>
          <w:bCs/>
          <w:kern w:val="0"/>
          <w:szCs w:val="21"/>
          <w:highlight w:val="yellow"/>
        </w:rPr>
        <w:t>（3）本项目服务费用采用包干制，包括但不限于人工费、设备费等服务成本、法定税费和利润等一切费用。投标人应自行承担未来时期人工工资上调、劳动合同补偿和物价上涨等因素对服务价格造成的影响及风险。</w:t>
      </w:r>
    </w:p>
    <w:p>
      <w:pPr>
        <w:widowControl/>
        <w:spacing w:line="360" w:lineRule="auto"/>
        <w:ind w:firstLine="422" w:firstLineChars="200"/>
        <w:jc w:val="left"/>
        <w:outlineLvl w:val="0"/>
        <w:rPr>
          <w:rFonts w:ascii="宋体" w:hAnsi="宋体"/>
          <w:b/>
          <w:bCs/>
          <w:kern w:val="0"/>
          <w:szCs w:val="21"/>
          <w:highlight w:val="yellow"/>
        </w:rPr>
      </w:pPr>
      <w:r>
        <w:rPr>
          <w:rFonts w:hint="eastAsia" w:ascii="宋体" w:hAnsi="宋体"/>
          <w:b/>
          <w:bCs/>
          <w:kern w:val="0"/>
          <w:szCs w:val="21"/>
          <w:highlight w:val="yellow"/>
        </w:rPr>
        <w:t>（4）投标人应根据本企业的成本自行决定报价。评标委员会认为投标人的报价明显低于其他通过符合性审查投标人的报价，有可能影响服务质量或不能诚信履约的，将会要求该投标人在评标现场合理的时间内提供书面说明，必要时提交相关证明材料。投标人不能证明其报价合理性的，评标委员会应将其作为无效投标处理。</w:t>
      </w:r>
    </w:p>
    <w:p>
      <w:pPr>
        <w:spacing w:line="360" w:lineRule="auto"/>
        <w:ind w:left="422" w:hanging="422" w:hangingChars="200"/>
      </w:pPr>
      <w:r>
        <w:rPr>
          <w:rFonts w:hint="eastAsia"/>
          <w:b/>
          <w:bCs/>
        </w:rPr>
        <w:t>（四）设备要求：</w:t>
      </w:r>
      <w:r>
        <w:rPr>
          <w:rFonts w:hint="eastAsia"/>
        </w:rPr>
        <w:t>自行根据项目工作量配置，可以达到采购人工作质量要求。</w:t>
      </w:r>
    </w:p>
    <w:p>
      <w:pPr>
        <w:spacing w:line="360" w:lineRule="auto"/>
        <w:rPr>
          <w:b/>
          <w:bCs/>
        </w:rPr>
      </w:pPr>
      <w:r>
        <w:rPr>
          <w:rFonts w:hint="eastAsia"/>
          <w:b/>
          <w:bCs/>
        </w:rPr>
        <w:t>（五）付款方式：</w:t>
      </w:r>
    </w:p>
    <w:p>
      <w:pPr>
        <w:spacing w:line="360" w:lineRule="auto"/>
      </w:pPr>
      <w:r>
        <w:rPr>
          <w:rFonts w:hint="eastAsia"/>
        </w:rPr>
        <w:t>合同签订后支付合同金额的50%，项目完成经采购人验收合格后支付</w:t>
      </w:r>
      <w:r>
        <w:t>5</w:t>
      </w:r>
      <w:r>
        <w:rPr>
          <w:rFonts w:hint="eastAsia"/>
        </w:rPr>
        <w:t>0%，采购人在收到中标人有效发票后15个工作日内向中标人支付。</w:t>
      </w:r>
    </w:p>
    <w:p>
      <w:pPr>
        <w:spacing w:line="360" w:lineRule="auto"/>
      </w:pPr>
      <w:r>
        <w:rPr>
          <w:rFonts w:hint="eastAsia"/>
          <w:b/>
          <w:bCs/>
        </w:rPr>
        <w:t>（六）验收方式：</w:t>
      </w:r>
      <w:r>
        <w:rPr>
          <w:rFonts w:hint="eastAsia"/>
        </w:rPr>
        <w:t>根据招标文件与合同要求本项目进行验收并签署验收报告。</w:t>
      </w:r>
    </w:p>
    <w:p>
      <w:pPr>
        <w:spacing w:line="360" w:lineRule="auto"/>
        <w:rPr>
          <w:b/>
          <w:bCs/>
          <w:highlight w:val="yellow"/>
        </w:rPr>
      </w:pPr>
      <w:r>
        <w:rPr>
          <w:rFonts w:hint="eastAsia"/>
          <w:highlight w:val="yellow"/>
        </w:rPr>
        <w:t>★</w:t>
      </w:r>
      <w:r>
        <w:rPr>
          <w:rFonts w:hint="eastAsia"/>
          <w:b/>
          <w:bCs/>
          <w:highlight w:val="yellow"/>
        </w:rPr>
        <w:t>（七）质保期：本项目质保期为一年，时间自最终验收合格并交付使用之日起计算。质保期满后每年按合同总价的10%收取维护费。</w:t>
      </w:r>
    </w:p>
    <w:p>
      <w:pPr>
        <w:spacing w:line="360" w:lineRule="auto"/>
        <w:rPr>
          <w:b/>
          <w:bCs/>
        </w:rPr>
      </w:pPr>
      <w:r>
        <w:rPr>
          <w:rFonts w:hint="eastAsia"/>
          <w:b/>
          <w:bCs/>
        </w:rPr>
        <w:t>（八）售后服务要求：</w:t>
      </w:r>
    </w:p>
    <w:p>
      <w:pPr>
        <w:spacing w:line="360" w:lineRule="auto"/>
      </w:pPr>
      <w:r>
        <w:rPr>
          <w:rFonts w:hint="eastAsia"/>
        </w:rPr>
        <w:t>1、中标人应派专业技术人员免费对采购单位指定人员进行定期培训及指导，直至其完全掌握设备的基本故障处理技术。</w:t>
      </w:r>
    </w:p>
    <w:p>
      <w:pPr>
        <w:spacing w:line="360" w:lineRule="auto"/>
      </w:pPr>
      <w:r>
        <w:rPr>
          <w:rFonts w:hint="eastAsia"/>
        </w:rPr>
        <w:t>2、投标人须提供售后服务，8小时内响应，24小时维修到位（不可抗力情况除外）。</w:t>
      </w:r>
    </w:p>
    <w:p>
      <w:pPr>
        <w:spacing w:line="360" w:lineRule="auto"/>
      </w:pPr>
      <w:r>
        <w:rPr>
          <w:rFonts w:hint="eastAsia"/>
        </w:rPr>
        <w:t>3、质保期内免费更换零配件、免工时费。</w:t>
      </w:r>
    </w:p>
    <w:p>
      <w:pPr>
        <w:spacing w:line="360" w:lineRule="auto"/>
      </w:pPr>
      <w:r>
        <w:rPr>
          <w:rFonts w:hint="eastAsia"/>
          <w:b/>
          <w:bCs/>
        </w:rPr>
        <w:t>（九）</w:t>
      </w:r>
      <w:r>
        <w:rPr>
          <w:b/>
          <w:bCs/>
        </w:rPr>
        <w:t>违约情况：</w:t>
      </w:r>
      <w:r>
        <w:rPr>
          <w:b/>
          <w:bCs/>
        </w:rPr>
        <w:br w:type="textWrapping"/>
      </w:r>
      <w:r>
        <w:rPr>
          <w:rFonts w:hint="eastAsia"/>
        </w:rPr>
        <w:t>中标人未在约定期限内完成项目内容并提交成果的，按照合同总金额1</w:t>
      </w:r>
      <w:r>
        <w:t>%</w:t>
      </w:r>
      <w:r>
        <w:rPr>
          <w:rFonts w:hint="eastAsia"/>
        </w:rPr>
        <w:t>每日的标准向采购人支付违约金。延迟超过3</w:t>
      </w:r>
      <w:r>
        <w:t>0</w:t>
      </w:r>
      <w:r>
        <w:rPr>
          <w:rFonts w:hint="eastAsia"/>
        </w:rPr>
        <w:t>个</w:t>
      </w:r>
      <w:r>
        <w:t>日历</w:t>
      </w:r>
      <w:r>
        <w:rPr>
          <w:rFonts w:hint="eastAsia"/>
        </w:rPr>
        <w:t>日的，采购人有权解除合同并根据《深圳经济特区政府采购条例》第五十七条第（二）款规定，由主管部门对中标人进行处罚。</w:t>
      </w:r>
    </w:p>
    <w:p>
      <w:pPr>
        <w:spacing w:line="360" w:lineRule="auto"/>
        <w:rPr>
          <w:b/>
          <w:bCs/>
        </w:rPr>
      </w:pPr>
      <w:r>
        <w:rPr>
          <w:rFonts w:hint="eastAsia"/>
          <w:b/>
          <w:bCs/>
          <w:highlight w:val="yellow"/>
        </w:rPr>
        <w:t>★（十）其他要求：投标人免费提供系统接口与采购人相关的信息系统相互兼容，完成数据完整对接，同时系统均能平稳正常运行。</w:t>
      </w:r>
    </w:p>
    <w:p/>
    <w:p>
      <w:pPr>
        <w:widowControl/>
        <w:jc w:val="left"/>
      </w:pPr>
    </w:p>
    <w:p>
      <w:pPr>
        <w:widowControl/>
        <w:jc w:val="left"/>
      </w:pPr>
      <w:r>
        <w:br w:type="page"/>
      </w:r>
    </w:p>
    <w:p>
      <w:pPr>
        <w:pStyle w:val="2"/>
      </w:pPr>
      <w:bookmarkStart w:id="5" w:name="_Toc73610140"/>
    </w:p>
    <w:p>
      <w:pPr>
        <w:pStyle w:val="2"/>
      </w:pPr>
      <w:r>
        <w:rPr>
          <w:rFonts w:hint="eastAsia"/>
        </w:rPr>
        <w:t>第三章  投标文件初审</w:t>
      </w:r>
      <w:bookmarkEnd w:id="5"/>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3、未按招标文件要求提供法定代表人证明书和法定代表人授权委托证明书。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6、投标报价有严重缺漏项的。</w:t>
      </w:r>
    </w:p>
    <w:p>
      <w:pPr>
        <w:adjustRightInd w:val="0"/>
        <w:spacing w:line="360" w:lineRule="auto"/>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13、法律法规规定的其它情形。</w:t>
      </w:r>
    </w:p>
    <w:p/>
    <w:p/>
    <w:p/>
    <w:p/>
    <w:p>
      <w:pPr>
        <w:widowControl/>
        <w:jc w:val="left"/>
      </w:pPr>
      <w:r>
        <w:br w:type="page"/>
      </w:r>
    </w:p>
    <w:p/>
    <w:p>
      <w:pPr>
        <w:pStyle w:val="2"/>
        <w:spacing w:after="312" w:afterLines="100"/>
      </w:pPr>
      <w:bookmarkStart w:id="6" w:name="_Toc73610141"/>
      <w:r>
        <w:rPr>
          <w:rFonts w:hint="eastAsia"/>
        </w:rPr>
        <w:t>第四章  评标方法和标准</w:t>
      </w:r>
      <w:bookmarkEnd w:id="6"/>
    </w:p>
    <w:p>
      <w:pPr>
        <w:pStyle w:val="4"/>
        <w:spacing w:before="0" w:after="0"/>
      </w:pPr>
      <w:bookmarkStart w:id="7" w:name="_Toc44690429"/>
      <w:bookmarkStart w:id="8" w:name="_Toc44691393"/>
      <w:bookmarkStart w:id="9" w:name="_Toc44690702"/>
      <w:bookmarkStart w:id="10" w:name="_Toc44691161"/>
      <w:bookmarkStart w:id="11" w:name="_Toc73610142"/>
      <w:r>
        <w:rPr>
          <w:rFonts w:hint="eastAsia"/>
        </w:rPr>
        <w:t>一、</w:t>
      </w:r>
      <w:r>
        <w:t>评标方法</w:t>
      </w:r>
      <w:bookmarkEnd w:id="7"/>
      <w:bookmarkEnd w:id="8"/>
      <w:bookmarkEnd w:id="9"/>
      <w:bookmarkEnd w:id="10"/>
      <w:bookmarkEnd w:id="11"/>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若评审得分相同，则按投标报价由低到高顺序排列；若评审得分及投标报价均相同，则按技术服务优劣顺序排列（即按技术部分得分由高到低顺序排列）；以上均相同的由评标委员会抽签决定排序。</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4"/>
        <w:spacing w:before="0" w:after="0"/>
      </w:pPr>
      <w:bookmarkStart w:id="12" w:name="_Toc73610143"/>
      <w:r>
        <w:rPr>
          <w:rFonts w:hint="eastAsia"/>
        </w:rPr>
        <w:t>二、评标标准</w:t>
      </w:r>
      <w:bookmarkEnd w:id="12"/>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评标委员会按照以下量化的评审因素，对各投标文件进行分析和比较：</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53"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pStyle w:val="45"/>
              <w:spacing w:before="0" w:beforeAutospacing="0" w:after="0" w:afterAutospacing="0" w:line="360" w:lineRule="exact"/>
              <w:ind w:left="420" w:hanging="420"/>
              <w:rPr>
                <w:rFonts w:cs="仿宋"/>
                <w:b/>
                <w:bCs/>
                <w:sz w:val="21"/>
                <w:szCs w:val="21"/>
              </w:rPr>
            </w:pPr>
            <w:r>
              <w:rPr>
                <w:rFonts w:hint="eastAsia" w:cs="仿宋" w:asciiTheme="minorEastAsia" w:hAnsiTheme="minorEastAsia" w:eastAsiaTheme="minorEastAsia"/>
                <w:kern w:val="2"/>
                <w:sz w:val="21"/>
                <w:szCs w:val="21"/>
              </w:rPr>
              <w:t>价格分采用低价优先法计算，计算公式如下：</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投标报价得分 = Z/Sn ×30</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当价格分＜0时，取0。 </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其中：</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Z </w:t>
            </w:r>
            <w:r>
              <w:rPr>
                <w:rFonts w:hint="eastAsia" w:cs="仿宋" w:asciiTheme="minorEastAsia" w:hAnsiTheme="minorEastAsia" w:eastAsiaTheme="minorEastAsia"/>
                <w:sz w:val="21"/>
                <w:szCs w:val="21"/>
              </w:rPr>
              <w:t>----</w:t>
            </w:r>
            <w:r>
              <w:rPr>
                <w:rFonts w:hint="eastAsia" w:cs="仿宋" w:asciiTheme="minorEastAsia" w:hAnsiTheme="minorEastAsia" w:eastAsiaTheme="minorEastAsia"/>
                <w:kern w:val="2"/>
                <w:sz w:val="21"/>
                <w:szCs w:val="21"/>
              </w:rPr>
              <w:t>评标基准价，即通过资格性审查和符合性审查且投标价格最低的投标报价。</w:t>
            </w:r>
          </w:p>
          <w:p>
            <w:pPr>
              <w:autoSpaceDE w:val="0"/>
              <w:autoSpaceDN w:val="0"/>
              <w:adjustRightInd w:val="0"/>
              <w:spacing w:line="3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Sn ---投标报价，即通过资格性审查和符合性审查的投标报价。</w:t>
            </w:r>
          </w:p>
          <w:p>
            <w:pPr>
              <w:autoSpaceDE w:val="0"/>
              <w:autoSpaceDN w:val="0"/>
              <w:adjustRightInd w:val="0"/>
              <w:spacing w:line="360" w:lineRule="exact"/>
              <w:jc w:val="left"/>
              <w:rPr>
                <w:rFonts w:ascii="宋体" w:hAnsi="宋体"/>
                <w:b/>
                <w:bCs/>
                <w:snapToGrid w:val="0"/>
                <w:kern w:val="0"/>
              </w:rPr>
            </w:pPr>
            <w:r>
              <w:rPr>
                <w:rFonts w:hint="eastAsia" w:ascii="宋体" w:hAnsi="宋体"/>
                <w:b/>
                <w:snapToGrid w:val="0"/>
                <w:kern w:val="0"/>
                <w:szCs w:val="21"/>
              </w:rPr>
              <w:t>注：对于符合 “</w:t>
            </w:r>
            <w:r>
              <w:rPr>
                <w:rFonts w:hint="eastAsia" w:ascii="宋体" w:hAnsi="宋体"/>
                <w:b/>
                <w:snapToGrid w:val="0"/>
                <w:kern w:val="0"/>
              </w:rPr>
              <w:t>政府采购优惠政策</w:t>
            </w:r>
            <w:r>
              <w:rPr>
                <w:rFonts w:hint="eastAsia" w:ascii="宋体" w:hAnsi="宋体"/>
                <w:b/>
                <w:bCs/>
                <w:snapToGrid w:val="0"/>
                <w:kern w:val="0"/>
              </w:rPr>
              <w:t>”的小微企业、监狱企业和残疾人福利性单位，以调整后的价格计算评标基准价和投标报价。</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54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04"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exact"/>
              <w:jc w:val="center"/>
              <w:rPr>
                <w:rFonts w:ascii="宋体" w:hAnsi="宋体" w:cs="仿宋"/>
                <w:kern w:val="0"/>
                <w:szCs w:val="21"/>
              </w:rPr>
            </w:pPr>
            <w:r>
              <w:rPr>
                <w:rFonts w:hint="eastAsia" w:ascii="宋体" w:hAnsi="宋体" w:cs="宋体"/>
                <w:kern w:val="0"/>
                <w:szCs w:val="21"/>
              </w:rPr>
              <w:t>技术规格偏离情况</w:t>
            </w:r>
          </w:p>
        </w:tc>
        <w:tc>
          <w:tcPr>
            <w:tcW w:w="709" w:type="dxa"/>
            <w:vAlign w:val="center"/>
          </w:tcPr>
          <w:p>
            <w:pPr>
              <w:widowControl/>
              <w:spacing w:line="360" w:lineRule="exact"/>
              <w:jc w:val="center"/>
              <w:rPr>
                <w:rFonts w:ascii="宋体" w:hAnsi="宋体" w:cs="仿宋"/>
                <w:kern w:val="0"/>
                <w:szCs w:val="21"/>
              </w:rPr>
            </w:pPr>
            <w:r>
              <w:rPr>
                <w:rFonts w:hint="eastAsia" w:ascii="宋体" w:hAnsi="宋体" w:cs="仿宋"/>
                <w:kern w:val="0"/>
                <w:szCs w:val="21"/>
              </w:rPr>
              <w:t>30</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宋体" w:hAnsi="宋体" w:cs="仿宋"/>
                <w:szCs w:val="21"/>
              </w:rPr>
            </w:pPr>
            <w:r>
              <w:rPr>
                <w:rFonts w:hint="eastAsia" w:ascii="宋体" w:hAnsi="宋体" w:cs="仿宋"/>
                <w:szCs w:val="21"/>
              </w:rPr>
              <w:t>投标人应如实填写《技术规格偏离表》，各项技术参数指标及要求全部满足的得 30分；每负偏离一项扣3分，</w:t>
            </w:r>
            <w:r>
              <w:rPr>
                <w:rFonts w:hint="eastAsia" w:ascii="宋体" w:hAnsi="宋体"/>
                <w:bCs/>
                <w:szCs w:val="21"/>
              </w:rPr>
              <w:t>最低0分</w:t>
            </w:r>
            <w:r>
              <w:rPr>
                <w:rFonts w:hint="eastAsia" w:ascii="宋体" w:hAnsi="宋体" w:cs="仿宋"/>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spacing w:line="360" w:lineRule="exact"/>
              <w:jc w:val="left"/>
              <w:rPr>
                <w:rFonts w:ascii="宋体" w:hAnsi="宋体" w:cs="仿宋"/>
                <w:szCs w:val="21"/>
              </w:rPr>
            </w:pPr>
            <w:r>
              <w:rPr>
                <w:rFonts w:hint="eastAsia" w:ascii="宋体" w:hAnsi="宋体"/>
                <w:bCs/>
                <w:szCs w:val="21"/>
              </w:rPr>
              <w:t>以投标文件《技术</w:t>
            </w:r>
            <w:r>
              <w:rPr>
                <w:rFonts w:hint="eastAsia" w:ascii="宋体" w:hAnsi="宋体" w:cs="仿宋"/>
                <w:szCs w:val="21"/>
              </w:rPr>
              <w:t>规格</w:t>
            </w:r>
            <w:r>
              <w:rPr>
                <w:rFonts w:hint="eastAsia" w:ascii="宋体" w:hAnsi="宋体"/>
                <w:bCs/>
                <w:szCs w:val="21"/>
              </w:rPr>
              <w:t>偏离表》为评分依据，投标人</w:t>
            </w:r>
            <w:r>
              <w:rPr>
                <w:rFonts w:hint="eastAsia" w:ascii="宋体" w:hAnsi="宋体" w:cs="仿宋"/>
                <w:szCs w:val="21"/>
              </w:rPr>
              <w:t>按招标文件要求提供相应的证明材料复印件或扫描件加盖投标人公章（原件备查），并注明证明材料在投标文件中的具体位置。未提供有效证明材料或未注明证明材料在投标文件中的具体位置或提供的证明资料显示不符合招标文件要求、模糊不清无法判断或未显示是否满足招标文件参数的，该项技术指标按负偏离处理。</w:t>
            </w:r>
            <w:r>
              <w:rPr>
                <w:rFonts w:hint="eastAsia" w:ascii="宋体" w:hAnsi="宋体"/>
                <w:szCs w:val="21"/>
              </w:rPr>
              <w:t>对于不同货物的技术要求中的相同项不满足时按一项不满足进行扣分，不对某一项技术要求重复扣分。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62"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spacing w:line="360" w:lineRule="exact"/>
              <w:jc w:val="center"/>
              <w:rPr>
                <w:rFonts w:ascii="宋体" w:hAnsi="宋体" w:cs="仿宋"/>
                <w:szCs w:val="21"/>
              </w:rPr>
            </w:pPr>
            <w:r>
              <w:rPr>
                <w:rFonts w:hint="eastAsia" w:ascii="宋体" w:hAnsi="宋体" w:cs="宋体"/>
                <w:kern w:val="0"/>
                <w:szCs w:val="21"/>
              </w:rPr>
              <w:t>技术保障措施</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12</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宋体" w:hAnsi="宋体" w:cs="仿宋"/>
                <w:szCs w:val="21"/>
              </w:rPr>
            </w:pPr>
            <w:r>
              <w:rPr>
                <w:rFonts w:hint="eastAsia" w:ascii="宋体" w:hAnsi="宋体" w:cs="仿宋"/>
                <w:szCs w:val="21"/>
              </w:rPr>
              <w:t>投标人</w:t>
            </w:r>
            <w:r>
              <w:rPr>
                <w:rFonts w:ascii="宋体" w:hAnsi="宋体" w:cs="仿宋"/>
                <w:szCs w:val="21"/>
              </w:rPr>
              <w:t>在投标文件中详细说明</w:t>
            </w:r>
            <w:r>
              <w:rPr>
                <w:rFonts w:hint="eastAsia" w:ascii="宋体" w:hAnsi="宋体" w:cs="仿宋"/>
                <w:szCs w:val="21"/>
              </w:rPr>
              <w:t>技术</w:t>
            </w:r>
            <w:r>
              <w:rPr>
                <w:rFonts w:ascii="宋体" w:hAnsi="宋体" w:cs="仿宋"/>
                <w:szCs w:val="21"/>
              </w:rPr>
              <w:t>保障措施（</w:t>
            </w:r>
            <w:r>
              <w:rPr>
                <w:rFonts w:hint="eastAsia" w:ascii="宋体" w:hAnsi="宋体" w:cs="宋体"/>
                <w:szCs w:val="21"/>
              </w:rPr>
              <w:t>包括但不限于技术团队和技术方案</w:t>
            </w:r>
            <w:r>
              <w:rPr>
                <w:rFonts w:ascii="宋体" w:hAnsi="宋体" w:cs="仿宋"/>
                <w:szCs w:val="21"/>
              </w:rPr>
              <w:t>）</w:t>
            </w:r>
            <w:r>
              <w:rPr>
                <w:rFonts w:hint="eastAsia" w:ascii="宋体" w:hAnsi="宋体" w:cs="仿宋"/>
                <w:szCs w:val="21"/>
              </w:rPr>
              <w:t>，根据响应情况进行评审：</w:t>
            </w:r>
          </w:p>
          <w:p>
            <w:pPr>
              <w:spacing w:line="360" w:lineRule="exact"/>
              <w:jc w:val="left"/>
              <w:rPr>
                <w:rFonts w:ascii="宋体" w:hAnsi="宋体" w:cs="仿宋"/>
                <w:szCs w:val="21"/>
              </w:rPr>
            </w:pPr>
            <w:r>
              <w:rPr>
                <w:rFonts w:hint="eastAsia" w:ascii="宋体" w:hAnsi="宋体" w:cs="仿宋"/>
                <w:szCs w:val="21"/>
              </w:rPr>
              <w:t>（1）技术方案科学、严谨，</w:t>
            </w:r>
            <w:r>
              <w:rPr>
                <w:rFonts w:hint="eastAsia" w:ascii="宋体" w:hAnsi="宋体"/>
                <w:szCs w:val="21"/>
              </w:rPr>
              <w:t>能有效把控产品质量</w:t>
            </w:r>
            <w:r>
              <w:rPr>
                <w:rFonts w:hint="eastAsia" w:ascii="宋体" w:hAnsi="宋体" w:cs="仿宋"/>
                <w:szCs w:val="21"/>
              </w:rPr>
              <w:t>；</w:t>
            </w:r>
          </w:p>
          <w:p>
            <w:pPr>
              <w:spacing w:line="360" w:lineRule="exact"/>
              <w:jc w:val="left"/>
              <w:rPr>
                <w:rFonts w:ascii="宋体" w:hAnsi="宋体" w:cs="仿宋"/>
                <w:szCs w:val="21"/>
              </w:rPr>
            </w:pPr>
            <w:r>
              <w:rPr>
                <w:rFonts w:hint="eastAsia" w:ascii="宋体" w:hAnsi="宋体" w:cs="仿宋"/>
                <w:szCs w:val="21"/>
              </w:rPr>
              <w:t>（2）</w:t>
            </w:r>
            <w:r>
              <w:rPr>
                <w:rFonts w:hint="eastAsia" w:ascii="宋体" w:hAnsi="宋体" w:cs="宋体"/>
                <w:color w:val="000000" w:themeColor="text1"/>
                <w:szCs w:val="21"/>
              </w:rPr>
              <w:t>产品生产规范，符合国家及相关行业要求</w:t>
            </w:r>
            <w:r>
              <w:rPr>
                <w:rFonts w:hint="eastAsia" w:ascii="宋体" w:hAnsi="宋体" w:cs="仿宋"/>
                <w:szCs w:val="21"/>
              </w:rPr>
              <w:t>；</w:t>
            </w:r>
          </w:p>
          <w:p>
            <w:pPr>
              <w:spacing w:line="360" w:lineRule="exact"/>
              <w:jc w:val="left"/>
              <w:rPr>
                <w:rFonts w:ascii="宋体" w:hAnsi="宋体" w:cs="仿宋"/>
                <w:szCs w:val="21"/>
              </w:rPr>
            </w:pPr>
            <w:r>
              <w:rPr>
                <w:rFonts w:hint="eastAsia" w:ascii="宋体" w:hAnsi="宋体" w:cs="仿宋"/>
                <w:szCs w:val="21"/>
              </w:rPr>
              <w:t>（3）</w:t>
            </w:r>
            <w:r>
              <w:rPr>
                <w:rFonts w:hint="eastAsia" w:ascii="宋体" w:hAnsi="宋体" w:cs="宋体"/>
                <w:color w:val="000000" w:themeColor="text1"/>
                <w:szCs w:val="21"/>
              </w:rPr>
              <w:t>生产及供货进度计划详细、可实施性强</w:t>
            </w:r>
            <w:r>
              <w:rPr>
                <w:rFonts w:hint="eastAsia" w:ascii="宋体" w:hAnsi="宋体" w:cs="仿宋"/>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（二）评分标准：</w:t>
            </w:r>
          </w:p>
          <w:p>
            <w:pPr>
              <w:spacing w:line="360" w:lineRule="exact"/>
              <w:jc w:val="left"/>
              <w:rPr>
                <w:rFonts w:ascii="宋体" w:hAnsi="宋体" w:cs="仿宋"/>
                <w:szCs w:val="21"/>
              </w:rPr>
            </w:pPr>
            <w:r>
              <w:rPr>
                <w:rFonts w:hint="eastAsia" w:ascii="宋体" w:hAnsi="宋体" w:cs="仿宋"/>
                <w:szCs w:val="21"/>
              </w:rPr>
              <w:t>满足以上三项要求得12分，满足以上两项要求得9分，满足以上一项要求得6分，其它情况不得分。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73" w:hRule="atLeast"/>
          <w:jc w:val="center"/>
        </w:trPr>
        <w:tc>
          <w:tcPr>
            <w:tcW w:w="754" w:type="dxa"/>
            <w:vAlign w:val="center"/>
          </w:tcPr>
          <w:p>
            <w:pPr>
              <w:widowControl/>
              <w:snapToGrid w:val="0"/>
              <w:spacing w:line="360" w:lineRule="exact"/>
              <w:jc w:val="center"/>
              <w:rPr>
                <w:rFonts w:ascii="宋体" w:hAnsi="宋体"/>
                <w:kern w:val="0"/>
                <w:szCs w:val="21"/>
              </w:rPr>
            </w:pPr>
            <w:r>
              <w:rPr>
                <w:rFonts w:hint="eastAsia" w:ascii="宋体" w:hAnsi="宋体"/>
                <w:kern w:val="0"/>
                <w:szCs w:val="21"/>
              </w:rPr>
              <w:t>3</w:t>
            </w:r>
          </w:p>
        </w:tc>
        <w:tc>
          <w:tcPr>
            <w:tcW w:w="1143" w:type="dxa"/>
            <w:vAlign w:val="center"/>
          </w:tcPr>
          <w:p>
            <w:pPr>
              <w:widowControl/>
              <w:spacing w:line="360" w:lineRule="exact"/>
              <w:jc w:val="center"/>
              <w:rPr>
                <w:rFonts w:ascii="宋体" w:hAnsi="宋体" w:cs="宋体"/>
                <w:szCs w:val="21"/>
              </w:rPr>
            </w:pPr>
            <w:r>
              <w:rPr>
                <w:rFonts w:hint="eastAsia"/>
              </w:rPr>
              <w:t>售后服务方案</w:t>
            </w:r>
          </w:p>
        </w:tc>
        <w:tc>
          <w:tcPr>
            <w:tcW w:w="709"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12</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widowControl/>
              <w:spacing w:line="360" w:lineRule="exact"/>
              <w:rPr>
                <w:rFonts w:ascii="宋体" w:hAnsi="宋体" w:cs="仿宋"/>
                <w:szCs w:val="21"/>
              </w:rPr>
            </w:pPr>
            <w:r>
              <w:rPr>
                <w:rFonts w:hint="eastAsia" w:ascii="宋体" w:hAnsi="宋体" w:cs="仿宋"/>
                <w:szCs w:val="21"/>
              </w:rPr>
              <w:t>投标人根据本项目的需求制定</w:t>
            </w:r>
            <w:r>
              <w:rPr>
                <w:rFonts w:hint="eastAsia"/>
              </w:rPr>
              <w:t>售后服务方案</w:t>
            </w:r>
            <w:r>
              <w:rPr>
                <w:rFonts w:hint="eastAsia" w:ascii="宋体" w:hAnsi="宋体" w:cs="仿宋"/>
                <w:szCs w:val="21"/>
              </w:rPr>
              <w:t>（包括但不限于售后服务机构及维护人员配置、技术培训方案、故障响应时间及</w:t>
            </w:r>
            <w:r>
              <w:rPr>
                <w:rFonts w:hint="eastAsia" w:ascii="宋体" w:hAnsi="宋体"/>
                <w:szCs w:val="21"/>
              </w:rPr>
              <w:t>备品备件</w:t>
            </w:r>
            <w:r>
              <w:rPr>
                <w:rFonts w:hint="eastAsia" w:ascii="宋体" w:hAnsi="宋体"/>
              </w:rPr>
              <w:t>支持计划</w:t>
            </w:r>
            <w:r>
              <w:rPr>
                <w:rFonts w:hint="eastAsia" w:ascii="宋体" w:hAnsi="宋体" w:cs="仿宋"/>
                <w:szCs w:val="21"/>
              </w:rPr>
              <w:t>），根据响应情况进行评审：</w:t>
            </w:r>
          </w:p>
          <w:p>
            <w:pPr>
              <w:widowControl/>
              <w:spacing w:line="360" w:lineRule="exact"/>
              <w:rPr>
                <w:rFonts w:ascii="宋体" w:hAnsi="宋体" w:cs="仿宋"/>
                <w:szCs w:val="21"/>
              </w:rPr>
            </w:pPr>
            <w:r>
              <w:rPr>
                <w:rFonts w:hint="eastAsia" w:ascii="宋体" w:hAnsi="宋体" w:cs="仿宋"/>
                <w:szCs w:val="21"/>
              </w:rPr>
              <w:t>（1）</w:t>
            </w:r>
            <w:r>
              <w:rPr>
                <w:rFonts w:hint="eastAsia"/>
              </w:rPr>
              <w:t>售后</w:t>
            </w:r>
            <w:r>
              <w:rPr>
                <w:rFonts w:hint="eastAsia" w:ascii="宋体" w:hAnsi="宋体" w:cs="仿宋"/>
                <w:szCs w:val="21"/>
              </w:rPr>
              <w:t>服务机构及维护人员配置合理；</w:t>
            </w:r>
          </w:p>
          <w:p>
            <w:pPr>
              <w:widowControl/>
              <w:spacing w:line="360" w:lineRule="exact"/>
              <w:rPr>
                <w:rFonts w:ascii="宋体" w:hAnsi="宋体" w:cs="仿宋"/>
                <w:szCs w:val="21"/>
              </w:rPr>
            </w:pPr>
            <w:r>
              <w:rPr>
                <w:rFonts w:hint="eastAsia" w:ascii="宋体" w:hAnsi="宋体" w:cs="仿宋"/>
                <w:szCs w:val="21"/>
              </w:rPr>
              <w:t>（2）</w:t>
            </w:r>
            <w:r>
              <w:rPr>
                <w:rFonts w:hint="eastAsia"/>
              </w:rPr>
              <w:t>故障响应时间满足项目</w:t>
            </w:r>
            <w:r>
              <w:rPr>
                <w:rFonts w:hint="eastAsia" w:ascii="宋体" w:hAnsi="宋体" w:cs="仿宋"/>
                <w:szCs w:val="21"/>
              </w:rPr>
              <w:t>需求；</w:t>
            </w:r>
          </w:p>
          <w:p>
            <w:pPr>
              <w:widowControl/>
              <w:spacing w:line="360" w:lineRule="exact"/>
              <w:rPr>
                <w:rFonts w:ascii="宋体" w:hAnsi="宋体" w:cs="仿宋"/>
                <w:szCs w:val="21"/>
              </w:rPr>
            </w:pPr>
            <w:r>
              <w:rPr>
                <w:rFonts w:hint="eastAsia" w:ascii="宋体" w:hAnsi="宋体" w:cs="仿宋"/>
                <w:szCs w:val="21"/>
              </w:rPr>
              <w:t>（3）技术培训及</w:t>
            </w:r>
            <w:r>
              <w:rPr>
                <w:rFonts w:hint="eastAsia" w:ascii="宋体" w:hAnsi="宋体"/>
                <w:szCs w:val="21"/>
              </w:rPr>
              <w:t>备品备件</w:t>
            </w:r>
            <w:r>
              <w:rPr>
                <w:rFonts w:hint="eastAsia" w:ascii="宋体" w:hAnsi="宋体"/>
              </w:rPr>
              <w:t>支持计划内容具体，可行性高</w:t>
            </w:r>
            <w:r>
              <w:rPr>
                <w:rFonts w:hint="eastAsia" w:ascii="宋体" w:hAnsi="宋体" w:cs="仿宋"/>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（二）评分标准：</w:t>
            </w:r>
          </w:p>
          <w:p>
            <w:pPr>
              <w:pStyle w:val="94"/>
              <w:spacing w:line="360" w:lineRule="exact"/>
              <w:ind w:firstLine="0" w:firstLineChars="0"/>
              <w:rPr>
                <w:rFonts w:ascii="宋体" w:hAnsi="宋体"/>
                <w:szCs w:val="21"/>
              </w:rPr>
            </w:pPr>
            <w:r>
              <w:rPr>
                <w:rFonts w:hint="eastAsia" w:ascii="宋体" w:hAnsi="宋体" w:cs="仿宋"/>
                <w:szCs w:val="21"/>
              </w:rPr>
              <w:t>满足以上三项要求得12分，满足以上两项要求得9分，满足以上一项要求得6分，其它情况不得分。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16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55"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1</w:t>
            </w:r>
          </w:p>
        </w:tc>
        <w:tc>
          <w:tcPr>
            <w:tcW w:w="1143" w:type="dxa"/>
            <w:vAlign w:val="center"/>
          </w:tcPr>
          <w:p>
            <w:pPr>
              <w:spacing w:line="360" w:lineRule="exact"/>
              <w:jc w:val="center"/>
              <w:rPr>
                <w:rFonts w:ascii="宋体" w:hAnsi="宋体" w:cs="仿宋"/>
                <w:szCs w:val="21"/>
              </w:rPr>
            </w:pPr>
            <w:r>
              <w:rPr>
                <w:rFonts w:hint="eastAsia" w:ascii="宋体" w:hAnsi="宋体" w:cs="宋体"/>
                <w:color w:val="000000"/>
                <w:kern w:val="0"/>
                <w:szCs w:val="21"/>
              </w:rPr>
              <w:t>同类项目业绩情况</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2</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widowControl/>
              <w:spacing w:line="360" w:lineRule="exact"/>
              <w:rPr>
                <w:rFonts w:ascii="宋体" w:hAnsi="宋体" w:cs="仿宋"/>
                <w:szCs w:val="21"/>
              </w:rPr>
            </w:pPr>
            <w:r>
              <w:rPr>
                <w:rFonts w:hint="eastAsia" w:ascii="宋体" w:hAnsi="宋体" w:cs="宋体"/>
                <w:szCs w:val="21"/>
              </w:rPr>
              <w:t>2018年1月1日至本项目投标截止日（以合同签订日期为准），投标人</w:t>
            </w:r>
            <w:r>
              <w:rPr>
                <w:rFonts w:hint="eastAsia" w:ascii="宋体" w:hAnsi="宋体" w:cs="仿宋"/>
                <w:szCs w:val="21"/>
              </w:rPr>
              <w:t>具有同类项目业绩的，每提供1个项目得1分，最高得2分。</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djustRightInd w:val="0"/>
              <w:snapToGrid w:val="0"/>
              <w:spacing w:line="360" w:lineRule="exact"/>
              <w:rPr>
                <w:rFonts w:ascii="宋体" w:hAnsi="宋体"/>
                <w:szCs w:val="21"/>
              </w:rPr>
            </w:pPr>
            <w:r>
              <w:rPr>
                <w:rFonts w:hint="eastAsia" w:ascii="宋体" w:hAnsi="宋体" w:cs="仿宋"/>
                <w:szCs w:val="21"/>
              </w:rPr>
              <w:t>1.提供合同关键页（需</w:t>
            </w:r>
            <w:r>
              <w:rPr>
                <w:rFonts w:hint="eastAsia" w:asciiTheme="minorEastAsia" w:hAnsiTheme="minorEastAsia" w:eastAsiaTheme="minorEastAsia"/>
                <w:bCs/>
                <w:szCs w:val="21"/>
              </w:rPr>
              <w:t>体现签订日期</w:t>
            </w:r>
            <w:r>
              <w:rPr>
                <w:rFonts w:hint="eastAsia" w:ascii="宋体" w:hAnsi="宋体" w:cs="仿宋"/>
                <w:szCs w:val="21"/>
              </w:rPr>
              <w:t>）</w:t>
            </w:r>
            <w:r>
              <w:rPr>
                <w:rFonts w:hint="eastAsia" w:asciiTheme="minorEastAsia" w:hAnsiTheme="minorEastAsia" w:eastAsiaTheme="minorEastAsia"/>
                <w:bCs/>
                <w:szCs w:val="21"/>
              </w:rPr>
              <w:t>且各项信息不得有任何遮挡</w:t>
            </w:r>
            <w:r>
              <w:rPr>
                <w:rFonts w:hint="eastAsia" w:ascii="宋体" w:hAnsi="宋体"/>
                <w:szCs w:val="21"/>
              </w:rPr>
              <w:t>；</w:t>
            </w:r>
          </w:p>
          <w:p>
            <w:pPr>
              <w:widowControl/>
              <w:spacing w:line="360" w:lineRule="exact"/>
              <w:rPr>
                <w:rFonts w:ascii="宋体" w:hAnsi="宋体" w:cs="仿宋"/>
                <w:szCs w:val="21"/>
              </w:rPr>
            </w:pPr>
            <w:r>
              <w:rPr>
                <w:rFonts w:hint="eastAsia" w:ascii="宋体" w:hAnsi="宋体"/>
                <w:szCs w:val="21"/>
              </w:rPr>
              <w:t>2.</w:t>
            </w:r>
            <w:r>
              <w:rPr>
                <w:rFonts w:hint="eastAsia" w:ascii="宋体" w:hAnsi="宋体"/>
                <w:kern w:val="0"/>
                <w:szCs w:val="21"/>
              </w:rPr>
              <w:t xml:space="preserve"> 以上</w:t>
            </w:r>
            <w:r>
              <w:rPr>
                <w:rFonts w:hint="eastAsia" w:ascii="宋体" w:hAnsi="宋体"/>
                <w:szCs w:val="21"/>
              </w:rPr>
              <w:t>证明文件</w:t>
            </w:r>
            <w:r>
              <w:rPr>
                <w:rFonts w:hint="eastAsia" w:ascii="宋体" w:hAnsi="宋体"/>
                <w:kern w:val="0"/>
                <w:szCs w:val="21"/>
              </w:rPr>
              <w:t>均提供复印件或扫描件加盖投标人公章，原件备查。</w:t>
            </w:r>
            <w:r>
              <w:rPr>
                <w:rFonts w:hint="eastAsia" w:ascii="宋体" w:hAnsi="宋体"/>
                <w:szCs w:val="21"/>
              </w:rPr>
              <w:t>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355"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spacing w:line="360" w:lineRule="exact"/>
              <w:jc w:val="center"/>
              <w:rPr>
                <w:rFonts w:ascii="宋体" w:hAnsi="宋体" w:cs="仿宋"/>
                <w:szCs w:val="21"/>
              </w:rPr>
            </w:pPr>
            <w:r>
              <w:rPr>
                <w:rFonts w:hint="eastAsia" w:ascii="宋体" w:hAnsi="宋体" w:cs="宋体"/>
                <w:kern w:val="0"/>
                <w:szCs w:val="21"/>
              </w:rPr>
              <w:t>投标人资格情况及通过相关认证情况</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6</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投标人具有</w:t>
            </w:r>
            <w:r>
              <w:rPr>
                <w:rFonts w:hint="eastAsia" w:ascii="宋体" w:hAnsi="宋体"/>
                <w:bCs/>
                <w:szCs w:val="21"/>
              </w:rPr>
              <w:t>ISO9001</w:t>
            </w:r>
            <w:r>
              <w:rPr>
                <w:rFonts w:hint="eastAsia" w:ascii="宋体" w:hAnsi="宋体"/>
                <w:kern w:val="0"/>
                <w:szCs w:val="21"/>
              </w:rPr>
              <w:t>质量管理体系认证证书、</w:t>
            </w:r>
            <w:r>
              <w:rPr>
                <w:rFonts w:ascii="宋体" w:hAnsi="宋体"/>
                <w:kern w:val="0"/>
                <w:szCs w:val="21"/>
              </w:rPr>
              <w:t>ISO14001</w:t>
            </w:r>
            <w:r>
              <w:rPr>
                <w:rFonts w:hint="eastAsia" w:ascii="宋体" w:hAnsi="宋体"/>
                <w:kern w:val="0"/>
                <w:szCs w:val="21"/>
              </w:rPr>
              <w:t>环境管理体系认证证书、</w:t>
            </w:r>
            <w:r>
              <w:rPr>
                <w:rFonts w:ascii="宋体" w:hAnsi="宋体"/>
                <w:kern w:val="0"/>
                <w:szCs w:val="21"/>
              </w:rPr>
              <w:t>OHSAS18001</w:t>
            </w:r>
            <w:r>
              <w:rPr>
                <w:rFonts w:hint="eastAsia" w:ascii="宋体" w:hAnsi="宋体"/>
                <w:kern w:val="0"/>
                <w:szCs w:val="21"/>
              </w:rPr>
              <w:t>或ISO45001职业健康安全管理体系认证证书。每提供1个有效认证证书得2分，最高得6分。</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1.提供有效认证证书（如认证证书注明年审要求的，必须按规定年审且证书在有效期内的方为有效；如未注明年审要求的，证书必须在有效期内的方为有效）；</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2.提供证书官网或权威机构【如：全国认证认可信息公共服务平台（cx.cnca.cn）】认证信息查询截图（截图需显示证书状态为有效）。</w:t>
            </w:r>
            <w:r>
              <w:rPr>
                <w:rFonts w:hint="eastAsia" w:ascii="宋体" w:hAnsi="宋体" w:cs="仿宋"/>
                <w:szCs w:val="21"/>
                <w:lang w:val="zh-CN"/>
              </w:rPr>
              <w:t>相关证书在公开渠道无法查询的，投标人需提供颁发部门或者监管机构的证明材料，证明证书真实有效且为合法机构颁发；</w:t>
            </w:r>
          </w:p>
          <w:p>
            <w:pPr>
              <w:adjustRightInd w:val="0"/>
              <w:snapToGrid w:val="0"/>
              <w:spacing w:line="360" w:lineRule="exact"/>
              <w:rPr>
                <w:rFonts w:ascii="宋体" w:hAnsi="宋体" w:cs="仿宋"/>
                <w:szCs w:val="21"/>
              </w:rPr>
            </w:pPr>
            <w:r>
              <w:rPr>
                <w:rFonts w:hint="eastAsia" w:ascii="宋体" w:hAnsi="宋体"/>
                <w:kern w:val="0"/>
                <w:szCs w:val="21"/>
              </w:rPr>
              <w:t>3.</w:t>
            </w:r>
            <w:r>
              <w:rPr>
                <w:rFonts w:hint="eastAsia" w:ascii="宋体" w:hAnsi="宋体"/>
                <w:szCs w:val="21"/>
              </w:rPr>
              <w:t xml:space="preserve"> 以上证明文件均</w:t>
            </w:r>
            <w:r>
              <w:rPr>
                <w:rFonts w:hint="eastAsia" w:ascii="宋体" w:hAnsi="宋体"/>
                <w:kern w:val="0"/>
                <w:szCs w:val="21"/>
              </w:rPr>
              <w:t>提供复印件或扫描件（或官方网站截图）加盖投标人公章，原件备查。</w:t>
            </w:r>
            <w:r>
              <w:rPr>
                <w:rFonts w:hint="eastAsia" w:ascii="宋体" w:hAnsi="宋体" w:cs="仿宋"/>
                <w:szCs w:val="21"/>
                <w:lang w:val="zh-CN"/>
              </w:rPr>
              <w:t>对于未提供证明文件，未提供查询记录且无其他证明材料的，或者提供不清晰导致评委无法判断的，均作不得分处理。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22"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3</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服务网点</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3</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tabs>
                <w:tab w:val="left" w:pos="175"/>
              </w:tabs>
              <w:spacing w:line="360" w:lineRule="exact"/>
              <w:ind w:left="33"/>
              <w:jc w:val="left"/>
              <w:rPr>
                <w:rFonts w:ascii="宋体" w:hAnsi="宋体" w:cs="宋体"/>
                <w:bCs/>
                <w:kern w:val="0"/>
                <w:szCs w:val="21"/>
              </w:rPr>
            </w:pPr>
            <w:r>
              <w:rPr>
                <w:rFonts w:ascii="宋体" w:hAnsi="宋体" w:cs="宋体"/>
                <w:bCs/>
                <w:kern w:val="0"/>
                <w:szCs w:val="21"/>
              </w:rPr>
              <w:t>投标人为深圳供应商</w:t>
            </w:r>
            <w:r>
              <w:rPr>
                <w:rFonts w:hint="eastAsia" w:ascii="宋体" w:hAnsi="宋体" w:cs="宋体"/>
                <w:bCs/>
                <w:kern w:val="0"/>
                <w:szCs w:val="21"/>
              </w:rPr>
              <w:t>，</w:t>
            </w:r>
            <w:r>
              <w:rPr>
                <w:rFonts w:ascii="宋体" w:hAnsi="宋体" w:cs="宋体"/>
                <w:bCs/>
                <w:kern w:val="0"/>
                <w:szCs w:val="21"/>
              </w:rPr>
              <w:t>或非深圳供应商但在深圳市</w:t>
            </w:r>
            <w:r>
              <w:rPr>
                <w:rFonts w:hint="eastAsia" w:ascii="宋体" w:hAnsi="宋体" w:cs="宋体"/>
                <w:bCs/>
                <w:kern w:val="0"/>
                <w:szCs w:val="21"/>
              </w:rPr>
              <w:t>设</w:t>
            </w:r>
            <w:r>
              <w:rPr>
                <w:rFonts w:ascii="宋体" w:hAnsi="宋体" w:cs="宋体"/>
                <w:bCs/>
                <w:kern w:val="0"/>
                <w:szCs w:val="21"/>
              </w:rPr>
              <w:t>有合法注册的分公司或售后</w:t>
            </w:r>
            <w:r>
              <w:rPr>
                <w:rFonts w:hint="eastAsia" w:ascii="宋体" w:hAnsi="宋体" w:cs="宋体"/>
                <w:bCs/>
                <w:kern w:val="0"/>
                <w:szCs w:val="21"/>
              </w:rPr>
              <w:t>服务</w:t>
            </w:r>
            <w:r>
              <w:rPr>
                <w:rFonts w:ascii="宋体" w:hAnsi="宋体" w:cs="宋体"/>
                <w:bCs/>
                <w:kern w:val="0"/>
                <w:szCs w:val="21"/>
              </w:rPr>
              <w:t>机构</w:t>
            </w:r>
            <w:r>
              <w:rPr>
                <w:rFonts w:hint="eastAsia" w:ascii="宋体" w:hAnsi="宋体" w:cs="宋体"/>
                <w:bCs/>
                <w:kern w:val="0"/>
                <w:szCs w:val="21"/>
              </w:rPr>
              <w:t>的</w:t>
            </w:r>
            <w:r>
              <w:rPr>
                <w:rFonts w:ascii="宋体" w:hAnsi="宋体" w:cs="宋体"/>
                <w:bCs/>
                <w:kern w:val="0"/>
                <w:szCs w:val="21"/>
              </w:rPr>
              <w:t>，得</w:t>
            </w:r>
            <w:r>
              <w:rPr>
                <w:rFonts w:hint="eastAsia" w:ascii="宋体" w:hAnsi="宋体" w:cs="宋体"/>
                <w:bCs/>
                <w:kern w:val="0"/>
                <w:szCs w:val="21"/>
              </w:rPr>
              <w:t>3</w:t>
            </w:r>
            <w:r>
              <w:rPr>
                <w:rFonts w:ascii="宋体" w:hAnsi="宋体" w:cs="宋体"/>
                <w:bCs/>
                <w:kern w:val="0"/>
                <w:szCs w:val="21"/>
              </w:rPr>
              <w:t>分</w:t>
            </w:r>
            <w:r>
              <w:rPr>
                <w:rFonts w:hint="eastAsia" w:ascii="宋体" w:hAnsi="宋体" w:cs="宋体"/>
                <w:bCs/>
                <w:kern w:val="0"/>
                <w:szCs w:val="21"/>
              </w:rPr>
              <w:t>；投标人承诺中标后一个月内在深圳设立</w:t>
            </w:r>
            <w:r>
              <w:rPr>
                <w:rFonts w:ascii="宋体" w:hAnsi="宋体" w:cs="宋体"/>
                <w:bCs/>
                <w:kern w:val="0"/>
                <w:szCs w:val="21"/>
              </w:rPr>
              <w:t>分公司或售后</w:t>
            </w:r>
            <w:r>
              <w:rPr>
                <w:rFonts w:hint="eastAsia" w:ascii="宋体" w:hAnsi="宋体" w:cs="宋体"/>
                <w:bCs/>
                <w:kern w:val="0"/>
                <w:szCs w:val="21"/>
              </w:rPr>
              <w:t>服务</w:t>
            </w:r>
            <w:r>
              <w:rPr>
                <w:rFonts w:ascii="宋体" w:hAnsi="宋体" w:cs="宋体"/>
                <w:bCs/>
                <w:kern w:val="0"/>
                <w:szCs w:val="21"/>
              </w:rPr>
              <w:t>机构</w:t>
            </w:r>
            <w:r>
              <w:rPr>
                <w:rFonts w:hint="eastAsia" w:ascii="宋体" w:hAnsi="宋体" w:cs="宋体"/>
                <w:bCs/>
                <w:kern w:val="0"/>
                <w:szCs w:val="21"/>
              </w:rPr>
              <w:t>的，得1分，其他情况不得分。</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tabs>
                <w:tab w:val="left" w:pos="175"/>
              </w:tabs>
              <w:spacing w:line="360" w:lineRule="exact"/>
              <w:ind w:left="33"/>
              <w:jc w:val="left"/>
              <w:rPr>
                <w:rFonts w:asciiTheme="minorEastAsia" w:hAnsiTheme="minorEastAsia" w:eastAsiaTheme="minorEastAsia"/>
                <w:szCs w:val="21"/>
              </w:rPr>
            </w:pPr>
            <w:r>
              <w:rPr>
                <w:rFonts w:hint="eastAsia" w:asciiTheme="minorEastAsia" w:hAnsiTheme="minorEastAsia" w:eastAsiaTheme="minorEastAsia"/>
                <w:szCs w:val="21"/>
              </w:rPr>
              <w:t>1. 提供投标人营业执照，如为分公司的需提供分公司营业执照，如为售后服务机构的需同时提供售后服务合作合同及售后服务机构营业执照，分公司及售后服务机构还需提供服务场所证明（自有场地房产证明或房屋租赁合同）；</w:t>
            </w:r>
          </w:p>
          <w:p>
            <w:pPr>
              <w:tabs>
                <w:tab w:val="left" w:pos="175"/>
              </w:tabs>
              <w:spacing w:line="360" w:lineRule="exact"/>
              <w:ind w:left="33"/>
              <w:jc w:val="left"/>
              <w:rPr>
                <w:rFonts w:asciiTheme="minorEastAsia" w:hAnsiTheme="minorEastAsia" w:eastAsiaTheme="minorEastAsia"/>
                <w:szCs w:val="21"/>
              </w:rPr>
            </w:pPr>
            <w:r>
              <w:rPr>
                <w:rFonts w:hint="eastAsia" w:asciiTheme="minorEastAsia" w:hAnsiTheme="minorEastAsia" w:eastAsiaTheme="minorEastAsia"/>
                <w:szCs w:val="21"/>
              </w:rPr>
              <w:t>2.如承诺中标后设立服务网点的，需提供承诺函（格式自拟）；</w:t>
            </w:r>
          </w:p>
          <w:p>
            <w:pPr>
              <w:tabs>
                <w:tab w:val="left" w:pos="175"/>
              </w:tabs>
              <w:spacing w:line="360" w:lineRule="exact"/>
              <w:ind w:left="33"/>
              <w:jc w:val="left"/>
              <w:rPr>
                <w:rFonts w:ascii="宋体" w:hAnsi="宋体"/>
                <w:szCs w:val="21"/>
              </w:rPr>
            </w:pPr>
            <w:r>
              <w:rPr>
                <w:rFonts w:hint="eastAsia" w:asciiTheme="minorEastAsia" w:hAnsiTheme="minorEastAsia" w:eastAsiaTheme="minorEastAsia"/>
                <w:szCs w:val="21"/>
              </w:rPr>
              <w:t>3.</w:t>
            </w:r>
            <w:r>
              <w:rPr>
                <w:rFonts w:hint="eastAsia" w:ascii="宋体" w:hAnsi="宋体"/>
                <w:szCs w:val="21"/>
              </w:rPr>
              <w:t>以上证明文件均提供复印件或扫描件加盖投标人公章，原件备查。未按要求提供有效证明材料或提供不清晰导致评委无法识别的不计得分。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37"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4</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诚信评审</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djustRightInd w:val="0"/>
              <w:snapToGrid w:val="0"/>
              <w:spacing w:line="360" w:lineRule="exact"/>
              <w:rPr>
                <w:rFonts w:ascii="宋体" w:hAnsi="宋体" w:cs="宋体"/>
                <w:szCs w:val="21"/>
              </w:rPr>
            </w:pPr>
            <w:r>
              <w:rPr>
                <w:rFonts w:hint="eastAsia" w:ascii="宋体" w:hAnsi="宋体" w:cs="宋体"/>
                <w:szCs w:val="21"/>
              </w:rPr>
              <w:t>投标人参与政府采购活动在诚信管理中受过主管部门通报处理且仍在实施期限内的本项不得分，</w:t>
            </w:r>
            <w:r>
              <w:rPr>
                <w:rFonts w:hint="eastAsia" w:asciiTheme="minorEastAsia" w:hAnsiTheme="minorEastAsia" w:eastAsiaTheme="minorEastAsia"/>
                <w:kern w:val="0"/>
                <w:szCs w:val="21"/>
              </w:rPr>
              <w:t>否则得5分</w:t>
            </w:r>
            <w:r>
              <w:rPr>
                <w:rFonts w:hint="eastAsia" w:ascii="宋体" w:hAnsi="宋体" w:cs="宋体"/>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tabs>
                <w:tab w:val="left" w:pos="175"/>
              </w:tabs>
              <w:spacing w:line="360" w:lineRule="exact"/>
              <w:ind w:left="33"/>
              <w:jc w:val="left"/>
              <w:rPr>
                <w:rFonts w:ascii="宋体" w:hAnsi="宋体" w:cs="仿宋"/>
                <w:szCs w:val="21"/>
              </w:rPr>
            </w:pPr>
            <w:r>
              <w:rPr>
                <w:rFonts w:hint="eastAsia" w:ascii="宋体" w:hAnsi="宋体" w:cs="宋体"/>
                <w:bCs/>
                <w:kern w:val="0"/>
                <w:szCs w:val="21"/>
              </w:rPr>
              <w:t>按招标文件格式如实提供</w:t>
            </w:r>
            <w:r>
              <w:rPr>
                <w:rFonts w:hint="eastAsia" w:ascii="宋体" w:hAnsi="宋体" w:cs="宋体"/>
                <w:szCs w:val="21"/>
              </w:rPr>
              <w:t>《诚信承诺函》</w:t>
            </w:r>
            <w:r>
              <w:rPr>
                <w:rFonts w:hint="eastAsia" w:ascii="宋体" w:hAnsi="宋体" w:cs="宋体"/>
                <w:bCs/>
                <w:kern w:val="0"/>
                <w:szCs w:val="21"/>
              </w:rPr>
              <w:t>原件加盖投标人公章，且承诺函格式及内容不得修改，否则不得分</w:t>
            </w:r>
            <w:r>
              <w:rPr>
                <w:rFonts w:hint="eastAsia" w:ascii="宋体" w:hAnsi="宋体" w:cs="宋体"/>
                <w:szCs w:val="21"/>
              </w:rPr>
              <w:t>。</w:t>
            </w:r>
            <w:r>
              <w:rPr>
                <w:rFonts w:hint="eastAsia" w:ascii="宋体" w:hAnsi="宋体" w:cs="宋体"/>
                <w:bCs/>
                <w:kern w:val="0"/>
                <w:szCs w:val="21"/>
              </w:rPr>
              <w:t>如若投标人承诺与实际情况不相符，将按虚假应标报相关主管部门处理</w:t>
            </w:r>
            <w:r>
              <w:rPr>
                <w:rFonts w:hint="eastAsia" w:ascii="宋体" w:hAnsi="宋体" w:cs="宋体"/>
                <w:szCs w:val="21"/>
              </w:rPr>
              <w:t>。</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bl>
    <w:p>
      <w:pPr>
        <w:pStyle w:val="4"/>
        <w:spacing w:before="0" w:after="0"/>
        <w:jc w:val="left"/>
        <w:rPr>
          <w:rFonts w:asciiTheme="minorEastAsia" w:hAnsiTheme="minorEastAsia"/>
          <w:bCs w:val="0"/>
          <w:sz w:val="21"/>
          <w:szCs w:val="21"/>
        </w:rPr>
      </w:pPr>
      <w:bookmarkStart w:id="13" w:name="_Toc44690703"/>
      <w:bookmarkStart w:id="14" w:name="_Toc73610144"/>
      <w:bookmarkStart w:id="15" w:name="_Toc44691162"/>
      <w:bookmarkStart w:id="16" w:name="_Toc44691394"/>
      <w:bookmarkStart w:id="17" w:name="_Toc44690430"/>
      <w:r>
        <w:rPr>
          <w:rFonts w:hint="eastAsia" w:asciiTheme="minorEastAsia" w:hAnsiTheme="minorEastAsia"/>
          <w:bCs w:val="0"/>
          <w:sz w:val="21"/>
          <w:szCs w:val="21"/>
        </w:rPr>
        <w:t>备注：</w:t>
      </w:r>
      <w:bookmarkEnd w:id="13"/>
      <w:bookmarkEnd w:id="14"/>
      <w:bookmarkEnd w:id="15"/>
      <w:bookmarkEnd w:id="16"/>
      <w:bookmarkEnd w:id="17"/>
    </w:p>
    <w:p>
      <w:pPr>
        <w:pStyle w:val="3"/>
        <w:spacing w:before="0" w:after="0"/>
      </w:pPr>
      <w:bookmarkStart w:id="18" w:name="_Toc73610145"/>
      <w:r>
        <w:rPr>
          <w:rFonts w:hint="eastAsia"/>
        </w:rPr>
        <w:t>1、资质证书有效期</w:t>
      </w:r>
      <w:bookmarkEnd w:id="18"/>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3"/>
        <w:spacing w:before="0" w:after="0"/>
        <w:rPr>
          <w:rFonts w:asciiTheme="minorEastAsia" w:hAnsiTheme="minorEastAsia" w:eastAsiaTheme="minorEastAsia"/>
        </w:rPr>
      </w:pPr>
      <w:bookmarkStart w:id="19" w:name="_Toc73610146"/>
      <w:r>
        <w:rPr>
          <w:rFonts w:hint="eastAsia" w:asciiTheme="minorEastAsia" w:hAnsiTheme="minorEastAsia" w:eastAsiaTheme="minorEastAsia"/>
        </w:rPr>
        <w:t>2、政府采购优惠政策</w:t>
      </w:r>
      <w:bookmarkEnd w:id="19"/>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6 </w:t>
      </w:r>
      <w:r>
        <w:rPr>
          <w:rFonts w:hint="eastAsia" w:asciiTheme="minorEastAsia" w:hAnsiTheme="minorEastAsia" w:eastAsiaTheme="minorEastAsia"/>
          <w:b/>
        </w:rPr>
        <w:t>%（请在6%-10%范围内选择）后参与评审</w:t>
      </w:r>
      <w:r>
        <w:rPr>
          <w:rFonts w:hint="eastAsia" w:asciiTheme="minorEastAsia" w:hAnsiTheme="minorEastAsia" w:eastAsiaTheme="minorEastAsia"/>
        </w:rPr>
        <w:t>。对于同时属于小微企业、监狱企业或残疾人福利性单位的，不重复进行投标报价扣除。</w:t>
      </w:r>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%（请在2</w:t>
      </w:r>
      <w:r>
        <w:rPr>
          <w:rFonts w:asciiTheme="minorEastAsia" w:hAnsiTheme="minorEastAsia" w:eastAsiaTheme="minorEastAsia"/>
          <w:b/>
        </w:rPr>
        <w:t>%-</w:t>
      </w:r>
      <w:r>
        <w:rPr>
          <w:rFonts w:hint="eastAsia" w:asciiTheme="minorEastAsia" w:hAnsiTheme="minorEastAsia" w:eastAsiaTheme="minorEastAsia"/>
          <w:b/>
        </w:rPr>
        <w:t>3</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政府采购优惠政策</w:t>
      </w:r>
      <w:r>
        <w:rPr>
          <w:rFonts w:hint="eastAsia" w:asciiTheme="minorEastAsia" w:hAnsiTheme="minorEastAsia" w:eastAsiaTheme="minorEastAsia"/>
          <w:b/>
        </w:rPr>
        <w:t>第一款</w:t>
      </w:r>
      <w:r>
        <w:rPr>
          <w:rFonts w:hint="eastAsia" w:asciiTheme="minorEastAsia" w:hAnsiTheme="minorEastAsia" w:eastAsiaTheme="minorEastAsia"/>
        </w:rPr>
        <w:t>的优惠政策。</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（4）投标产品属于《关于调整优化节能产品环境标志产品政府采购执行机制的通知》（财库〔2019〕9号）、《关于印发环境标志产品政府采购品目清单的通知》（财库〔2019〕18号）和《关于印发节能产品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对符合条件的获证产品（强制采购产品除外）</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%的价格扣除，用扣除后的价格参与价格分的评审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5）为缓解中小企业融资难题，深圳市推出政府采购订单融资改革举措。订单融资具体流程及试点金融机构订单融资服务承诺可参阅深圳市政府采购监管网（www.zfcg.sz.gov.cn）信息公开栏目或深圳公共资源交易中心网站（www.szzfcg.cn）政府采购订单融资栏目。</w:t>
      </w:r>
    </w:p>
    <w:p>
      <w:pPr>
        <w:spacing w:line="360" w:lineRule="auto"/>
        <w:ind w:firstLine="424" w:firstLineChars="202"/>
        <w:jc w:val="left"/>
        <w:rPr>
          <w:rFonts w:asciiTheme="minorEastAsia" w:hAnsiTheme="minorEastAsia" w:eastAsiaTheme="minorEastAsia"/>
          <w:szCs w:val="21"/>
        </w:rPr>
      </w:pPr>
    </w:p>
    <w:p/>
    <w:p>
      <w:pPr>
        <w:widowControl/>
        <w:jc w:val="left"/>
        <w:rPr>
          <w:sz w:val="32"/>
        </w:rPr>
      </w:pPr>
      <w:r>
        <w:rPr>
          <w:rFonts w:eastAsiaTheme="minorEastAsia"/>
          <w:b/>
          <w:kern w:val="44"/>
          <w:sz w:val="32"/>
          <w:szCs w:val="28"/>
        </w:rPr>
        <w:br w:type="page"/>
      </w:r>
    </w:p>
    <w:p>
      <w:pPr>
        <w:widowControl/>
        <w:jc w:val="left"/>
        <w:rPr>
          <w:rFonts w:eastAsiaTheme="minorEastAsia"/>
          <w:b/>
          <w:kern w:val="44"/>
          <w:sz w:val="32"/>
          <w:szCs w:val="28"/>
        </w:rPr>
      </w:pPr>
    </w:p>
    <w:p>
      <w:pPr>
        <w:pStyle w:val="2"/>
        <w:spacing w:before="156" w:beforeLines="50"/>
      </w:pPr>
      <w:bookmarkStart w:id="20" w:name="_Toc73610147"/>
      <w:r>
        <w:rPr>
          <w:rFonts w:hint="eastAsia"/>
        </w:rPr>
        <w:t>第五章  投标人须知前附表</w:t>
      </w:r>
      <w:bookmarkEnd w:id="20"/>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pPr>
            <w:r>
              <w:rPr>
                <w:rFonts w:hint="eastAsia" w:asciiTheme="minorEastAsia" w:hAnsiTheme="minorEastAsia" w:eastAsiaTheme="minorEastAsia"/>
              </w:rPr>
              <w:t>疫情防控智能监控系统采购项目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int="eastAsia" w:hAnsi="宋体"/>
                <w:szCs w:val="24"/>
              </w:rPr>
              <w:t>深圳市宝安区疾病预防控制中心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招标代理机构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预算内资金/□预算外资金/□自筹资金/□其它资金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60" w:lineRule="auto"/>
              <w:rPr>
                <w:rFonts w:hAnsi="宋体"/>
                <w:szCs w:val="21"/>
              </w:rPr>
            </w:pPr>
            <w:r>
              <w:rPr>
                <w:rFonts w:hint="eastAsia" w:hAnsi="宋体"/>
                <w:szCs w:val="21"/>
              </w:rPr>
              <w:t>详见《第一章 投标邀请》“申请人的资格要求”</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不要求向招标代理机构提交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正本1份，副本 4 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b/>
              </w:rPr>
            </w:pPr>
            <w:r>
              <w:rPr>
                <w:rFonts w:hAnsi="宋体"/>
                <w:b/>
              </w:rPr>
              <w:t>时间：</w:t>
            </w:r>
            <w:r>
              <w:rPr>
                <w:rFonts w:hint="eastAsia" w:hAnsi="宋体"/>
                <w:b/>
                <w:snapToGrid w:val="0"/>
                <w:szCs w:val="18"/>
              </w:rPr>
              <w:t>2021年11月17日14点30分</w:t>
            </w:r>
            <w:r>
              <w:rPr>
                <w:rFonts w:hAnsi="宋体"/>
                <w:b/>
              </w:rPr>
              <w:t>（北京时间）</w:t>
            </w:r>
          </w:p>
          <w:p>
            <w:pPr>
              <w:pStyle w:val="26"/>
              <w:spacing w:line="360" w:lineRule="auto"/>
              <w:rPr>
                <w:rFonts w:hAnsi="宋体"/>
              </w:rPr>
            </w:pPr>
            <w:r>
              <w:rPr>
                <w:rFonts w:hAnsi="宋体"/>
              </w:rPr>
              <w:t>地点：</w:t>
            </w:r>
            <w:r>
              <w:rPr>
                <w:rFonts w:hint="eastAsia" w:hAnsi="宋体"/>
                <w:snapToGrid w:val="0"/>
              </w:rPr>
              <w:t>深圳市福田区民田路171号新华保险大厦903中正招标会议室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b/>
                <w:snapToGrid w:val="0"/>
                <w:szCs w:val="18"/>
              </w:rPr>
              <w:t>2021年11月17日14点30分</w:t>
            </w:r>
            <w:r>
              <w:rPr>
                <w:rFonts w:hint="eastAsia" w:hAnsi="宋体"/>
                <w:b/>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33</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hAnsi="宋体"/>
              </w:rPr>
            </w:pPr>
            <w:r>
              <w:rPr>
                <w:rFonts w:hint="eastAsia" w:asciiTheme="minorEastAsia" w:hAnsiTheme="minorEastAsia" w:eastAsiaTheme="minorEastAsia"/>
                <w:szCs w:val="21"/>
              </w:rPr>
              <w:t>按深财购[2018]27号文件的代理费用参考标准（</w:t>
            </w:r>
            <w:r>
              <w:rPr>
                <w:rFonts w:hint="eastAsia" w:asciiTheme="minorEastAsia" w:hAnsiTheme="minorEastAsia" w:eastAsiaTheme="minorEastAsia"/>
              </w:rPr>
              <w:t>详见《投标人须知》</w:t>
            </w:r>
            <w:r>
              <w:rPr>
                <w:rFonts w:hint="eastAsia" w:asciiTheme="minorEastAsia" w:hAnsiTheme="minorEastAsia" w:eastAsiaTheme="minorEastAsia"/>
                <w:szCs w:val="21"/>
              </w:rPr>
              <w:t>），向中标供应商收取</w:t>
            </w:r>
            <w:r>
              <w:rPr>
                <w:rFonts w:hint="eastAsia" w:asciiTheme="minorEastAsia" w:hAnsiTheme="minorEastAsia" w:eastAsiaTheme="minorEastAsia"/>
              </w:rPr>
              <w:t>，最低收取人民币6000元。</w:t>
            </w:r>
          </w:p>
        </w:tc>
      </w:tr>
    </w:tbl>
    <w:p>
      <w:pPr>
        <w:widowControl/>
        <w:jc w:val="left"/>
      </w:pPr>
      <w:r>
        <w:br w:type="page"/>
      </w:r>
    </w:p>
    <w:p/>
    <w:p>
      <w:pPr>
        <w:pStyle w:val="2"/>
      </w:pPr>
      <w:bookmarkStart w:id="21" w:name="_Toc73610148"/>
      <w:r>
        <w:rPr>
          <w:rFonts w:hint="eastAsia"/>
        </w:rPr>
        <w:t>第六章  投标人须知</w:t>
      </w:r>
      <w:bookmarkEnd w:id="21"/>
    </w:p>
    <w:p>
      <w:pPr>
        <w:pStyle w:val="4"/>
        <w:spacing w:before="0" w:after="0"/>
      </w:pPr>
      <w:bookmarkStart w:id="22" w:name="_Toc73610149"/>
      <w:r>
        <w:rPr>
          <w:rFonts w:hint="eastAsia"/>
        </w:rPr>
        <w:t>一、说</w:t>
      </w:r>
      <w:r>
        <w:t xml:space="preserve">  </w:t>
      </w:r>
      <w:r>
        <w:rPr>
          <w:rFonts w:hint="eastAsia"/>
        </w:rPr>
        <w:t>明</w:t>
      </w:r>
      <w:bookmarkEnd w:id="22"/>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及有关招投标法规、规章、规定通过招标来择优选定投标人。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”系指前附表第2项所述。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”系前附表第3项所述。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“投标人”系指向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“货物”系指投标人按招标文件规定，向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提供的设备及材料的安装。</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提供符合方案的服务。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（2）投标联合体各方必须有一方先行注册成深圳市政府采购中心供应商。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3" w:name="q5"/>
      <w:bookmarkEnd w:id="23"/>
    </w:p>
    <w:p>
      <w:pPr>
        <w:pStyle w:val="4"/>
        <w:spacing w:before="0" w:after="0"/>
      </w:pPr>
      <w:bookmarkStart w:id="24" w:name="_Toc73610150"/>
      <w:r>
        <w:rPr>
          <w:rFonts w:hint="eastAsia"/>
        </w:rPr>
        <w:t>二、招标文件说明</w:t>
      </w:r>
      <w:bookmarkEnd w:id="24"/>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招标文件是用以阐明所需设备及服务的情况，以及招标、投标程序和相应的合同条款。招标文件由下述部份组成：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4"/>
        <w:spacing w:before="0" w:after="0"/>
      </w:pPr>
      <w:bookmarkStart w:id="25" w:name="q6"/>
      <w:bookmarkEnd w:id="25"/>
      <w:bookmarkStart w:id="26" w:name="_Toc73610151"/>
      <w:r>
        <w:rPr>
          <w:rFonts w:hint="eastAsia"/>
        </w:rPr>
        <w:t>三、投标文件的编写</w:t>
      </w:r>
      <w:bookmarkEnd w:id="26"/>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snapToGrid w:val="0"/>
          <w:kern w:val="0"/>
          <w:szCs w:val="21"/>
        </w:rPr>
        <w:t>法定代表人证明书及授权委托书</w:t>
      </w:r>
      <w:r>
        <w:rPr>
          <w:rFonts w:hint="eastAsia" w:asciiTheme="minorEastAsia" w:hAnsiTheme="minorEastAsia" w:eastAsiaTheme="minorEastAsia"/>
          <w:snapToGrid w:val="0"/>
          <w:kern w:val="0"/>
        </w:rPr>
        <w:t>（投标文件格式2）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（5）投标函（投标文件格式3） </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（8）技术规格（投标文件格式7）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（9）交付进度（投标文件格式8）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（10）售后服务和质量承诺（投标文件格式9）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投标人资格</w:t>
      </w:r>
      <w:r>
        <w:rPr>
          <w:rFonts w:hint="eastAsia" w:asciiTheme="minorEastAsia" w:hAnsiTheme="minorEastAsia" w:eastAsiaTheme="minorEastAsia"/>
          <w:snapToGrid w:val="0"/>
          <w:kern w:val="0"/>
        </w:rPr>
        <w:t>声明 （投标文件格式10）</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（12）偏离表（投标文件格式11）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（13）招标文件要求的其他资料或投标人认为需要补充的资料（投标文件格式12）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（14）装有“法定代表人证明书、法定代表人授权书”和“开标一览表”单独密封的信封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（15）装有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（16）产品样品或产品样板（如有）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4）和“报价表”（投标文件格式5）上写明投标货物的单价和投标总价。投标人对每种项目只允许有一个报价，招标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投标人必须提交证明其有资格进行投标，和中标后有能力履行合同的证明文件（投标文件格式1与格式9），作为投标文件的一部分。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投标保证金（本项目不适用）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投标保证金为投标文件的组成部份之一。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提交一笔不少于前附表第9项所规定的投标保证金。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ind w:left="630" w:hanging="630" w:hangingChars="300"/>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未中标的投标人的投标保证金，招标代理机构将在中标通知书发出且收到投标人的《投标保证金退还申请表》后5个工作日内退还。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中标人的投标保证金，招标代理机构将在中标人签订合同并支付中标服务费后5个工作日内退还。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已递交了投标保证金的投标人放弃投标，而没有在投标保证金递交截止时间前书面通知招标代理机构的；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如果中标人未能做到：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另行书面通知的时间和地点，派出代表出席</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投标文件数量按前附表第11项所述，须在每一份投标文件上明确注明“正本”或“副本”字样。一旦正本和副本有差异，以正本为准。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4"/>
        <w:spacing w:before="0" w:after="0"/>
      </w:pPr>
      <w:bookmarkStart w:id="27" w:name="q7"/>
      <w:bookmarkEnd w:id="27"/>
      <w:bookmarkStart w:id="28" w:name="_Toc73610152"/>
      <w:r>
        <w:rPr>
          <w:rFonts w:hint="eastAsia"/>
        </w:rPr>
        <w:t>四、投标文件的递交</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w:t>
      </w:r>
      <w:r>
        <w:rPr>
          <w:rFonts w:hint="eastAsia"/>
          <w:snapToGrid w:val="0"/>
          <w:kern w:val="0"/>
        </w:rPr>
        <w:t>“备份光盘（或U盘）”一起封装在同一个外层包封中，同时还应在封套上载明以下信息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w:t>
      </w:r>
      <w:r>
        <w:rPr>
          <w:rFonts w:hint="eastAsia"/>
          <w:snapToGrid w:val="0"/>
          <w:kern w:val="0"/>
        </w:rPr>
        <w:t>备份光盘（或U盘）</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投标人应将“法定代表人证明书、法定代表人授权委托证明书”和“开标一览表”单独密封于一信封，在递交投标文件时单独交与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注明：“开标一览表”和“法定代表人证明书、法定代表人授权委托证明书”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投标人应按18.1～18.7中的规定进行密封和标记后，将投标文件按照前附表第12项中注明的地址送至招标代理机构。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w:t>
      </w:r>
      <w:bookmarkStart w:id="29" w:name="_Hlt35050056"/>
      <w:bookmarkEnd w:id="29"/>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4"/>
        <w:spacing w:before="0" w:after="0"/>
      </w:pPr>
      <w:bookmarkStart w:id="30" w:name="q8"/>
      <w:bookmarkEnd w:id="30"/>
      <w:bookmarkStart w:id="31" w:name="_Toc73610153"/>
      <w:r>
        <w:rPr>
          <w:rFonts w:hint="eastAsia"/>
        </w:rPr>
        <w:t>五、开标和评标</w:t>
      </w:r>
      <w:bookmarkEnd w:id="3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专家组成。评标委员会对投标文件进行审查、质疑、评估和比较。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hint="eastAsia" w:asciiTheme="minorEastAsia" w:hAnsiTheme="minorEastAsia" w:eastAsiaTheme="minorEastAsia"/>
          <w:szCs w:val="21"/>
        </w:rPr>
        <w:t>。</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32" w:name="q9"/>
      <w:bookmarkEnd w:id="32"/>
    </w:p>
    <w:p>
      <w:pPr>
        <w:pStyle w:val="4"/>
        <w:spacing w:before="0" w:after="0"/>
      </w:pPr>
      <w:bookmarkStart w:id="33" w:name="_Toc73610154"/>
      <w:r>
        <w:rPr>
          <w:rFonts w:hint="eastAsia"/>
        </w:rPr>
        <w:t>六、授予合同</w:t>
      </w:r>
      <w:bookmarkEnd w:id="33"/>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中标人向招标代理机构支付中标服务费后，领取《中标通知书》。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中标人应按《中标通知书》或按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招标文件、中标人的投标文件及其澄清文件等，均为签订合同的依据。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中标人须按招标文件的规定或根据合同条款的规定向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1897"/>
        <w:gridCol w:w="1898"/>
        <w:gridCol w:w="18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jc w:val="center"/>
        </w:trPr>
        <w:tc>
          <w:tcPr>
            <w:tcW w:w="2131" w:type="dxa"/>
          </w:tcPr>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pict>
                <v:shape id="__TH_B3733" o:spid="_x0000_s2067" o:spt="202" type="#_x0000_t202" style="position:absolute;left:0pt;margin-left:56.4pt;margin-top:43.5pt;height:9.4pt;width:4.3pt;z-index:25167462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元</w:t>
                        </w:r>
                      </w:p>
                    </w:txbxContent>
                  </v:textbox>
                </v:shape>
              </w:pict>
            </w:r>
            <w:r>
              <w:rPr>
                <w:rFonts w:asciiTheme="minorEastAsia" w:hAnsiTheme="minorEastAsia" w:eastAsiaTheme="minorEastAsia"/>
              </w:rPr>
              <w:pict>
                <v:shape id="__TH_B3632" o:spid="_x0000_s2066" o:spt="202" type="#_x0000_t202" style="position:absolute;left:0pt;margin-left:44.55pt;margin-top:42.35pt;height:9.4pt;width:9.85pt;z-index:25167360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万</w:t>
                        </w:r>
                      </w:p>
                    </w:txbxContent>
                  </v:textbox>
                </v:shape>
              </w:pict>
            </w:r>
            <w:r>
              <w:rPr>
                <w:rFonts w:asciiTheme="minorEastAsia" w:hAnsiTheme="minorEastAsia" w:eastAsiaTheme="minorEastAsia"/>
              </w:rPr>
              <w:pict>
                <v:shape id="__TH_B3531" o:spid="_x0000_s2065" o:spt="202" type="#_x0000_t202" style="position:absolute;left:0pt;margin-left:38.45pt;margin-top:41.2pt;height:9.4pt;width:3.9pt;z-index:251672576;mso-width-relative:page;mso-height-relative:page;" filled="f" stroked="f" coordsize="21600,21600">
                  <v:path/>
                  <v:fill on="f" focussize="0,0"/>
                  <v:stroke on="f" joinstyle="miter"/>
                  <v:imagedata o:title=""/>
                  <o:lock v:ext="edit"/>
                  <v:textbox inset="0mm,0mm,0mm,0mm">
                    <w:txbxContent>
                      <w:p>
                        <w:pPr>
                          <w:snapToGrid w:val="0"/>
                          <w:rPr>
                            <w:sz w:val="15"/>
                          </w:rPr>
                        </w:pPr>
                        <w:r>
                          <w:rPr>
                            <w:sz w:val="15"/>
                          </w:rPr>
                          <w:t>(</w:t>
                        </w:r>
                      </w:p>
                    </w:txbxContent>
                  </v:textbox>
                </v:shape>
              </w:pict>
            </w:r>
            <w:r>
              <w:rPr>
                <w:rFonts w:asciiTheme="minorEastAsia" w:hAnsiTheme="minorEastAsia" w:eastAsiaTheme="minorEastAsia"/>
              </w:rPr>
              <w:pict>
                <v:shape id="__TH_B3430" o:spid="_x0000_s2064" o:spt="202" type="#_x0000_t202" style="position:absolute;left:0pt;margin-left:26.35pt;margin-top:40.05pt;height:9.4pt;width:9.9pt;z-index:251671552;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额</w:t>
                        </w:r>
                      </w:p>
                    </w:txbxContent>
                  </v:textbox>
                </v:shape>
              </w:pict>
            </w:r>
            <w:r>
              <w:rPr>
                <w:rFonts w:asciiTheme="minorEastAsia" w:hAnsiTheme="minorEastAsia" w:eastAsiaTheme="minorEastAsia"/>
              </w:rPr>
              <w:pict>
                <v:shape id="__TH_B3329" o:spid="_x0000_s2063" o:spt="202" type="#_x0000_t202" style="position:absolute;left:0pt;margin-left:17.3pt;margin-top:38.9pt;height:9.4pt;width:9.85pt;z-index:251670528;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金</w:t>
                        </w:r>
                      </w:p>
                    </w:txbxContent>
                  </v:textbox>
                </v:shape>
              </w:pict>
            </w:r>
            <w:r>
              <w:rPr>
                <w:rFonts w:asciiTheme="minorEastAsia" w:hAnsiTheme="minorEastAsia" w:eastAsiaTheme="minorEastAsia"/>
              </w:rPr>
              <w:pict>
                <v:shape id="__TH_B3228" o:spid="_x0000_s2062" o:spt="202" type="#_x0000_t202" style="position:absolute;left:0pt;margin-left:8.2pt;margin-top:37.75pt;height:9.4pt;width:9.9pt;z-index:25166950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标</w:t>
                        </w:r>
                      </w:p>
                    </w:txbxContent>
                  </v:textbox>
                </v:shape>
              </w:pict>
            </w:r>
            <w:r>
              <w:rPr>
                <w:rFonts w:asciiTheme="minorEastAsia" w:hAnsiTheme="minorEastAsia" w:eastAsiaTheme="minorEastAsia"/>
              </w:rPr>
              <w:pict>
                <v:shape id="__TH_B3127" o:spid="_x0000_s2061" o:spt="202" type="#_x0000_t202" style="position:absolute;left:0pt;margin-left:-0.85pt;margin-top:36.6pt;height:9.4pt;width:9.85pt;z-index:25166848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中</w:t>
                        </w:r>
                      </w:p>
                    </w:txbxContent>
                  </v:textbox>
                </v:shape>
              </w:pict>
            </w:r>
            <w:r>
              <w:rPr>
                <w:rFonts w:asciiTheme="minorEastAsia" w:hAnsiTheme="minorEastAsia" w:eastAsiaTheme="minorEastAsia"/>
              </w:rPr>
              <w:pict>
                <v:shape id="__TH_B2226" o:spid="_x0000_s2060" o:spt="202" type="#_x0000_t202" style="position:absolute;left:0pt;margin-left:63.4pt;margin-top:32.05pt;height:9.35pt;width:9.85pt;z-index:251667456;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率</w:t>
                        </w:r>
                      </w:p>
                    </w:txbxContent>
                  </v:textbox>
                </v:shape>
              </w:pict>
            </w:r>
            <w:r>
              <w:rPr>
                <w:rFonts w:asciiTheme="minorEastAsia" w:hAnsiTheme="minorEastAsia" w:eastAsiaTheme="minorEastAsia"/>
              </w:rPr>
              <w:pict>
                <v:shape id="__TH_B2125" o:spid="_x0000_s2059" o:spt="202" type="#_x0000_t202" style="position:absolute;left:0pt;margin-left:19.95pt;margin-top:10.05pt;height:9.4pt;width:9.9pt;z-index:251666432;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费</w:t>
                        </w:r>
                      </w:p>
                    </w:txbxContent>
                  </v:textbox>
                </v:shape>
              </w:pict>
            </w:r>
            <w:r>
              <w:rPr>
                <w:rFonts w:asciiTheme="minorEastAsia" w:hAnsiTheme="minorEastAsia" w:eastAsiaTheme="minorEastAsia"/>
              </w:rPr>
              <w:pict>
                <v:shape id="__TH_B1424" o:spid="_x0000_s2058" o:spt="202" type="#_x0000_t202" style="position:absolute;left:0pt;margin-left:88.65pt;margin-top:32.35pt;height:9.35pt;width:9.85pt;z-index:251665408;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型</w:t>
                        </w:r>
                      </w:p>
                    </w:txbxContent>
                  </v:textbox>
                </v:shape>
              </w:pict>
            </w:r>
            <w:r>
              <w:rPr>
                <w:rFonts w:asciiTheme="minorEastAsia" w:hAnsiTheme="minorEastAsia" w:eastAsiaTheme="minorEastAsia"/>
              </w:rPr>
              <w:pict>
                <v:shape id="__TH_B1323" o:spid="_x0000_s2057" o:spt="202" type="#_x0000_t202" style="position:absolute;left:0pt;margin-left:83.95pt;margin-top:22.8pt;height:9.4pt;width:9.85pt;z-index:25166438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类</w:t>
                        </w:r>
                      </w:p>
                    </w:txbxContent>
                  </v:textbox>
                </v:shape>
              </w:pict>
            </w:r>
            <w:r>
              <w:rPr>
                <w:rFonts w:asciiTheme="minorEastAsia" w:hAnsiTheme="minorEastAsia" w:eastAsiaTheme="minorEastAsia"/>
              </w:rPr>
              <w:pict>
                <v:shape id="__TH_B1222" o:spid="_x0000_s2056" o:spt="202" type="#_x0000_t202" style="position:absolute;left:0pt;margin-left:79.25pt;margin-top:13.3pt;height:9.4pt;width:9.85pt;z-index:25166336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务</w:t>
                        </w:r>
                      </w:p>
                    </w:txbxContent>
                  </v:textbox>
                </v:shape>
              </w:pict>
            </w:r>
            <w:r>
              <w:rPr>
                <w:rFonts w:asciiTheme="minorEastAsia" w:hAnsiTheme="minorEastAsia" w:eastAsiaTheme="minorEastAsia"/>
              </w:rPr>
              <w:pict>
                <v:shape id="__TH_B1121" o:spid="_x0000_s2055" o:spt="202" type="#_x0000_t202" style="position:absolute;left:0pt;margin-left:74.55pt;margin-top:3.8pt;height:9.4pt;width:9.85pt;z-index:251662336;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服</w:t>
                        </w:r>
                      </w:p>
                    </w:txbxContent>
                  </v:textbox>
                </v:shape>
              </w:pict>
            </w:r>
            <w:r>
              <w:rPr>
                <w:rFonts w:asciiTheme="minorEastAsia" w:hAnsiTheme="minorEastAsia" w:eastAsiaTheme="minorEastAsia"/>
              </w:rPr>
              <w:pict>
                <v:line id="__TH_L20" o:spid="_x0000_s2054" o:spt="20" style="position:absolute;left:0pt;margin-left:-5.15pt;margin-top:26.85pt;height:26.8pt;width:106pt;z-index:251661312;mso-width-relative:page;mso-height-relative:page;" coordsize="21600,21600">
                  <v:path arrowok="t"/>
                  <v:fill focussize="0,0"/>
                  <v:stroke weight="0.5pt"/>
                  <v:imagedata o:title=""/>
                  <o:lock v:ext="edit"/>
                </v:line>
              </w:pict>
            </w:r>
            <w:r>
              <w:rPr>
                <w:rFonts w:asciiTheme="minorEastAsia" w:hAnsiTheme="minorEastAsia" w:eastAsiaTheme="minorEastAsia"/>
              </w:rPr>
              <w:pict>
                <v:line id="__TH_L19" o:spid="_x0000_s2053" o:spt="20" style="position:absolute;left:0pt;margin-left:47.85pt;margin-top:0pt;height:53.65pt;width:53pt;z-index:251660288;mso-width-relative:page;mso-height-relative:page;" coordsize="21600,21600">
                  <v:path arrowok="t"/>
                  <v:fill focussize="0,0"/>
                  <v:stroke weight="0.5pt"/>
                  <v:imagedata o:title=""/>
                  <o:lock v:ext="edit"/>
                </v:line>
              </w:pict>
            </w:r>
          </w:p>
        </w:tc>
        <w:tc>
          <w:tcPr>
            <w:tcW w:w="1897" w:type="dxa"/>
            <w:tcBorders>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工程招标</w:t>
            </w:r>
          </w:p>
        </w:tc>
        <w:tc>
          <w:tcPr>
            <w:tcW w:w="1898" w:type="dxa"/>
            <w:tcBorders>
              <w:left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货物招标</w:t>
            </w:r>
          </w:p>
        </w:tc>
        <w:tc>
          <w:tcPr>
            <w:tcW w:w="1898" w:type="dxa"/>
            <w:tcBorders>
              <w:lef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1.00%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100-500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0.70%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1.10%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500-1000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1000-5000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0.35%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5000-10000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10000-100000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100000以上</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注：1、中标服务费按差额定率累进法计算。例如：某货物类项目中标金额为1000万元，计算中标服务费如下：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（500-100）万元×1.1%=4.4万元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（1000-500）×0.8%=4万元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合计收费=1.5+4.4+4＝9.9（万元）</w:t>
      </w:r>
    </w:p>
    <w:p>
      <w:pPr>
        <w:jc w:val="center"/>
        <w:rPr>
          <w:b/>
          <w:sz w:val="52"/>
          <w:szCs w:val="52"/>
        </w:rPr>
      </w:pPr>
    </w:p>
    <w:p/>
    <w:p/>
    <w:p/>
    <w:p/>
    <w:p/>
    <w:p/>
    <w:p/>
    <w:p>
      <w:pPr>
        <w:widowControl/>
        <w:jc w:val="left"/>
      </w:pPr>
      <w:r>
        <w:br w:type="page"/>
      </w:r>
    </w:p>
    <w:p/>
    <w:p>
      <w:pPr>
        <w:pStyle w:val="2"/>
      </w:pPr>
      <w:bookmarkStart w:id="34" w:name="_Toc73610155"/>
      <w:r>
        <w:rPr>
          <w:rFonts w:hint="eastAsia"/>
        </w:rPr>
        <w:t>第七章  投标文件格式</w:t>
      </w:r>
      <w:bookmarkEnd w:id="34"/>
    </w:p>
    <w:p>
      <w:pPr>
        <w:jc w:val="center"/>
        <w:rPr>
          <w:b/>
          <w:sz w:val="52"/>
          <w:szCs w:val="52"/>
        </w:rPr>
      </w:pPr>
    </w:p>
    <w:p>
      <w:pPr>
        <w:pStyle w:val="4"/>
        <w:spacing w:line="400" w:lineRule="exact"/>
        <w:rPr>
          <w:rFonts w:ascii="仿宋" w:hAnsi="仿宋" w:eastAsia="仿宋"/>
        </w:rPr>
      </w:pPr>
      <w:bookmarkStart w:id="35" w:name="_Toc44690704"/>
      <w:bookmarkStart w:id="36" w:name="_Toc25194"/>
      <w:bookmarkStart w:id="37" w:name="_Toc31468"/>
      <w:bookmarkStart w:id="38" w:name="_Toc14934"/>
      <w:bookmarkStart w:id="39" w:name="_Toc44690431"/>
      <w:bookmarkStart w:id="40" w:name="_Toc11772"/>
      <w:bookmarkStart w:id="41" w:name="_Toc44691395"/>
      <w:bookmarkStart w:id="42" w:name="_Toc73610156"/>
      <w:bookmarkStart w:id="43" w:name="_Toc44691163"/>
      <w:r>
        <w:rPr>
          <w:rFonts w:hint="eastAsia" w:ascii="仿宋" w:hAnsi="仿宋" w:eastAsia="仿宋"/>
        </w:rPr>
        <w:t>投标文件编制说明</w:t>
      </w:r>
      <w:bookmarkEnd w:id="35"/>
      <w:bookmarkEnd w:id="36"/>
      <w:bookmarkEnd w:id="37"/>
      <w:bookmarkEnd w:id="38"/>
      <w:bookmarkEnd w:id="39"/>
      <w:bookmarkEnd w:id="40"/>
      <w:bookmarkEnd w:id="41"/>
      <w:bookmarkEnd w:id="42"/>
      <w:bookmarkEnd w:id="43"/>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法定代表人证明书、法定代表人授权委托证明书和开标一览表（封包2）。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p>
    <w:p>
      <w:pPr>
        <w:rPr>
          <w:b/>
          <w:bCs/>
        </w:rPr>
      </w:pPr>
      <w:bookmarkStart w:id="44" w:name="_投标文件格式（第一册）"/>
      <w:bookmarkEnd w:id="44"/>
      <w:bookmarkStart w:id="45" w:name="q0"/>
      <w:r>
        <w:rPr>
          <w:rFonts w:ascii="仿宋" w:hAnsi="仿宋" w:eastAsia="仿宋"/>
        </w:rPr>
        <w:br w:type="page"/>
      </w:r>
    </w:p>
    <w:p>
      <w:pPr>
        <w:pStyle w:val="4"/>
        <w:spacing w:line="400" w:lineRule="exact"/>
        <w:rPr>
          <w:rFonts w:ascii="仿宋" w:hAnsi="仿宋" w:eastAsia="仿宋"/>
        </w:rPr>
      </w:pPr>
    </w:p>
    <w:p>
      <w:pPr>
        <w:pStyle w:val="4"/>
        <w:spacing w:line="400" w:lineRule="exact"/>
        <w:rPr>
          <w:rFonts w:ascii="仿宋" w:hAnsi="仿宋" w:eastAsia="仿宋"/>
        </w:rPr>
      </w:pPr>
      <w:bookmarkStart w:id="46" w:name="_Toc73610157"/>
      <w:r>
        <w:rPr>
          <w:rFonts w:hint="eastAsia" w:ascii="仿宋" w:hAnsi="仿宋" w:eastAsia="仿宋"/>
        </w:rPr>
        <w:t>投标文件格式</w:t>
      </w:r>
      <w:bookmarkEnd w:id="46"/>
    </w:p>
    <w:bookmarkEnd w:id="45"/>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目录（自拟）</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评标指引表</w:t>
      </w:r>
    </w:p>
    <w:p>
      <w:pPr>
        <w:numPr>
          <w:ilvl w:val="0"/>
          <w:numId w:val="5"/>
        </w:numPr>
        <w:adjustRightInd w:val="0"/>
        <w:spacing w:line="360" w:lineRule="auto"/>
        <w:rPr>
          <w:snapToGrid w:val="0"/>
          <w:kern w:val="0"/>
          <w:szCs w:val="21"/>
        </w:rPr>
      </w:pPr>
      <w:r>
        <w:rPr>
          <w:rFonts w:hint="eastAsia"/>
          <w:snapToGrid w:val="0"/>
          <w:kern w:val="0"/>
          <w:szCs w:val="21"/>
        </w:rPr>
        <w:t>投标人资格证明文件（格式1）</w:t>
      </w:r>
    </w:p>
    <w:p>
      <w:pPr>
        <w:numPr>
          <w:ilvl w:val="0"/>
          <w:numId w:val="5"/>
        </w:numPr>
        <w:adjustRightInd w:val="0"/>
        <w:spacing w:line="360" w:lineRule="auto"/>
        <w:rPr>
          <w:snapToGrid w:val="0"/>
          <w:kern w:val="0"/>
          <w:szCs w:val="21"/>
        </w:rPr>
      </w:pPr>
      <w:r>
        <w:rPr>
          <w:rFonts w:hint="eastAsia"/>
          <w:snapToGrid w:val="0"/>
          <w:kern w:val="0"/>
          <w:szCs w:val="21"/>
        </w:rPr>
        <w:t>法定代表人证明书及授权委托书</w:t>
      </w:r>
      <w:r>
        <w:rPr>
          <w:rFonts w:hint="eastAsia" w:ascii="宋体" w:hAnsi="宋体"/>
          <w:snapToGrid w:val="0"/>
          <w:kern w:val="0"/>
          <w:szCs w:val="21"/>
        </w:rPr>
        <w:t>（格式2）</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投标函（格式3）</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评分中涉及的承诺及声明函（格式4）</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开标一览表（格式5）</w:t>
      </w:r>
    </w:p>
    <w:p>
      <w:pPr>
        <w:adjustRightInd w:val="0"/>
        <w:spacing w:line="360" w:lineRule="auto"/>
        <w:ind w:firstLine="422" w:firstLineChars="200"/>
        <w:rPr>
          <w:rFonts w:ascii="宋体" w:hAnsi="宋体"/>
          <w:b/>
          <w:bCs/>
          <w:snapToGrid w:val="0"/>
          <w:kern w:val="0"/>
          <w:szCs w:val="21"/>
        </w:rPr>
      </w:pPr>
      <w:r>
        <w:rPr>
          <w:rFonts w:hint="eastAsia" w:ascii="宋体" w:hAnsi="宋体"/>
          <w:b/>
          <w:snapToGrid w:val="0"/>
          <w:kern w:val="0"/>
          <w:szCs w:val="21"/>
        </w:rPr>
        <w:t>注：此表应与“法定代表人证明书、法定代表人授权委托证明书”一起密封于一信封，在递交投标文件时单独交与</w:t>
      </w:r>
      <w:r>
        <w:rPr>
          <w:rFonts w:hint="eastAsia" w:ascii="宋体" w:hAnsi="宋体"/>
          <w:b/>
          <w:bCs/>
          <w:snapToGrid w:val="0"/>
          <w:kern w:val="0"/>
          <w:szCs w:val="21"/>
        </w:rPr>
        <w:t>招标代理机构。</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报价表（格式6）</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技术规格（格式7）</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交付进度（格式8）</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售后服务和质量承诺（格式9）</w:t>
      </w:r>
    </w:p>
    <w:p>
      <w:pPr>
        <w:numPr>
          <w:ilvl w:val="0"/>
          <w:numId w:val="5"/>
        </w:numPr>
        <w:adjustRightInd w:val="0"/>
        <w:spacing w:line="360" w:lineRule="auto"/>
        <w:rPr>
          <w:rFonts w:ascii="宋体" w:hAnsi="宋体"/>
          <w:snapToGrid w:val="0"/>
          <w:kern w:val="0"/>
          <w:szCs w:val="21"/>
        </w:rPr>
      </w:pPr>
      <w:r>
        <w:rPr>
          <w:rFonts w:ascii="宋体" w:hAnsi="宋体"/>
          <w:snapToGrid w:val="0"/>
          <w:kern w:val="0"/>
        </w:rPr>
        <w:t>投标人资格</w:t>
      </w:r>
      <w:r>
        <w:rPr>
          <w:rFonts w:hint="eastAsia" w:ascii="宋体" w:hAnsi="宋体"/>
          <w:snapToGrid w:val="0"/>
          <w:kern w:val="0"/>
        </w:rPr>
        <w:t>声</w:t>
      </w:r>
      <w:r>
        <w:rPr>
          <w:rFonts w:ascii="宋体" w:hAnsi="宋体"/>
          <w:snapToGrid w:val="0"/>
          <w:kern w:val="0"/>
        </w:rPr>
        <w:t>明</w:t>
      </w:r>
      <w:r>
        <w:rPr>
          <w:rFonts w:hint="eastAsia" w:ascii="宋体" w:hAnsi="宋体"/>
          <w:snapToGrid w:val="0"/>
          <w:kern w:val="0"/>
        </w:rPr>
        <w:t>（</w:t>
      </w:r>
      <w:r>
        <w:rPr>
          <w:rFonts w:ascii="宋体" w:hAnsi="宋体"/>
          <w:snapToGrid w:val="0"/>
          <w:kern w:val="0"/>
        </w:rPr>
        <w:t>格式</w:t>
      </w:r>
      <w:r>
        <w:rPr>
          <w:rFonts w:hint="eastAsia" w:ascii="宋体" w:hAnsi="宋体"/>
          <w:snapToGrid w:val="0"/>
          <w:kern w:val="0"/>
        </w:rPr>
        <w:t>10</w:t>
      </w:r>
      <w:r>
        <w:rPr>
          <w:rFonts w:ascii="宋体" w:hAnsi="宋体"/>
          <w:snapToGrid w:val="0"/>
          <w:kern w:val="0"/>
        </w:rPr>
        <w:t>）</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偏离</w:t>
      </w:r>
      <w:r>
        <w:rPr>
          <w:rFonts w:ascii="宋体" w:hAnsi="宋体"/>
          <w:snapToGrid w:val="0"/>
          <w:kern w:val="0"/>
          <w:szCs w:val="21"/>
        </w:rPr>
        <w:t>表（格式</w:t>
      </w:r>
      <w:r>
        <w:rPr>
          <w:rFonts w:hint="eastAsia" w:ascii="宋体" w:hAnsi="宋体"/>
          <w:snapToGrid w:val="0"/>
          <w:kern w:val="0"/>
          <w:szCs w:val="21"/>
        </w:rPr>
        <w:t>11</w:t>
      </w:r>
      <w:r>
        <w:rPr>
          <w:rFonts w:ascii="宋体" w:hAnsi="宋体"/>
          <w:snapToGrid w:val="0"/>
          <w:kern w:val="0"/>
          <w:szCs w:val="21"/>
        </w:rPr>
        <w:t>）</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rPr>
        <w:t>招标文件要求的其他资料或投标人认为需要补充的资料</w:t>
      </w:r>
      <w:r>
        <w:rPr>
          <w:rFonts w:hint="eastAsia" w:ascii="宋体" w:hAnsi="宋体"/>
          <w:snapToGrid w:val="0"/>
          <w:kern w:val="0"/>
          <w:szCs w:val="21"/>
        </w:rPr>
        <w:t>（格式12）</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7" w:name="_格式1__投标人资格证明文件"/>
      <w:bookmarkEnd w:id="47"/>
      <w:r>
        <w:br w:type="page"/>
      </w:r>
    </w:p>
    <w:p>
      <w:pPr>
        <w:adjustRightInd w:val="0"/>
        <w:snapToGrid w:val="0"/>
        <w:spacing w:line="300" w:lineRule="auto"/>
        <w:jc w:val="center"/>
      </w:pPr>
    </w:p>
    <w:p>
      <w:pPr>
        <w:pStyle w:val="4"/>
        <w:spacing w:line="400" w:lineRule="exact"/>
        <w:rPr>
          <w:rFonts w:ascii="仿宋" w:hAnsi="仿宋" w:eastAsia="仿宋"/>
        </w:rPr>
      </w:pPr>
      <w:bookmarkStart w:id="48" w:name="_Toc73610158"/>
      <w:r>
        <w:rPr>
          <w:rFonts w:hint="eastAsia" w:ascii="仿宋" w:hAnsi="仿宋" w:eastAsia="仿宋"/>
        </w:rPr>
        <w:t>评标指引表</w:t>
      </w:r>
      <w:bookmarkEnd w:id="48"/>
    </w:p>
    <w:p>
      <w:pPr>
        <w:jc w:val="center"/>
        <w:rPr>
          <w:b/>
          <w:szCs w:val="21"/>
        </w:rPr>
      </w:pPr>
    </w:p>
    <w:p>
      <w:pPr>
        <w:spacing w:line="360" w:lineRule="auto"/>
        <w:ind w:firstLine="420" w:firstLineChars="200"/>
        <w:rPr>
          <w:rFonts w:ascii="宋体" w:hAnsi="宋体"/>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auto"/>
        <w:ind w:firstLine="420" w:firstLineChars="200"/>
        <w:rPr>
          <w:rFonts w:ascii="宋体" w:hAnsi="宋体"/>
          <w:szCs w:val="21"/>
        </w:rPr>
      </w:pP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zCs w:val="21"/>
              </w:rPr>
              <w:t>《节能产品政府采购品目清单》或《环境标志产品政府采购品目清单》中列示的产品，或</w:t>
            </w: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w:t>
            </w:r>
            <w:r>
              <w:rPr>
                <w:rFonts w:hint="eastAsia" w:asciiTheme="minorEastAsia" w:hAnsiTheme="minorEastAsia" w:eastAsiaTheme="minorEastAsia"/>
                <w:bCs/>
                <w:szCs w:val="21"/>
              </w:rPr>
              <w:t>优惠政策。</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6"/>
        <w:spacing w:line="360" w:lineRule="auto"/>
        <w:ind w:firstLine="424" w:firstLineChars="201"/>
        <w:rPr>
          <w:rFonts w:hAnsi="宋体"/>
          <w:b/>
          <w:szCs w:val="21"/>
        </w:rPr>
      </w:pPr>
    </w:p>
    <w:p>
      <w:pPr>
        <w:pStyle w:val="26"/>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3"/>
        <w:jc w:val="center"/>
      </w:pPr>
    </w:p>
    <w:p/>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49" w:name="_Toc44690705"/>
      <w:bookmarkStart w:id="50" w:name="_Toc44690432"/>
      <w:bookmarkStart w:id="51" w:name="_Toc44691396"/>
      <w:bookmarkStart w:id="52" w:name="_Toc44691164"/>
      <w:r>
        <w:rPr>
          <w:rFonts w:hint="eastAsia" w:asciiTheme="minorEastAsia" w:hAnsiTheme="minorEastAsia" w:eastAsiaTheme="minorEastAsia"/>
          <w:sz w:val="24"/>
        </w:rPr>
        <w:t>格式1  投标人资格证明文件</w:t>
      </w:r>
      <w:bookmarkEnd w:id="49"/>
      <w:bookmarkEnd w:id="50"/>
      <w:bookmarkEnd w:id="51"/>
      <w:bookmarkEnd w:id="52"/>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3、股东构成审查表</w:t>
      </w:r>
    </w:p>
    <w:p>
      <w:pPr>
        <w:adjustRightInd w:val="0"/>
        <w:snapToGrid w:val="0"/>
        <w:spacing w:line="360" w:lineRule="auto"/>
        <w:ind w:firstLine="424" w:firstLineChars="202"/>
        <w:rPr>
          <w:rFonts w:ascii="宋体" w:hAnsi="宋体"/>
        </w:rPr>
      </w:pPr>
      <w:r>
        <w:rPr>
          <w:rFonts w:hint="eastAsia" w:ascii="宋体" w:hAnsi="宋体"/>
        </w:rPr>
        <w:t>4、其它资格证明材料（按第一章投标邀请“申请人的资格要求”提供）</w:t>
      </w:r>
    </w:p>
    <w:p>
      <w:pPr>
        <w:adjustRightInd w:val="0"/>
        <w:snapToGrid w:val="0"/>
        <w:spacing w:line="360" w:lineRule="auto"/>
        <w:rPr>
          <w:rFonts w:ascii="宋体" w:hAnsi="宋体"/>
          <w:bCs/>
          <w:snapToGrid w:val="0"/>
          <w:kern w:val="0"/>
        </w:rPr>
      </w:pPr>
    </w:p>
    <w:p>
      <w:pPr>
        <w:adjustRightInd w:val="0"/>
        <w:snapToGrid w:val="0"/>
        <w:spacing w:line="360" w:lineRule="auto"/>
        <w:ind w:firstLine="424" w:firstLineChars="201"/>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widowControl/>
        <w:jc w:val="left"/>
        <w:rPr>
          <w:b/>
          <w:snapToGrid w:val="0"/>
          <w:sz w:val="32"/>
          <w:szCs w:val="32"/>
        </w:rPr>
      </w:pPr>
      <w:r>
        <w:rPr>
          <w:b/>
          <w:snapToGrid w:val="0"/>
          <w:sz w:val="32"/>
          <w:szCs w:val="32"/>
        </w:rPr>
        <w:br w:type="page"/>
      </w:r>
    </w:p>
    <w:p>
      <w:pPr>
        <w:adjustRightInd w:val="0"/>
        <w:snapToGrid w:val="0"/>
        <w:spacing w:line="300" w:lineRule="auto"/>
        <w:jc w:val="center"/>
        <w:rPr>
          <w:b/>
          <w:snapToGrid w:val="0"/>
          <w:sz w:val="32"/>
          <w:szCs w:val="32"/>
        </w:rPr>
      </w:pP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6.我单位参与该项目投标，严格遵循公平竞争的原则，不恶意串通，不妨碍其他投标人的竞争行为，不损害采购人或者其他投标人的合法权益。我单位已清楚，如违反上述要求，将作投标无效处理。</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r>
        <w:br w:type="page"/>
      </w:r>
    </w:p>
    <w:p>
      <w:pPr>
        <w:adjustRightInd w:val="0"/>
        <w:snapToGrid w:val="0"/>
        <w:spacing w:line="360" w:lineRule="auto"/>
        <w:ind w:firstLine="600"/>
        <w:jc w:val="right"/>
      </w:pPr>
    </w:p>
    <w:p>
      <w:pPr>
        <w:pStyle w:val="3"/>
        <w:spacing w:before="0" w:after="0" w:line="360" w:lineRule="auto"/>
        <w:jc w:val="center"/>
        <w:rPr>
          <w:rFonts w:asciiTheme="minorEastAsia" w:hAnsiTheme="minorEastAsia" w:eastAsiaTheme="minorEastAsia"/>
          <w:kern w:val="0"/>
          <w:sz w:val="28"/>
          <w:szCs w:val="28"/>
        </w:rPr>
      </w:pPr>
      <w:bookmarkStart w:id="53" w:name="_Toc73610159"/>
      <w:r>
        <w:rPr>
          <w:rFonts w:hint="eastAsia" w:asciiTheme="minorEastAsia" w:hAnsiTheme="minorEastAsia" w:eastAsiaTheme="minorEastAsia"/>
          <w:kern w:val="0"/>
          <w:sz w:val="28"/>
          <w:szCs w:val="28"/>
        </w:rPr>
        <w:t>股东构成审查表</w:t>
      </w:r>
      <w:bookmarkEnd w:id="53"/>
    </w:p>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napToGrid w:val="0"/>
          <w:szCs w:val="21"/>
        </w:rPr>
        <w:t>项目</w:t>
      </w:r>
      <w:r>
        <w:rPr>
          <w:rFonts w:hint="eastAsia" w:asciiTheme="minorEastAsia" w:hAnsiTheme="minorEastAsia" w:eastAsiaTheme="minorEastAsia"/>
          <w:szCs w:val="21"/>
        </w:rPr>
        <w:t>名称：</w:t>
      </w:r>
      <w:r>
        <w:rPr>
          <w:rFonts w:hint="eastAsia" w:asciiTheme="minorEastAsia" w:hAnsiTheme="minorEastAsia" w:eastAsiaTheme="minorEastAsia"/>
          <w:szCs w:val="21"/>
          <w:u w:val="single"/>
        </w:rPr>
        <w:t xml:space="preserve">                </w:t>
      </w:r>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zCs w:val="21"/>
        </w:rPr>
        <w:t>项目编号：</w:t>
      </w:r>
      <w:r>
        <w:rPr>
          <w:rFonts w:hint="eastAsia" w:asciiTheme="minorEastAsia" w:hAnsiTheme="minorEastAsia" w:eastAsiaTheme="minorEastAsia"/>
          <w:szCs w:val="21"/>
          <w:u w:val="single"/>
        </w:rPr>
        <w:t xml:space="preserve">                </w:t>
      </w:r>
    </w:p>
    <w:tbl>
      <w:tblPr>
        <w:tblStyle w:val="50"/>
        <w:tblW w:w="10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244"/>
        <w:gridCol w:w="1748"/>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101"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524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投标人股东构成审查内容</w:t>
            </w:r>
          </w:p>
        </w:tc>
        <w:tc>
          <w:tcPr>
            <w:tcW w:w="1748"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投标人响应情况</w:t>
            </w:r>
          </w:p>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（是或否）</w:t>
            </w:r>
          </w:p>
        </w:tc>
        <w:tc>
          <w:tcPr>
            <w:tcW w:w="2222"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是否存在“与投标供应商单位负责人（法定代表人）为同一人的不同单位”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是否存在“与投标供应商存在管理关系的不同单位”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投标供应商是否有控股的子公司</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股东情况：控股投标供应商的股东名单</w:t>
            </w:r>
          </w:p>
        </w:tc>
        <w:tc>
          <w:tcPr>
            <w:tcW w:w="1748"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2222" w:type="dxa"/>
            <w:vAlign w:val="center"/>
          </w:tcPr>
          <w:p>
            <w:pPr>
              <w:spacing w:line="360" w:lineRule="auto"/>
              <w:jc w:val="center"/>
              <w:rPr>
                <w:rFonts w:asciiTheme="minorEastAsia" w:hAnsiTheme="minorEastAsia" w:eastAsiaTheme="minorEastAsia"/>
                <w:szCs w:val="21"/>
              </w:rPr>
            </w:pPr>
          </w:p>
        </w:tc>
      </w:tr>
    </w:tbl>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注：</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1、响应情况为“是”，需在“名单”栏中提供相应的单位、子公司和股东的名单；响应情况为“否”，在“名单”栏填写“无”；股东情况仅需列明股东名单即可。</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2、管理关系是指：投标供应商与特定企业之间因通过间接控股、投资关系、协议或者其他安排，存在实际管理关系。</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spacing w:line="360" w:lineRule="auto"/>
        <w:rPr>
          <w:rFonts w:ascii="仿宋_GB2312" w:eastAsia="仿宋_GB2312" w:hAnsiTheme="minorEastAsia"/>
          <w:b/>
          <w:i/>
          <w:color w:val="FF0000"/>
          <w:sz w:val="24"/>
        </w:rPr>
      </w:pPr>
      <w:r>
        <w:rPr>
          <w:rFonts w:hint="eastAsia" w:ascii="仿宋_GB2312" w:eastAsia="仿宋_GB2312" w:hAnsiTheme="minorEastAsia"/>
          <w:b/>
          <w:i/>
          <w:color w:val="FF0000"/>
          <w:sz w:val="24"/>
        </w:rPr>
        <w:t>根据《中华人民共和国政府采购法实施条例》第十八条规定：“单位负责人为同一人或者存在直接控股、管理关系的不同供应商，不得参加同一合同项下的政府采购活动。”</w:t>
      </w:r>
    </w:p>
    <w:p>
      <w:pPr>
        <w:spacing w:line="300" w:lineRule="auto"/>
        <w:rPr>
          <w:rFonts w:asciiTheme="minorEastAsia" w:hAnsiTheme="minorEastAsia" w:eastAsiaTheme="minorEastAsia"/>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投标单位：（盖章）</w:t>
      </w: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授权代表或法定代表人：（签字）</w:t>
      </w:r>
    </w:p>
    <w:p>
      <w:pPr>
        <w:spacing w:line="360" w:lineRule="auto"/>
        <w:ind w:firstLine="600"/>
        <w:jc w:val="right"/>
        <w:rPr>
          <w:b/>
          <w:snapToGrid w:val="0"/>
          <w:sz w:val="32"/>
          <w:szCs w:val="32"/>
        </w:rPr>
      </w:pPr>
      <w:r>
        <w:rPr>
          <w:rFonts w:hint="eastAsia" w:asciiTheme="minorEastAsia" w:hAnsiTheme="minorEastAsia" w:eastAsiaTheme="minorEastAsia"/>
          <w:szCs w:val="21"/>
        </w:rPr>
        <w:t>年     月    日</w:t>
      </w:r>
      <w:r>
        <w:rPr>
          <w:b/>
          <w:snapToGrid w:val="0"/>
          <w:sz w:val="32"/>
          <w:szCs w:val="32"/>
        </w:rPr>
        <w:br w:type="page"/>
      </w:r>
    </w:p>
    <w:p>
      <w:pPr>
        <w:adjustRightInd w:val="0"/>
        <w:snapToGrid w:val="0"/>
        <w:spacing w:line="300" w:lineRule="auto"/>
        <w:jc w:val="center"/>
        <w:rPr>
          <w:b/>
          <w:snapToGrid w:val="0"/>
          <w:sz w:val="32"/>
          <w:szCs w:val="32"/>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r>
        <w:rPr>
          <w:rFonts w:hint="eastAsia" w:asciiTheme="minorEastAsia" w:hAnsiTheme="minorEastAsia" w:eastAsiaTheme="minorEastAsia"/>
          <w:sz w:val="24"/>
        </w:rPr>
        <w:t>格式2  法定代表人证明书及授权委托书</w:t>
      </w:r>
    </w:p>
    <w:p>
      <w:pPr>
        <w:adjustRightInd w:val="0"/>
        <w:snapToGrid w:val="0"/>
        <w:spacing w:line="300" w:lineRule="auto"/>
        <w:jc w:val="center"/>
        <w:rPr>
          <w:b/>
          <w:snapToGrid w:val="0"/>
          <w:sz w:val="32"/>
          <w:szCs w:val="32"/>
        </w:rPr>
      </w:pPr>
    </w:p>
    <w:p>
      <w:pPr>
        <w:tabs>
          <w:tab w:val="left" w:pos="450"/>
        </w:tabs>
        <w:jc w:val="center"/>
        <w:rPr>
          <w:rFonts w:ascii="宋体" w:hAnsi="宋体"/>
          <w:b/>
          <w:sz w:val="28"/>
          <w:szCs w:val="28"/>
        </w:rPr>
      </w:pPr>
      <w:r>
        <w:rPr>
          <w:rFonts w:hint="eastAsia" w:ascii="宋体" w:hAnsi="宋体"/>
          <w:b/>
          <w:sz w:val="28"/>
          <w:szCs w:val="28"/>
        </w:rPr>
        <w:t>法定代表人证明书（参考）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w:pict>
          <v:rect id="Rectangle 5" o:spid="_x0000_s2072" o:spt="1" style="position:absolute;left:0pt;margin-left:250.65pt;margin-top:10.75pt;height:156pt;width:243pt;z-index:251678720;mso-width-relative:page;mso-height-relative:page;" coordsize="21600,21600">
            <v:path/>
            <v:fill focussize="0,0"/>
            <v:stroke/>
            <v:imagedata o:title=""/>
            <o:lock v:ext="edit"/>
            <v:textbox>
              <w:txbxContent>
                <w:p>
                  <w:pPr>
                    <w:ind w:firstLine="1260" w:firstLineChars="600"/>
                  </w:pPr>
                  <w:r>
                    <w:rPr>
                      <w:rFonts w:hint="eastAsia"/>
                    </w:rPr>
                    <w:t xml:space="preserve">     法定代表人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w:r>
      <w:r>
        <w:rPr>
          <w:rFonts w:ascii="宋体"/>
          <w:b/>
          <w:bCs/>
        </w:rPr>
        <w:pict>
          <v:rect id="Rectangle 4" o:spid="_x0000_s2071" o:spt="1" style="position:absolute;left:0pt;margin-left:-11.85pt;margin-top:10.75pt;height:156pt;width:243pt;z-index:251677696;mso-width-relative:page;mso-height-relative:page;" coordsize="21600,21600">
            <v:path/>
            <v:fill focussize="0,0"/>
            <v:stroke/>
            <v:imagedata o:title=""/>
            <o:lock v:ext="edit"/>
            <v:textbox>
              <w:txbxContent>
                <w:p>
                  <w:pPr>
                    <w:ind w:firstLine="1260" w:firstLineChars="600"/>
                    <w:jc w:val="left"/>
                  </w:pPr>
                  <w:r>
                    <w:rPr>
                      <w:rFonts w:hint="eastAsia"/>
                    </w:rPr>
                    <w:t xml:space="preserve">     法定代表人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法定代表人授权委托证明书（参考）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法定代表人：（签字）</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4" w:name="_Toc226217114"/>
      <w:r>
        <w:rPr>
          <w:rFonts w:ascii="宋体"/>
        </w:rPr>
        <w:pict>
          <v:rect id="Rectangle 2" o:spid="_x0000_s2069" o:spt="1" style="position:absolute;left:0pt;margin-left:-10.35pt;margin-top:5.6pt;height:156pt;width:243pt;z-index:251675648;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w:r>
      <w:r>
        <w:rPr>
          <w:rFonts w:ascii="黑体" w:eastAsia="黑体"/>
        </w:rPr>
        <w:pict>
          <v:rect id="Rectangle 3" o:spid="_x0000_s2070" o:spt="1" style="position:absolute;left:0pt;margin-left:249.9pt;margin-top:5.6pt;height:156pt;width:243pt;z-index:251676672;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w:r>
      <w:bookmarkEnd w:id="54"/>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pPr>
      <w:r>
        <w:rPr>
          <w:rFonts w:hint="eastAsia" w:asciiTheme="majorEastAsia" w:hAnsiTheme="majorEastAsia" w:eastAsiaTheme="majorEastAsia"/>
          <w:b/>
          <w:sz w:val="24"/>
        </w:rPr>
        <w:t>注：法定代表人证明书和法定代表人授权委托证明书除装订于投标文件中外，还须另置一份按“投标人须知”18.4项要求单独密封。</w:t>
      </w:r>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投</w:t>
      </w:r>
      <w:r>
        <w:rPr>
          <w:rFonts w:asciiTheme="minorEastAsia" w:hAnsiTheme="minorEastAsia" w:eastAsiaTheme="minorEastAsia"/>
          <w:sz w:val="24"/>
        </w:rPr>
        <w:t xml:space="preserve"> </w:t>
      </w:r>
      <w:r>
        <w:rPr>
          <w:rFonts w:hint="eastAsia" w:asciiTheme="minorEastAsia" w:hAnsiTheme="minorEastAsia" w:eastAsiaTheme="minorEastAsia"/>
          <w:sz w:val="24"/>
        </w:rPr>
        <w:t>标</w:t>
      </w:r>
      <w:r>
        <w:rPr>
          <w:rFonts w:asciiTheme="minorEastAsia" w:hAnsiTheme="minorEastAsia" w:eastAsiaTheme="minorEastAsia"/>
          <w:sz w:val="24"/>
        </w:rPr>
        <w:t xml:space="preserve"> </w:t>
      </w:r>
      <w:r>
        <w:rPr>
          <w:rFonts w:hint="eastAsia" w:asciiTheme="minorEastAsia" w:hAnsiTheme="minorEastAsia" w:eastAsiaTheme="minorEastAsia"/>
          <w:sz w:val="24"/>
        </w:rPr>
        <w:t>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2．我单位提交的投标文件为：投标书正本一份，副本四份，电子备份光盘（或U盘）一份（内容为投标文件正本盖章扫描件）。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4．我单位愿意提供招标代理机构在招标文件中要求的所有资料，且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6．我单位愿按《中华人民共和国民法典》履行自己的全部责任。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同意中标后向招标代理机构支付招标文件要求数额的中标服务费。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格式4  评分中涉及的承诺及声明函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3"/>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
      <w:pPr>
        <w:adjustRightInd w:val="0"/>
        <w:spacing w:line="300" w:lineRule="auto"/>
        <w:ind w:hanging="2"/>
        <w:jc w:val="center"/>
        <w:rPr>
          <w:b/>
          <w:snapToGrid w:val="0"/>
          <w:kern w:val="0"/>
          <w:sz w:val="28"/>
        </w:rPr>
      </w:pPr>
    </w:p>
    <w:p>
      <w:pPr>
        <w:widowControl/>
        <w:jc w:val="left"/>
        <w:rPr>
          <w:b/>
          <w:snapToGrid w:val="0"/>
          <w:kern w:val="0"/>
          <w:sz w:val="28"/>
        </w:rPr>
      </w:pPr>
      <w:r>
        <w:rPr>
          <w:b/>
          <w:snapToGrid w:val="0"/>
          <w:kern w:val="0"/>
          <w:sz w:val="28"/>
        </w:rPr>
        <w:br w:type="page"/>
      </w:r>
    </w:p>
    <w:p>
      <w:pPr>
        <w:adjustRightInd w:val="0"/>
        <w:spacing w:line="300" w:lineRule="auto"/>
        <w:ind w:hanging="2"/>
        <w:jc w:val="center"/>
        <w:rPr>
          <w:b/>
          <w:snapToGrid w:val="0"/>
          <w:kern w:val="0"/>
          <w:sz w:val="28"/>
        </w:rPr>
      </w:pPr>
    </w:p>
    <w:p>
      <w:pPr>
        <w:pStyle w:val="5"/>
        <w:tabs>
          <w:tab w:val="left" w:pos="0"/>
        </w:tabs>
        <w:jc w:val="center"/>
        <w:rPr>
          <w:rFonts w:ascii="宋体" w:hAnsi="宋体" w:eastAsia="宋体"/>
        </w:rPr>
      </w:pPr>
      <w:r>
        <w:rPr>
          <w:rFonts w:hint="eastAsia" w:ascii="宋体" w:hAnsi="宋体" w:eastAsia="宋体"/>
        </w:rPr>
        <w:t>中小企业声明函</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提供的货物全部由符合政策要求的中小企业制造</w:t>
      </w:r>
      <w:r>
        <w:rPr>
          <w:rFonts w:asciiTheme="minorEastAsia" w:hAnsiTheme="minorEastAsia" w:eastAsiaTheme="minorEastAsia"/>
          <w:szCs w:val="21"/>
        </w:rPr>
        <w:t>。相关企业（含联合体中的中小企业、签订分包意向协议的中小企业）的具体情况如下：</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0"/>
        <w:spacing w:before="108" w:line="304" w:lineRule="auto"/>
        <w:ind w:right="-1" w:firstLine="408"/>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相关规定。如不符合前述相关规定所确定的</w:t>
      </w:r>
      <w:r>
        <w:rPr>
          <w:rFonts w:hint="eastAsia" w:ascii="宋体" w:hAnsi="宋体"/>
          <w:b/>
          <w:szCs w:val="21"/>
        </w:rPr>
        <w:t>小型和微型企业</w:t>
      </w:r>
      <w:r>
        <w:rPr>
          <w:rFonts w:hint="eastAsia" w:ascii="宋体" w:hAnsi="宋体"/>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r>
        <w:rPr>
          <w:rFonts w:hint="eastAsia" w:ascii="宋体" w:hAnsi="宋体"/>
          <w:szCs w:val="21"/>
        </w:rPr>
        <w:t>3、供应商提供的货物既有中小企业制造货物，也有大型企业制造货物的，不享受中小企业扶持政策。</w:t>
      </w:r>
    </w:p>
    <w:p>
      <w:pPr>
        <w:pStyle w:val="5"/>
        <w:tabs>
          <w:tab w:val="left" w:pos="0"/>
        </w:tabs>
        <w:jc w:val="center"/>
        <w:rPr>
          <w:rFonts w:ascii="宋体" w:hAnsi="宋体" w:eastAsia="宋体"/>
        </w:rPr>
      </w:pPr>
      <w:r>
        <w:rPr>
          <w:rFonts w:hint="eastAsia" w:ascii="宋体" w:hAnsi="宋体" w:eastAsia="宋体"/>
        </w:rPr>
        <w:t>监狱企业声明函</w:t>
      </w:r>
    </w:p>
    <w:p>
      <w:pPr>
        <w:spacing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jc w:val="left"/>
        <w:rPr>
          <w:rFonts w:ascii="宋体" w:hAnsi="宋体"/>
          <w:szCs w:val="21"/>
        </w:rPr>
      </w:pPr>
      <w:r>
        <w:rPr>
          <w:rFonts w:hint="eastAsia" w:ascii="宋体" w:hAnsi="宋体"/>
          <w:szCs w:val="21"/>
        </w:rPr>
        <w:t xml:space="preserve">    备注：填写前请认真阅读《财政部、民政部、中国残疾人联合会关于促进残疾人就业政府采购政策的通知》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列入政府优先采购清单的投标产品一览表</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989"/>
        <w:gridCol w:w="1080"/>
        <w:gridCol w:w="1464"/>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restart"/>
            <w:vAlign w:val="center"/>
          </w:tcPr>
          <w:p>
            <w:pP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4"/>
          </w:tcPr>
          <w:p>
            <w:pPr>
              <w:jc w:val="center"/>
              <w:rPr>
                <w:b/>
                <w:szCs w:val="21"/>
              </w:rPr>
            </w:pPr>
            <w:r>
              <w:rPr>
                <w:rFonts w:hint="eastAsia"/>
                <w:b/>
                <w:szCs w:val="21"/>
              </w:rPr>
              <w:t>该投标产品报价及占投标总价的比例</w:t>
            </w:r>
          </w:p>
        </w:tc>
        <w:tc>
          <w:tcPr>
            <w:tcW w:w="1503" w:type="dxa"/>
            <w:vMerge w:val="restart"/>
            <w:vAlign w:val="center"/>
          </w:tcPr>
          <w:p>
            <w:pPr>
              <w:rPr>
                <w:b/>
                <w:szCs w:val="21"/>
              </w:rPr>
            </w:pPr>
            <w:r>
              <w:rPr>
                <w:rFonts w:hint="eastAsia"/>
                <w:b/>
                <w:szCs w:val="21"/>
              </w:rPr>
              <w:t>属于优先采购清单的类别</w:t>
            </w:r>
          </w:p>
        </w:tc>
        <w:tc>
          <w:tcPr>
            <w:tcW w:w="720" w:type="dxa"/>
            <w:vMerge w:val="restart"/>
            <w:vAlign w:val="center"/>
          </w:tcPr>
          <w:p>
            <w:pP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989" w:type="dxa"/>
            <w:vAlign w:val="center"/>
          </w:tcPr>
          <w:p>
            <w:pPr>
              <w:rPr>
                <w:szCs w:val="21"/>
              </w:rPr>
            </w:pPr>
            <w:r>
              <w:rPr>
                <w:rFonts w:hint="eastAsia"/>
                <w:szCs w:val="21"/>
              </w:rPr>
              <w:t>投标单价（元）</w:t>
            </w:r>
          </w:p>
        </w:tc>
        <w:tc>
          <w:tcPr>
            <w:tcW w:w="1080" w:type="dxa"/>
            <w:vAlign w:val="center"/>
          </w:tcPr>
          <w:p>
            <w:pPr>
              <w:rPr>
                <w:szCs w:val="21"/>
              </w:rPr>
            </w:pPr>
            <w:r>
              <w:rPr>
                <w:rFonts w:hint="eastAsia"/>
                <w:szCs w:val="21"/>
              </w:rPr>
              <w:t>投标合计报价（元）</w:t>
            </w:r>
          </w:p>
        </w:tc>
        <w:tc>
          <w:tcPr>
            <w:tcW w:w="1464" w:type="dxa"/>
            <w:vAlign w:val="center"/>
          </w:tcPr>
          <w:p>
            <w:pPr>
              <w:rPr>
                <w:szCs w:val="21"/>
              </w:rPr>
            </w:pPr>
            <w:r>
              <w:rPr>
                <w:rFonts w:hint="eastAsia"/>
                <w:szCs w:val="21"/>
              </w:rPr>
              <w:t>占投标总价的比例（%）</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1</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40" w:type="dxa"/>
          </w:tcPr>
          <w:p>
            <w:pPr>
              <w:rPr>
                <w:rFonts w:ascii="宋体" w:hAnsi="宋体"/>
                <w:szCs w:val="21"/>
              </w:rPr>
            </w:pPr>
            <w:r>
              <w:rPr>
                <w:rFonts w:hint="eastAsia" w:ascii="宋体" w:hAnsi="宋体"/>
                <w:szCs w:val="21"/>
              </w:rPr>
              <w:t>2</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szCs w:val="21"/>
        </w:rPr>
        <w:t>投标人的投标产品若不属于招标文件第四章“政府采购</w:t>
      </w:r>
      <w:r>
        <w:rPr>
          <w:rFonts w:hint="eastAsia"/>
          <w:bCs/>
          <w:szCs w:val="21"/>
        </w:rPr>
        <w:t>优惠政策”</w:t>
      </w:r>
      <w:r>
        <w:rPr>
          <w:rFonts w:hint="eastAsia"/>
          <w:szCs w:val="21"/>
        </w:rPr>
        <w:t>中所述清单或目录范围内，则无需填写该表。</w:t>
      </w:r>
    </w:p>
    <w:p>
      <w:pPr>
        <w:spacing w:line="360" w:lineRule="auto"/>
        <w:rPr>
          <w:rFonts w:ascii="宋体" w:hAnsi="宋体"/>
          <w:szCs w:val="21"/>
        </w:rPr>
      </w:pPr>
      <w:r>
        <w:rPr>
          <w:rFonts w:hint="eastAsia" w:ascii="宋体" w:hAnsi="宋体"/>
          <w:szCs w:val="21"/>
        </w:rPr>
        <w:t>2. “该投标产品报价及占投标总价的比例”栏中须准确填报该投标产品的投标单价、数量、投标合计报价及占</w:t>
      </w:r>
      <w:r>
        <w:rPr>
          <w:rFonts w:hint="eastAsia"/>
          <w:szCs w:val="21"/>
        </w:rPr>
        <w:t>投标总</w:t>
      </w:r>
      <w:r>
        <w:rPr>
          <w:rFonts w:hint="eastAsia" w:ascii="宋体" w:hAnsi="宋体"/>
          <w:szCs w:val="21"/>
        </w:rPr>
        <w:t>价的比例。</w:t>
      </w:r>
    </w:p>
    <w:p>
      <w:pPr>
        <w:spacing w:line="360" w:lineRule="auto"/>
        <w:rPr>
          <w:rFonts w:ascii="宋体" w:hAnsi="宋体"/>
          <w:szCs w:val="21"/>
        </w:rPr>
      </w:pPr>
      <w:r>
        <w:rPr>
          <w:rFonts w:hint="eastAsia" w:ascii="宋体" w:hAnsi="宋体"/>
          <w:szCs w:val="21"/>
        </w:rPr>
        <w:t>3. “属于优先采购清单的类别”栏中填写“《节能产品政府采购品目清单》”、“《环境标志产品政府采购品目清单》”（以</w:t>
      </w:r>
      <w:r>
        <w:rPr>
          <w:rFonts w:hint="eastAsia" w:ascii="宋体" w:hAnsi="宋体"/>
          <w:bCs/>
          <w:szCs w:val="21"/>
        </w:rPr>
        <w:t>中国政府采购网（http://www.ccgp.gov.cn/）最新一期查询结果为准</w:t>
      </w:r>
      <w:r>
        <w:rPr>
          <w:rFonts w:hint="eastAsia" w:ascii="宋体" w:hAnsi="宋体"/>
          <w:szCs w:val="21"/>
        </w:rPr>
        <w:t>）。</w:t>
      </w:r>
    </w:p>
    <w:p>
      <w:pPr>
        <w:spacing w:line="360" w:lineRule="auto"/>
        <w:jc w:val="left"/>
      </w:pPr>
      <w:r>
        <w:rPr>
          <w:rFonts w:hint="eastAsia" w:ascii="宋体" w:hAnsi="宋体"/>
          <w:b/>
          <w:szCs w:val="21"/>
        </w:rPr>
        <w:t>4. 对上表所列</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r>
        <w:t xml:space="preserve">                                       </w:t>
      </w:r>
      <w:r>
        <w:rPr>
          <w:b/>
          <w:bCs/>
        </w:rPr>
        <w:t xml:space="preserve">  </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left"/>
      </w:pPr>
    </w:p>
    <w:p>
      <w:pPr>
        <w:adjustRightInd w:val="0"/>
        <w:snapToGrid w:val="0"/>
        <w:spacing w:line="360" w:lineRule="auto"/>
        <w:ind w:firstLine="600"/>
        <w:jc w:val="left"/>
      </w:pPr>
    </w:p>
    <w:p>
      <w:pPr>
        <w:widowControl/>
        <w:jc w:val="left"/>
      </w:pPr>
      <w:r>
        <w:br w:type="page"/>
      </w:r>
    </w:p>
    <w:p>
      <w:pPr>
        <w:adjustRightInd w:val="0"/>
        <w:snapToGrid w:val="0"/>
        <w:spacing w:line="360" w:lineRule="auto"/>
        <w:ind w:firstLine="600"/>
        <w:jc w:val="left"/>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5" w:name="_Toc44690706"/>
      <w:bookmarkStart w:id="56" w:name="_Toc44690433"/>
      <w:bookmarkStart w:id="57" w:name="_Toc44691165"/>
      <w:bookmarkStart w:id="58" w:name="_Toc44691397"/>
      <w:r>
        <w:rPr>
          <w:rFonts w:hint="eastAsia" w:asciiTheme="minorEastAsia" w:hAnsiTheme="minorEastAsia" w:eastAsiaTheme="minorEastAsia"/>
          <w:sz w:val="24"/>
        </w:rPr>
        <w:t>格式5  开标一览表</w:t>
      </w:r>
      <w:bookmarkEnd w:id="55"/>
      <w:bookmarkEnd w:id="56"/>
      <w:bookmarkEnd w:id="57"/>
      <w:bookmarkEnd w:id="58"/>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4396"/>
        <w:gridCol w:w="226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97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9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226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2976" w:type="dxa"/>
            <w:tcBorders>
              <w:top w:val="single" w:color="auto" w:sz="4" w:space="0"/>
            </w:tcBorders>
            <w:vAlign w:val="center"/>
          </w:tcPr>
          <w:p>
            <w:pPr>
              <w:adjustRightInd w:val="0"/>
              <w:snapToGrid w:val="0"/>
              <w:spacing w:line="360" w:lineRule="auto"/>
              <w:jc w:val="center"/>
            </w:pPr>
            <w:r>
              <w:rPr>
                <w:rFonts w:hint="eastAsia"/>
              </w:rPr>
              <w:t>疫情防控智能监控系统采购项目</w:t>
            </w:r>
          </w:p>
        </w:tc>
        <w:tc>
          <w:tcPr>
            <w:tcW w:w="4396" w:type="dxa"/>
            <w:tcBorders>
              <w:top w:val="single" w:color="auto" w:sz="4" w:space="0"/>
            </w:tcBorders>
            <w:vAlign w:val="center"/>
          </w:tcPr>
          <w:p>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2261"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bCs/>
        </w:rPr>
        <w:t>投标</w:t>
      </w:r>
      <w:r>
        <w:rPr>
          <w:rFonts w:hint="eastAsia"/>
          <w:snapToGrid w:val="0"/>
          <w:kern w:val="0"/>
        </w:rPr>
        <w:t>总</w:t>
      </w:r>
      <w:r>
        <w:rPr>
          <w:rFonts w:hint="eastAsia" w:ascii="宋体" w:hAnsi="宋体"/>
          <w:bCs/>
        </w:rPr>
        <w:t>价必须是完成该项目的一切费用总和，包含设备费、运输费、装卸费、安装费、调试费、保险费、技术培训费、售后服务费、国家规定的各项税费等全部费用。</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8"/>
        <w:adjustRightInd w:val="0"/>
        <w:snapToGrid w:val="0"/>
        <w:spacing w:line="312" w:lineRule="auto"/>
        <w:jc w:val="center"/>
        <w:rPr>
          <w:rFonts w:ascii="Times New Roman" w:hAnsi="Times New Roman"/>
          <w:b/>
          <w:sz w:val="28"/>
        </w:rPr>
      </w:pPr>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9" w:name="_Toc44691398"/>
      <w:bookmarkStart w:id="60" w:name="_Toc44691166"/>
      <w:bookmarkStart w:id="61" w:name="_Toc44690707"/>
      <w:bookmarkStart w:id="62" w:name="_Toc44690434"/>
      <w:r>
        <w:rPr>
          <w:rFonts w:hint="eastAsia" w:asciiTheme="minorEastAsia" w:hAnsiTheme="minorEastAsia" w:eastAsiaTheme="minorEastAsia"/>
          <w:sz w:val="24"/>
        </w:rPr>
        <w:t>格式6  报价表</w:t>
      </w:r>
      <w:bookmarkEnd w:id="59"/>
      <w:bookmarkEnd w:id="60"/>
      <w:bookmarkEnd w:id="61"/>
      <w:bookmarkEnd w:id="62"/>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报价包</w:t>
      </w:r>
      <w:r>
        <w:rPr>
          <w:rFonts w:hint="eastAsia" w:ascii="宋体" w:hAnsi="宋体"/>
          <w:bCs/>
        </w:rPr>
        <w:t>含</w:t>
      </w:r>
      <w:r>
        <w:rPr>
          <w:rFonts w:hint="eastAsia" w:asciiTheme="minorEastAsia" w:hAnsiTheme="minorEastAsia" w:eastAsiaTheme="minorEastAsia"/>
          <w:bCs/>
        </w:rPr>
        <w:t>设备费、运输费、装卸费、安装费、调试费、保险费、技术培训费、售后服务费、国家规定的各项税费等全部费用</w:t>
      </w:r>
      <w:r>
        <w:rPr>
          <w:rFonts w:hint="eastAsia" w:asciiTheme="minorEastAsia" w:hAnsiTheme="minorEastAsia" w:eastAsiaTheme="minorEastAsia"/>
          <w:snapToGrid w:val="0"/>
          <w:kern w:val="0"/>
        </w:rPr>
        <w:t>。</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“分项价格表”应将所有设备报价，并分别列出“品牌、型号、产地及制造厂商”。</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1.4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p>
      <w:pPr>
        <w:adjustRightInd w:val="0"/>
        <w:snapToGrid w:val="0"/>
        <w:spacing w:line="300" w:lineRule="auto"/>
        <w:rPr>
          <w:snapToGrid w:val="0"/>
          <w:kern w:val="0"/>
        </w:rPr>
      </w:pPr>
    </w:p>
    <w:p>
      <w:pPr>
        <w:adjustRightInd w:val="0"/>
        <w:snapToGrid w:val="0"/>
        <w:spacing w:line="300" w:lineRule="auto"/>
        <w:jc w:val="center"/>
        <w:rPr>
          <w:rFonts w:asciiTheme="minorEastAsia" w:hAnsiTheme="minorEastAsia" w:eastAsiaTheme="minorEastAsia"/>
          <w:bCs/>
          <w:snapToGrid w:val="0"/>
          <w:kern w:val="0"/>
          <w:sz w:val="24"/>
          <w:u w:val="single"/>
        </w:rPr>
      </w:pPr>
      <w:r>
        <w:rPr>
          <w:rFonts w:hint="eastAsia" w:asciiTheme="minorEastAsia" w:hAnsiTheme="minorEastAsia" w:eastAsiaTheme="minorEastAsia"/>
          <w:snapToGrid w:val="0"/>
          <w:kern w:val="0"/>
          <w:sz w:val="24"/>
        </w:rPr>
        <w:t>（一）</w:t>
      </w:r>
      <w:r>
        <w:rPr>
          <w:rFonts w:hint="eastAsia" w:asciiTheme="minorEastAsia" w:hAnsiTheme="minorEastAsia" w:eastAsiaTheme="minorEastAsia"/>
          <w:bCs/>
          <w:snapToGrid w:val="0"/>
          <w:kern w:val="0"/>
          <w:sz w:val="24"/>
        </w:rPr>
        <w:t>报价总表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bCs/>
          <w:snapToGrid w:val="0"/>
          <w:kern w:val="0"/>
        </w:rPr>
      </w:pPr>
      <w:r>
        <w:rPr>
          <w:rFonts w:hint="eastAsia" w:asciiTheme="minorEastAsia" w:hAnsiTheme="minorEastAsia" w:eastAsiaTheme="minorEastAsia"/>
          <w:bCs/>
          <w:snapToGrid w:val="0"/>
          <w:kern w:val="0"/>
        </w:rPr>
        <w:t>项目编号：</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p>
    <w:tbl>
      <w:tblPr>
        <w:tblStyle w:val="50"/>
        <w:tblW w:w="1051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4939"/>
        <w:gridCol w:w="483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序号</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名称</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总价（单位：元）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设备费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运输费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装卸费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安装费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调试费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保险费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技术培训费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售后服务费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国家规定的各项税费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其它</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5685" w:type="dxa"/>
            <w:gridSpan w:val="2"/>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   计</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bl>
    <w:p>
      <w:pPr>
        <w:rPr>
          <w:rFonts w:asciiTheme="minorEastAsia" w:hAnsiTheme="minorEastAsia" w:eastAsiaTheme="minorEastAsia"/>
          <w:szCs w:val="21"/>
        </w:rPr>
      </w:pPr>
      <w:r>
        <w:rPr>
          <w:rFonts w:hint="eastAsia" w:asciiTheme="minorEastAsia" w:hAnsiTheme="minorEastAsia" w:eastAsiaTheme="minorEastAsia"/>
          <w:szCs w:val="21"/>
        </w:rPr>
        <w:t>备注：1、</w:t>
      </w:r>
      <w:r>
        <w:rPr>
          <w:rFonts w:hint="eastAsia" w:asciiTheme="minorEastAsia" w:hAnsiTheme="minorEastAsia" w:eastAsiaTheme="minorEastAsia"/>
          <w:bCs/>
          <w:szCs w:val="21"/>
        </w:rPr>
        <w:t>本表格仅为指导性范本，供应商可根据项目具体情况对各分项内容进行调整。</w:t>
      </w:r>
    </w:p>
    <w:p>
      <w:pPr>
        <w:adjustRightInd w:val="0"/>
        <w:jc w:val="left"/>
        <w:rPr>
          <w:rFonts w:asciiTheme="minorEastAsia" w:hAnsiTheme="minorEastAsia" w:eastAsiaTheme="minorEastAsia"/>
          <w:snapToGrid w:val="0"/>
          <w:kern w:val="0"/>
          <w:szCs w:val="21"/>
        </w:rPr>
      </w:pPr>
      <w:r>
        <w:rPr>
          <w:rFonts w:hint="eastAsia" w:asciiTheme="minorEastAsia" w:hAnsiTheme="minorEastAsia" w:eastAsiaTheme="minorEastAsia"/>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Theme="minorEastAsia" w:hAnsiTheme="minorEastAsia" w:eastAsiaTheme="minorEastAsia"/>
          <w:szCs w:val="21"/>
        </w:rPr>
        <w:t>。</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bCs/>
        </w:rPr>
      </w:pPr>
      <w:r>
        <w:rPr>
          <w:rFonts w:hint="eastAsia" w:asciiTheme="minorEastAsia" w:hAnsiTheme="minorEastAsia" w:eastAsiaTheme="minorEastAsia"/>
          <w:snapToGrid w:val="0"/>
          <w:kern w:val="0"/>
          <w:sz w:val="24"/>
        </w:rPr>
        <w:t>（二）</w:t>
      </w:r>
      <w:r>
        <w:rPr>
          <w:rFonts w:asciiTheme="minorEastAsia" w:hAnsiTheme="minorEastAsia" w:eastAsiaTheme="minorEastAsia"/>
          <w:snapToGrid w:val="0"/>
          <w:kern w:val="0"/>
          <w:sz w:val="24"/>
        </w:rPr>
        <w:t>分项价格表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snapToGrid w:val="0"/>
          <w:kern w:val="0"/>
          <w:sz w:val="24"/>
        </w:rPr>
      </w:pPr>
      <w:r>
        <w:rPr>
          <w:rFonts w:hint="eastAsia" w:asciiTheme="minorEastAsia" w:hAnsiTheme="minorEastAsia" w:eastAsiaTheme="minorEastAsia"/>
          <w:bCs/>
          <w:snapToGrid w:val="0"/>
          <w:kern w:val="0"/>
        </w:rPr>
        <w:t>项目编号：</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r>
        <w:rPr>
          <w:rFonts w:asciiTheme="minorEastAsia" w:hAnsiTheme="minorEastAsia" w:eastAsiaTheme="minorEastAsia"/>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821"/>
        <w:gridCol w:w="709"/>
        <w:gridCol w:w="851"/>
        <w:gridCol w:w="1417"/>
        <w:gridCol w:w="992"/>
        <w:gridCol w:w="709"/>
        <w:gridCol w:w="873"/>
        <w:gridCol w:w="1276"/>
        <w:gridCol w:w="12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序号</w:t>
            </w:r>
          </w:p>
        </w:tc>
        <w:tc>
          <w:tcPr>
            <w:tcW w:w="182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货物</w:t>
            </w:r>
            <w:r>
              <w:rPr>
                <w:rFonts w:asciiTheme="minorEastAsia" w:hAnsiTheme="minorEastAsia" w:eastAsiaTheme="minorEastAsia"/>
                <w:snapToGrid w:val="0"/>
                <w:kern w:val="0"/>
              </w:rPr>
              <w:t>名称</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品牌</w:t>
            </w: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zCs w:val="21"/>
              </w:rPr>
              <w:t>规格/型号</w:t>
            </w: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制造厂商</w:t>
            </w: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原产地</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数量</w:t>
            </w: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单价</w:t>
            </w:r>
          </w:p>
        </w:tc>
        <w:tc>
          <w:tcPr>
            <w:tcW w:w="127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w:t>
            </w:r>
            <w:r>
              <w:rPr>
                <w:rFonts w:asciiTheme="minorEastAsia" w:hAnsiTheme="minorEastAsia" w:eastAsiaTheme="minorEastAsia"/>
                <w:snapToGrid w:val="0"/>
                <w:kern w:val="0"/>
              </w:rPr>
              <w:t>价</w:t>
            </w:r>
          </w:p>
        </w:tc>
        <w:tc>
          <w:tcPr>
            <w:tcW w:w="1248" w:type="dxa"/>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是否为进口产品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2</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3</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4</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5</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6</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7</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8</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9</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10</w:t>
            </w:r>
          </w:p>
        </w:tc>
        <w:tc>
          <w:tcPr>
            <w:tcW w:w="1821" w:type="dxa"/>
            <w:vAlign w:val="center"/>
          </w:tcPr>
          <w:p>
            <w:pPr>
              <w:widowControl/>
              <w:spacing w:line="360" w:lineRule="auto"/>
              <w:jc w:val="center"/>
              <w:rPr>
                <w:rFonts w:cs="Arial"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10565" w:type="dxa"/>
            <w:gridSpan w:val="10"/>
            <w:vAlign w:val="center"/>
          </w:tcPr>
          <w:p>
            <w:pPr>
              <w:adjustRightInd w:val="0"/>
              <w:snapToGrid w:val="0"/>
              <w:spacing w:line="300" w:lineRule="auto"/>
              <w:jc w:val="left"/>
              <w:rPr>
                <w:rFonts w:asciiTheme="minorEastAsia" w:hAnsiTheme="minorEastAsia" w:eastAsiaTheme="minorEastAsia"/>
                <w:snapToGrid w:val="0"/>
                <w:kern w:val="0"/>
              </w:rPr>
            </w:pPr>
            <w:r>
              <w:rPr>
                <w:rFonts w:hint="eastAsia" w:asciiTheme="minorEastAsia" w:hAnsiTheme="minorEastAsia" w:eastAsiaTheme="minorEastAsia"/>
                <w:sz w:val="24"/>
              </w:rPr>
              <w:t>总计（即投标总价；币种：人民币；单位：元）：</w:t>
            </w:r>
          </w:p>
        </w:tc>
      </w:tr>
    </w:tbl>
    <w:p>
      <w:pPr>
        <w:rPr>
          <w:rFonts w:asciiTheme="minorEastAsia" w:hAnsiTheme="minorEastAsia" w:eastAsiaTheme="minorEastAsia"/>
        </w:rPr>
      </w:pPr>
      <w:r>
        <w:rPr>
          <w:rFonts w:hint="eastAsia" w:asciiTheme="minorEastAsia" w:hAnsiTheme="minorEastAsia" w:eastAsiaTheme="minorEastAsia"/>
          <w:snapToGrid w:val="0"/>
          <w:kern w:val="0"/>
        </w:rPr>
        <w:t>注：</w:t>
      </w:r>
      <w:r>
        <w:rPr>
          <w:rFonts w:hint="eastAsia" w:asciiTheme="minorEastAsia" w:hAnsiTheme="minorEastAsia" w:eastAsiaTheme="minorEastAsia"/>
        </w:rPr>
        <w:t>1. 本表</w:t>
      </w:r>
      <w:r>
        <w:rPr>
          <w:rFonts w:asciiTheme="minorEastAsia" w:hAnsiTheme="minorEastAsia" w:eastAsiaTheme="minorEastAsia"/>
        </w:rPr>
        <w:t>应</w:t>
      </w:r>
      <w:r>
        <w:rPr>
          <w:rFonts w:hint="eastAsia" w:asciiTheme="minorEastAsia" w:hAnsiTheme="minorEastAsia" w:eastAsiaTheme="minorEastAsia"/>
        </w:rPr>
        <w:t>根据</w:t>
      </w:r>
      <w:r>
        <w:rPr>
          <w:rFonts w:hint="eastAsia" w:ascii="宋体" w:hAnsi="宋体" w:cs="Arial"/>
          <w:bCs/>
          <w:szCs w:val="21"/>
        </w:rPr>
        <w:t>招标文件第二章《项目需求》中</w:t>
      </w:r>
      <w:r>
        <w:rPr>
          <w:rFonts w:hint="eastAsia" w:asciiTheme="minorEastAsia" w:hAnsiTheme="minorEastAsia" w:eastAsiaTheme="minorEastAsia"/>
        </w:rPr>
        <w:t>“一、采购范围”的</w:t>
      </w:r>
      <w:r>
        <w:rPr>
          <w:rFonts w:hint="eastAsia" w:asciiTheme="minorEastAsia" w:hAnsiTheme="minorEastAsia" w:eastAsiaTheme="minorEastAsia"/>
          <w:b/>
          <w:szCs w:val="21"/>
        </w:rPr>
        <w:t>“（二）采购清单明细”</w:t>
      </w:r>
      <w:r>
        <w:rPr>
          <w:rFonts w:hint="eastAsia" w:asciiTheme="minorEastAsia" w:hAnsiTheme="minorEastAsia" w:eastAsiaTheme="minorEastAsia"/>
        </w:rPr>
        <w:t>填写</w:t>
      </w:r>
      <w:r>
        <w:rPr>
          <w:rFonts w:asciiTheme="minorEastAsia" w:hAnsiTheme="minorEastAsia" w:eastAsiaTheme="minorEastAsia"/>
        </w:rPr>
        <w:t>，</w:t>
      </w:r>
      <w:r>
        <w:rPr>
          <w:rFonts w:hint="eastAsia" w:asciiTheme="minorEastAsia" w:hAnsiTheme="minorEastAsia" w:eastAsiaTheme="minorEastAsia"/>
          <w:b/>
        </w:rPr>
        <w:t>本表格式不得修改</w:t>
      </w:r>
      <w:r>
        <w:rPr>
          <w:rFonts w:hint="eastAsia" w:asciiTheme="minorEastAsia" w:hAnsiTheme="minorEastAsia" w:eastAsiaTheme="minorEastAsia"/>
        </w:rPr>
        <w:t>（续行除外）。</w:t>
      </w:r>
      <w:r>
        <w:rPr>
          <w:rFonts w:hint="eastAsia" w:asciiTheme="minorEastAsia" w:hAnsiTheme="minorEastAsia" w:eastAsiaTheme="minorEastAsia"/>
          <w:b/>
        </w:rPr>
        <w:t>对于定制类产品</w:t>
      </w:r>
      <w:r>
        <w:rPr>
          <w:rFonts w:hint="eastAsia" w:asciiTheme="minorEastAsia" w:hAnsiTheme="minorEastAsia" w:eastAsiaTheme="minorEastAsia"/>
          <w:b/>
          <w:lang w:eastAsia="zh-CN"/>
        </w:rPr>
        <w:t>或服务类</w:t>
      </w:r>
      <w:r>
        <w:rPr>
          <w:rFonts w:hint="eastAsia" w:asciiTheme="minorEastAsia" w:hAnsiTheme="minorEastAsia" w:eastAsiaTheme="minorEastAsia"/>
          <w:b/>
        </w:rPr>
        <w:t>，可以不填写品牌、型号等信息，但必须注明“定制”</w:t>
      </w:r>
      <w:r>
        <w:rPr>
          <w:rFonts w:hint="eastAsia" w:asciiTheme="minorEastAsia" w:hAnsiTheme="minorEastAsia" w:eastAsiaTheme="minorEastAsia"/>
          <w:b/>
          <w:lang w:eastAsia="zh-CN"/>
        </w:rPr>
        <w:t>或“服务”</w:t>
      </w:r>
      <w:r>
        <w:rPr>
          <w:rFonts w:hint="eastAsia" w:asciiTheme="minorEastAsia" w:hAnsiTheme="minorEastAsia" w:eastAsiaTheme="minorEastAsia"/>
          <w:b/>
        </w:rPr>
        <w:t>，否则该</w:t>
      </w:r>
      <w:r>
        <w:rPr>
          <w:rFonts w:hint="eastAsia" w:asciiTheme="minorEastAsia" w:hAnsiTheme="minorEastAsia" w:eastAsiaTheme="minorEastAsia"/>
          <w:b/>
          <w:lang w:eastAsia="zh-CN"/>
        </w:rPr>
        <w:t>项</w:t>
      </w:r>
      <w:r>
        <w:rPr>
          <w:rFonts w:hint="eastAsia" w:asciiTheme="minorEastAsia" w:hAnsiTheme="minorEastAsia" w:eastAsiaTheme="minorEastAsia"/>
          <w:b/>
        </w:rPr>
        <w:t>按负偏离处理</w:t>
      </w:r>
      <w:r>
        <w:rPr>
          <w:rFonts w:asciiTheme="minorEastAsia" w:hAnsiTheme="minorEastAsia" w:eastAsiaTheme="minorEastAsia"/>
          <w:b/>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2、投标人必须对照进口产品的规定明确其投标产品是否为进口产品。</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3、投标总价应为以上各分项价格之和；投标总价和表中单个采购条目报价均不得超过对应的财政预算限额，否则将导致无效投标。</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4、开标一览表中的投标</w:t>
      </w:r>
      <w:r>
        <w:rPr>
          <w:rFonts w:hint="eastAsia"/>
          <w:snapToGrid w:val="0"/>
          <w:kern w:val="0"/>
        </w:rPr>
        <w:t>总</w:t>
      </w:r>
      <w:r>
        <w:rPr>
          <w:rFonts w:hint="eastAsia" w:asciiTheme="minorEastAsia" w:hAnsiTheme="minorEastAsia" w:eastAsiaTheme="minorEastAsia"/>
        </w:rPr>
        <w:t>价应与本表中的投标总价金额一致。</w:t>
      </w:r>
    </w:p>
    <w:p>
      <w:pPr>
        <w:adjustRightInd w:val="0"/>
        <w:snapToGrid w:val="0"/>
        <w:spacing w:line="300" w:lineRule="auto"/>
        <w:rPr>
          <w:rFonts w:asciiTheme="minorEastAsia" w:hAnsiTheme="minorEastAsia" w:eastAsiaTheme="minorEastAsia"/>
          <w:snapToGrid w:val="0"/>
          <w:kern w:val="0"/>
        </w:rPr>
      </w:pPr>
      <w:r>
        <w:rPr>
          <w:rFonts w:hint="eastAsia" w:asciiTheme="minorEastAsia" w:hAnsiTheme="minorEastAsia" w:eastAsiaTheme="minorEastAsia"/>
        </w:rPr>
        <w:t>5、“原产地”是指该产品的实际生产加工地，而非品牌总公司所在地。</w:t>
      </w:r>
    </w:p>
    <w:p>
      <w:pPr>
        <w:adjustRightInd w:val="0"/>
        <w:snapToGrid w:val="0"/>
        <w:spacing w:line="300" w:lineRule="auto"/>
        <w:jc w:val="center"/>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（三）</w:t>
      </w:r>
      <w:r>
        <w:rPr>
          <w:rFonts w:hint="eastAsia" w:asciiTheme="minorEastAsia" w:hAnsiTheme="minorEastAsia" w:eastAsiaTheme="minorEastAsia"/>
          <w:bCs/>
          <w:sz w:val="24"/>
        </w:rPr>
        <w:t>供应商认为需要涉及的其他内容报价清单</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3" w:name="_Toc44691167"/>
      <w:bookmarkStart w:id="64" w:name="_Toc44691399"/>
      <w:bookmarkStart w:id="65" w:name="_Toc44690708"/>
      <w:bookmarkStart w:id="66" w:name="_Toc44690435"/>
      <w:r>
        <w:rPr>
          <w:rFonts w:hint="eastAsia" w:asciiTheme="minorEastAsia" w:hAnsiTheme="minorEastAsia" w:eastAsiaTheme="minorEastAsia"/>
          <w:sz w:val="24"/>
        </w:rPr>
        <w:t>格式7  技术规格</w:t>
      </w:r>
      <w:bookmarkEnd w:id="63"/>
      <w:bookmarkEnd w:id="64"/>
      <w:bookmarkEnd w:id="65"/>
      <w:bookmarkEnd w:id="66"/>
    </w:p>
    <w:p>
      <w:pPr>
        <w:pStyle w:val="7"/>
      </w:pPr>
    </w:p>
    <w:p>
      <w:pPr>
        <w:spacing w:line="360" w:lineRule="auto"/>
        <w:ind w:left="420"/>
        <w:rPr>
          <w:rFonts w:ascii="宋体" w:hAnsi="宋体"/>
        </w:rPr>
      </w:pPr>
      <w:r>
        <w:rPr>
          <w:rFonts w:hint="eastAsia" w:ascii="宋体" w:hAnsi="宋体"/>
        </w:rPr>
        <w:t>1、对投标产品的整体描述（包括采用文字、表格等形式）</w:t>
      </w:r>
    </w:p>
    <w:p>
      <w:pPr>
        <w:spacing w:line="360" w:lineRule="auto"/>
        <w:ind w:left="420"/>
        <w:rPr>
          <w:rFonts w:ascii="宋体" w:hAnsi="宋体"/>
        </w:rPr>
      </w:pPr>
      <w:r>
        <w:rPr>
          <w:rFonts w:hint="eastAsia" w:ascii="宋体" w:hAnsi="宋体"/>
        </w:rPr>
        <w:t>2、投标产品采用的技术标准</w:t>
      </w:r>
    </w:p>
    <w:p>
      <w:pPr>
        <w:spacing w:line="360" w:lineRule="auto"/>
        <w:ind w:left="420"/>
        <w:rPr>
          <w:rFonts w:ascii="宋体" w:hAnsi="宋体"/>
        </w:rPr>
      </w:pPr>
      <w:r>
        <w:rPr>
          <w:rFonts w:hint="eastAsia" w:ascii="宋体" w:hAnsi="宋体"/>
        </w:rPr>
        <w:t>3、投标产品的性能特点（包括新技术、新工艺、新材料的应用等）</w:t>
      </w:r>
    </w:p>
    <w:p>
      <w:pPr>
        <w:spacing w:line="360" w:lineRule="auto"/>
        <w:ind w:left="420"/>
        <w:rPr>
          <w:rFonts w:ascii="宋体" w:hAnsi="宋体"/>
        </w:rPr>
      </w:pPr>
      <w:r>
        <w:rPr>
          <w:rFonts w:hint="eastAsia" w:ascii="宋体" w:hAnsi="宋体"/>
        </w:rPr>
        <w:t>4、投标产品的外形尺寸图、成品的彩色图样等</w:t>
      </w:r>
    </w:p>
    <w:p>
      <w:pPr>
        <w:spacing w:line="360" w:lineRule="auto"/>
        <w:ind w:left="420"/>
        <w:rPr>
          <w:rFonts w:ascii="宋体" w:hAnsi="宋体"/>
        </w:rPr>
      </w:pPr>
      <w:r>
        <w:rPr>
          <w:rFonts w:hint="eastAsia" w:ascii="宋体" w:hAnsi="宋体"/>
        </w:rPr>
        <w:t>5、投标产品的说明书等</w:t>
      </w:r>
    </w:p>
    <w:p>
      <w:pPr>
        <w:spacing w:line="360" w:lineRule="auto"/>
        <w:ind w:left="420"/>
        <w:rPr>
          <w:rFonts w:ascii="宋体" w:hAnsi="宋体"/>
        </w:rPr>
      </w:pPr>
      <w:r>
        <w:rPr>
          <w:rFonts w:hint="eastAsia" w:ascii="宋体" w:hAnsi="宋体"/>
        </w:rPr>
        <w:t>6、其它</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widowControl/>
        <w:jc w:val="left"/>
        <w:rPr>
          <w:b/>
          <w:szCs w:val="21"/>
        </w:rPr>
      </w:pPr>
      <w:r>
        <w:rPr>
          <w:b/>
          <w:szCs w:val="21"/>
        </w:rPr>
        <w:br w:type="page"/>
      </w:r>
    </w:p>
    <w:p>
      <w:pPr>
        <w:pStyle w:val="28"/>
        <w:adjustRightInd w:val="0"/>
        <w:snapToGrid w:val="0"/>
        <w:spacing w:line="312" w:lineRule="auto"/>
        <w:jc w:val="left"/>
        <w:rPr>
          <w:rFonts w:ascii="Times New Roman" w:hAnsi="Times New Roman"/>
          <w:b/>
          <w:sz w:val="21"/>
          <w:szCs w:val="21"/>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8</w:t>
      </w:r>
      <w:r>
        <w:rPr>
          <w:rFonts w:asciiTheme="minorEastAsia" w:hAnsiTheme="minorEastAsia" w:eastAsiaTheme="minorEastAsia"/>
          <w:sz w:val="24"/>
        </w:rPr>
        <w:t xml:space="preserve">  交付进度</w:t>
      </w:r>
    </w:p>
    <w:p/>
    <w:p>
      <w:pPr>
        <w:jc w:val="center"/>
      </w:pPr>
      <w:r>
        <w:t>货物交付进度表</w:t>
      </w:r>
    </w:p>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530"/>
        <w:gridCol w:w="15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bl>
    <w:p/>
    <w:p/>
    <w:p>
      <w:pPr>
        <w:jc w:val="center"/>
      </w:pPr>
      <w:r>
        <w:t>安装调试进度表</w:t>
      </w:r>
    </w:p>
    <w:p>
      <w:pPr>
        <w:jc w:val="center"/>
      </w:pP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851"/>
        <w:gridCol w:w="12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bl>
    <w:p>
      <w:pPr>
        <w:jc w:val="cente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firstLine="6195" w:firstLineChars="2950"/>
        <w:rPr>
          <w:snapToGrid w:val="0"/>
          <w:kern w:val="0"/>
        </w:rPr>
      </w:pPr>
      <w:r>
        <w:rPr>
          <w:rFonts w:hint="eastAsia"/>
          <w:snapToGrid w:val="0"/>
          <w:kern w:val="0"/>
        </w:rPr>
        <w:t>年       月      日</w:t>
      </w:r>
    </w:p>
    <w:p>
      <w:pPr>
        <w:pStyle w:val="3"/>
        <w:spacing w:before="0"/>
        <w:rPr>
          <w:rFonts w:ascii="宋体" w:hAnsi="宋体"/>
          <w:sz w:val="28"/>
        </w:rPr>
      </w:pPr>
    </w:p>
    <w:p/>
    <w:p/>
    <w:p/>
    <w:p/>
    <w:p/>
    <w:p/>
    <w:p/>
    <w:p/>
    <w:p>
      <w:pPr>
        <w:widowControl/>
        <w:jc w:val="left"/>
        <w:rPr>
          <w:rFonts w:asciiTheme="minorEastAsia" w:hAnsiTheme="minorEastAsia" w:eastAsiaTheme="minorEastAsia"/>
          <w:b/>
          <w:sz w:val="24"/>
        </w:rPr>
      </w:pPr>
      <w:bookmarkStart w:id="67" w:name="_Toc44690436"/>
      <w:bookmarkStart w:id="68" w:name="_Toc44690709"/>
      <w:bookmarkStart w:id="69" w:name="_Toc44691168"/>
      <w:bookmarkStart w:id="70" w:name="_Toc44691400"/>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格式9  售后服务和质量承诺</w:t>
      </w:r>
      <w:bookmarkEnd w:id="67"/>
      <w:bookmarkEnd w:id="68"/>
      <w:bookmarkEnd w:id="69"/>
      <w:bookmarkEnd w:id="70"/>
    </w:p>
    <w:p>
      <w:pPr>
        <w:adjustRightInd w:val="0"/>
        <w:snapToGrid w:val="0"/>
        <w:spacing w:line="360" w:lineRule="auto"/>
        <w:rPr>
          <w:rFonts w:ascii="宋体" w:hAnsi="宋体"/>
        </w:rPr>
      </w:pPr>
    </w:p>
    <w:p>
      <w:pPr>
        <w:adjustRightInd w:val="0"/>
        <w:snapToGrid w:val="0"/>
        <w:spacing w:line="360" w:lineRule="auto"/>
        <w:rPr>
          <w:rFonts w:ascii="宋体" w:hAnsi="宋体"/>
        </w:rPr>
      </w:pPr>
      <w:r>
        <w:rPr>
          <w:rFonts w:hint="eastAsia" w:ascii="宋体" w:hAnsi="宋体"/>
        </w:rPr>
        <w:t>1、</w:t>
      </w:r>
      <w:r>
        <w:rPr>
          <w:rFonts w:hint="eastAsia"/>
        </w:rPr>
        <w:t>质保期和保修期服务承诺</w:t>
      </w:r>
    </w:p>
    <w:p>
      <w:pPr>
        <w:adjustRightInd w:val="0"/>
        <w:snapToGrid w:val="0"/>
        <w:spacing w:line="360" w:lineRule="auto"/>
        <w:rPr>
          <w:rFonts w:ascii="宋体" w:hAnsi="宋体"/>
        </w:rPr>
      </w:pPr>
      <w:r>
        <w:rPr>
          <w:rFonts w:hint="eastAsia" w:ascii="宋体" w:hAnsi="宋体"/>
        </w:rPr>
        <w:t>2、</w:t>
      </w:r>
      <w:r>
        <w:rPr>
          <w:rFonts w:hint="eastAsia"/>
        </w:rPr>
        <w:t>售后服务机构及维护人员配置</w:t>
      </w:r>
    </w:p>
    <w:p>
      <w:pPr>
        <w:adjustRightInd w:val="0"/>
        <w:snapToGrid w:val="0"/>
        <w:spacing w:line="360" w:lineRule="auto"/>
        <w:rPr>
          <w:rFonts w:ascii="宋体" w:hAnsi="宋体"/>
        </w:rPr>
      </w:pPr>
      <w:r>
        <w:rPr>
          <w:rFonts w:hint="eastAsia" w:ascii="宋体" w:hAnsi="宋体"/>
        </w:rPr>
        <w:t>3、</w:t>
      </w:r>
      <w:r>
        <w:rPr>
          <w:rFonts w:hint="eastAsia"/>
        </w:rPr>
        <w:t>售后服务应急措施</w:t>
      </w:r>
    </w:p>
    <w:p>
      <w:pPr>
        <w:adjustRightInd w:val="0"/>
        <w:snapToGrid w:val="0"/>
        <w:spacing w:line="360" w:lineRule="auto"/>
        <w:rPr>
          <w:rFonts w:ascii="宋体" w:hAnsi="宋体"/>
        </w:rPr>
      </w:pPr>
      <w:r>
        <w:rPr>
          <w:rFonts w:hint="eastAsia" w:ascii="宋体" w:hAnsi="宋体"/>
        </w:rPr>
        <w:t>4、</w:t>
      </w:r>
      <w:r>
        <w:rPr>
          <w:rFonts w:hint="eastAsia"/>
        </w:rPr>
        <w:t>故障或技术支持响应时间</w:t>
      </w:r>
    </w:p>
    <w:p>
      <w:pPr>
        <w:adjustRightInd w:val="0"/>
        <w:snapToGrid w:val="0"/>
        <w:spacing w:line="360" w:lineRule="auto"/>
        <w:rPr>
          <w:rFonts w:ascii="宋体" w:hAnsi="宋体"/>
        </w:rPr>
      </w:pPr>
      <w:r>
        <w:rPr>
          <w:rFonts w:hint="eastAsia" w:ascii="宋体" w:hAnsi="宋体"/>
        </w:rPr>
        <w:t>5、技术培训计划</w:t>
      </w:r>
    </w:p>
    <w:p>
      <w:pPr>
        <w:adjustRightInd w:val="0"/>
        <w:snapToGrid w:val="0"/>
        <w:spacing w:line="360" w:lineRule="auto"/>
        <w:rPr>
          <w:rFonts w:ascii="宋体" w:hAnsi="宋体"/>
        </w:rPr>
      </w:pPr>
      <w:r>
        <w:rPr>
          <w:rFonts w:hint="eastAsia" w:ascii="宋体" w:hAnsi="宋体"/>
        </w:rPr>
        <w:t>6、备/配件支持计划</w:t>
      </w:r>
    </w:p>
    <w:p>
      <w:pPr>
        <w:adjustRightInd w:val="0"/>
        <w:snapToGrid w:val="0"/>
        <w:spacing w:line="360" w:lineRule="auto"/>
        <w:rPr>
          <w:rFonts w:ascii="宋体" w:hAnsi="宋体"/>
          <w:bCs/>
        </w:rPr>
      </w:pPr>
      <w:r>
        <w:rPr>
          <w:rFonts w:hint="eastAsia" w:ascii="宋体" w:hAnsi="宋体"/>
        </w:rPr>
        <w:t>7、非</w:t>
      </w:r>
      <w:r>
        <w:rPr>
          <w:rFonts w:hint="eastAsia" w:ascii="宋体" w:hAnsi="宋体"/>
          <w:bCs/>
        </w:rPr>
        <w:t>保修期维修费用收取标准</w:t>
      </w:r>
    </w:p>
    <w:p>
      <w:pPr>
        <w:adjustRightInd w:val="0"/>
        <w:snapToGrid w:val="0"/>
        <w:spacing w:line="300" w:lineRule="auto"/>
        <w:rPr>
          <w:rFonts w:ascii="宋体" w:hAnsi="宋体"/>
          <w:bCs/>
        </w:rPr>
      </w:pPr>
      <w:r>
        <w:rPr>
          <w:rFonts w:hint="eastAsia" w:ascii="宋体" w:hAnsi="宋体"/>
          <w:bCs/>
        </w:rPr>
        <w:t>8、其它</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480"/>
        </w:tabs>
        <w:adjustRightInd w:val="0"/>
        <w:snapToGrid w:val="0"/>
        <w:spacing w:line="300" w:lineRule="auto"/>
        <w:rPr>
          <w:snapToGrid w:val="0"/>
          <w:kern w:val="0"/>
        </w:rPr>
      </w:pPr>
      <w:r>
        <w:rPr>
          <w:snapToGrid w:val="0"/>
          <w:kern w:val="0"/>
        </w:rPr>
        <w:tab/>
      </w: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r>
        <w:rPr>
          <w:snapToGrid w:val="0"/>
          <w:kern w:val="0"/>
        </w:rPr>
        <w:br w:type="page"/>
      </w:r>
    </w:p>
    <w:p>
      <w:pPr>
        <w:tabs>
          <w:tab w:val="left" w:pos="1200"/>
        </w:tabs>
        <w:adjustRightInd w:val="0"/>
        <w:snapToGrid w:val="0"/>
        <w:spacing w:line="300" w:lineRule="auto"/>
        <w:rPr>
          <w:snapToGrid w:val="0"/>
          <w:kern w:val="0"/>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71" w:name="_格式2__投标保证金凭证"/>
      <w:bookmarkEnd w:id="71"/>
      <w:bookmarkStart w:id="72" w:name="_格式3__"/>
      <w:bookmarkEnd w:id="72"/>
      <w:bookmarkStart w:id="73" w:name="_格式4__"/>
      <w:bookmarkEnd w:id="73"/>
      <w:bookmarkStart w:id="74" w:name="q15"/>
      <w:bookmarkEnd w:id="74"/>
      <w:bookmarkStart w:id="75" w:name="_格式5__"/>
      <w:bookmarkEnd w:id="75"/>
      <w:bookmarkStart w:id="76" w:name="q16"/>
      <w:bookmarkEnd w:id="76"/>
      <w:bookmarkStart w:id="77" w:name="q17"/>
      <w:bookmarkEnd w:id="77"/>
      <w:r>
        <w:rPr>
          <w:rFonts w:asciiTheme="minorEastAsia" w:hAnsiTheme="minorEastAsia" w:eastAsiaTheme="minorEastAsia"/>
          <w:sz w:val="24"/>
        </w:rPr>
        <w:tab/>
      </w:r>
      <w:bookmarkStart w:id="78" w:name="_Toc44690437"/>
      <w:bookmarkStart w:id="79" w:name="_Toc44690710"/>
      <w:bookmarkStart w:id="80" w:name="_Toc44691169"/>
      <w:bookmarkStart w:id="81" w:name="_Toc44691401"/>
      <w:r>
        <w:rPr>
          <w:rFonts w:hint="eastAsia" w:asciiTheme="minorEastAsia" w:hAnsiTheme="minorEastAsia" w:eastAsiaTheme="minorEastAsia"/>
          <w:sz w:val="24"/>
        </w:rPr>
        <w:t>格式10  投标人资格声明</w:t>
      </w:r>
      <w:bookmarkEnd w:id="78"/>
      <w:bookmarkEnd w:id="79"/>
      <w:bookmarkEnd w:id="80"/>
      <w:bookmarkEnd w:id="81"/>
    </w:p>
    <w:p>
      <w:pPr>
        <w:snapToGrid w:val="0"/>
        <w:spacing w:line="300" w:lineRule="auto"/>
        <w:rPr>
          <w:rFonts w:ascii="宋体" w:hAnsi="宋体"/>
        </w:rPr>
      </w:pPr>
    </w:p>
    <w:p>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hint="eastAsia" w:ascii="宋体" w:hAnsi="宋体"/>
          <w:bCs/>
          <w:snapToGrid w:val="0"/>
          <w:kern w:val="0"/>
        </w:rPr>
        <w:t>；</w:t>
      </w:r>
    </w:p>
    <w:p>
      <w:pPr>
        <w:adjustRightInd w:val="0"/>
        <w:snapToGrid w:val="0"/>
        <w:spacing w:line="360" w:lineRule="auto"/>
        <w:rPr>
          <w:rFonts w:ascii="宋体" w:hAnsi="宋体"/>
          <w:bCs/>
          <w:snapToGrid w:val="0"/>
          <w:kern w:val="0"/>
        </w:rPr>
      </w:pPr>
      <w:r>
        <w:rPr>
          <w:rFonts w:hint="eastAsia" w:ascii="宋体" w:hAnsi="宋体"/>
          <w:bCs/>
          <w:snapToGrid w:val="0"/>
          <w:kern w:val="0"/>
        </w:rPr>
        <w:t>2、投标人基本情况简介，格式自拟，包括但不限于经营范围、依法纳税记录等；</w:t>
      </w: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3、</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adjustRightInd w:val="0"/>
        <w:snapToGrid w:val="0"/>
        <w:spacing w:line="360" w:lineRule="auto"/>
        <w:rPr>
          <w:bCs/>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widowControl/>
        <w:jc w:val="left"/>
        <w:rPr>
          <w:snapToGrid w:val="0"/>
          <w:kern w:val="0"/>
        </w:rPr>
      </w:pPr>
      <w:r>
        <w:rPr>
          <w:snapToGrid w:val="0"/>
          <w:kern w:val="0"/>
        </w:rPr>
        <w:br w:type="page"/>
      </w:r>
    </w:p>
    <w:p>
      <w:pPr>
        <w:jc w:val="center"/>
        <w:rPr>
          <w:snapToGrid w:val="0"/>
          <w:kern w:val="0"/>
        </w:rPr>
      </w:pPr>
    </w:p>
    <w:p>
      <w:pPr>
        <w:jc w:val="center"/>
        <w:rPr>
          <w:b/>
          <w:bCs/>
          <w:sz w:val="28"/>
        </w:rPr>
      </w:pPr>
      <w:bookmarkStart w:id="82" w:name="_格式7__投标人资格声明"/>
      <w:bookmarkEnd w:id="82"/>
      <w:bookmarkStart w:id="83" w:name="q40"/>
      <w:r>
        <w:rPr>
          <w:rFonts w:hint="eastAsia"/>
          <w:b/>
          <w:bCs/>
          <w:sz w:val="28"/>
        </w:rPr>
        <w:t>投标人资格声明</w:t>
      </w:r>
    </w:p>
    <w:p>
      <w:pPr>
        <w:snapToGrid w:val="0"/>
        <w:spacing w:line="300" w:lineRule="auto"/>
        <w:rPr>
          <w:rFonts w:ascii="宋体" w:hAnsi="宋体"/>
        </w:rPr>
      </w:pPr>
    </w:p>
    <w:p>
      <w:pPr>
        <w:snapToGrid w:val="0"/>
        <w:spacing w:line="300" w:lineRule="auto"/>
        <w:rPr>
          <w:rFonts w:ascii="宋体" w:hAnsi="宋体"/>
        </w:rPr>
      </w:pPr>
      <w:r>
        <w:rPr>
          <w:rFonts w:hint="eastAsia" w:ascii="宋体" w:hAnsi="宋体"/>
        </w:rPr>
        <w:t>1、名称及其它情况：</w:t>
      </w:r>
    </w:p>
    <w:p>
      <w:pPr>
        <w:snapToGrid w:val="0"/>
        <w:spacing w:line="300" w:lineRule="auto"/>
        <w:ind w:left="420"/>
        <w:rPr>
          <w:rFonts w:ascii="宋体" w:hAnsi="宋体"/>
          <w:u w:val="single"/>
        </w:rPr>
      </w:pPr>
      <w:r>
        <w:rPr>
          <w:rFonts w:hint="eastAsia" w:ascii="宋体" w:hAnsi="宋体"/>
        </w:rPr>
        <w:t>⑴、名称：</w:t>
      </w:r>
      <w:r>
        <w:rPr>
          <w:rFonts w:hint="eastAsia" w:ascii="宋体" w:hAnsi="宋体"/>
          <w:u w:val="single"/>
        </w:rPr>
        <w:t xml:space="preserve">                                 </w:t>
      </w:r>
    </w:p>
    <w:p>
      <w:pPr>
        <w:snapToGrid w:val="0"/>
        <w:spacing w:line="300" w:lineRule="auto"/>
        <w:ind w:left="420"/>
        <w:rPr>
          <w:rFonts w:ascii="宋体" w:hAnsi="宋体"/>
          <w:bCs/>
        </w:rPr>
      </w:pPr>
      <w:r>
        <w:rPr>
          <w:rFonts w:hint="eastAsia" w:ascii="宋体" w:hAnsi="宋体"/>
          <w:bCs/>
        </w:rPr>
        <w:t>⑵、地址：</w:t>
      </w:r>
      <w:r>
        <w:rPr>
          <w:rFonts w:hint="eastAsia" w:ascii="宋体" w:hAnsi="宋体"/>
          <w:b/>
          <w:u w:val="single"/>
        </w:rPr>
        <w:t xml:space="preserve">                                        </w:t>
      </w:r>
      <w:r>
        <w:rPr>
          <w:rFonts w:hint="eastAsia" w:ascii="宋体" w:hAnsi="宋体"/>
          <w:bCs/>
          <w:u w:val="single"/>
        </w:rPr>
        <w:t xml:space="preserve"> </w:t>
      </w:r>
    </w:p>
    <w:p>
      <w:pPr>
        <w:snapToGrid w:val="0"/>
        <w:spacing w:line="300" w:lineRule="auto"/>
        <w:ind w:left="420"/>
        <w:rPr>
          <w:rFonts w:ascii="宋体" w:hAnsi="宋体"/>
          <w:b/>
          <w:u w:val="single"/>
        </w:rPr>
      </w:pPr>
      <w:r>
        <w:rPr>
          <w:rFonts w:hint="eastAsia" w:ascii="宋体" w:hAnsi="宋体"/>
          <w:bCs/>
        </w:rPr>
        <w:t>⑶、成立和/或注册日期：</w:t>
      </w:r>
      <w:r>
        <w:rPr>
          <w:rFonts w:hint="eastAsia" w:ascii="宋体" w:hAnsi="宋体"/>
          <w:b/>
          <w:u w:val="single"/>
        </w:rPr>
        <w:t xml:space="preserve">                            </w:t>
      </w:r>
    </w:p>
    <w:p>
      <w:pPr>
        <w:snapToGrid w:val="0"/>
        <w:spacing w:line="300" w:lineRule="auto"/>
        <w:ind w:left="420"/>
        <w:rPr>
          <w:rFonts w:ascii="宋体" w:hAnsi="宋体"/>
          <w:b/>
          <w:u w:val="single"/>
        </w:rPr>
      </w:pPr>
      <w:r>
        <w:rPr>
          <w:rFonts w:ascii="宋体" w:hAnsi="宋体"/>
          <w:bCs/>
        </w:rPr>
        <w:fldChar w:fldCharType="begin"/>
      </w:r>
      <w:r>
        <w:rPr>
          <w:rFonts w:ascii="宋体" w:hAnsi="宋体"/>
          <w:bCs/>
        </w:rPr>
        <w:instrText xml:space="preserve"> </w:instrText>
      </w:r>
      <w:r>
        <w:rPr>
          <w:rFonts w:hint="eastAsia" w:ascii="宋体" w:hAnsi="宋体"/>
          <w:bCs/>
        </w:rPr>
        <w:instrText xml:space="preserve">= 4 \* GB2</w:instrText>
      </w:r>
      <w:r>
        <w:rPr>
          <w:rFonts w:ascii="宋体" w:hAnsi="宋体"/>
          <w:bCs/>
        </w:rPr>
        <w:instrText xml:space="preserve"> </w:instrText>
      </w:r>
      <w:r>
        <w:rPr>
          <w:rFonts w:ascii="宋体" w:hAnsi="宋体"/>
          <w:bCs/>
        </w:rPr>
        <w:fldChar w:fldCharType="separate"/>
      </w:r>
      <w:r>
        <w:rPr>
          <w:rFonts w:hint="eastAsia" w:ascii="宋体" w:hAnsi="宋体"/>
          <w:bCs/>
        </w:rPr>
        <w:t>⑷</w:t>
      </w:r>
      <w:r>
        <w:rPr>
          <w:rFonts w:ascii="宋体" w:hAnsi="宋体"/>
          <w:bCs/>
        </w:rPr>
        <w:fldChar w:fldCharType="end"/>
      </w:r>
      <w:r>
        <w:rPr>
          <w:rFonts w:hint="eastAsia" w:ascii="宋体" w:hAnsi="宋体"/>
          <w:bCs/>
        </w:rPr>
        <w:t>、企业性质：</w:t>
      </w:r>
      <w:r>
        <w:rPr>
          <w:rFonts w:hint="eastAsia" w:ascii="宋体" w:hAnsi="宋体"/>
          <w:b/>
          <w:u w:val="single"/>
        </w:rPr>
        <w:t xml:space="preserve">                                     </w:t>
      </w:r>
    </w:p>
    <w:p>
      <w:pPr>
        <w:snapToGrid w:val="0"/>
        <w:spacing w:line="300" w:lineRule="auto"/>
        <w:ind w:left="708" w:hanging="707" w:hangingChars="337"/>
        <w:rPr>
          <w:rFonts w:ascii="宋体" w:hAnsi="宋体"/>
          <w:bCs/>
        </w:rPr>
      </w:pPr>
      <w:r>
        <w:rPr>
          <w:rFonts w:hint="eastAsia" w:ascii="宋体" w:hAnsi="宋体"/>
          <w:bCs/>
        </w:rPr>
        <w:t>2、近三年主要客户的名称和地址：</w:t>
      </w:r>
    </w:p>
    <w:p>
      <w:pPr>
        <w:snapToGrid w:val="0"/>
        <w:spacing w:line="300" w:lineRule="auto"/>
        <w:ind w:left="990"/>
        <w:rPr>
          <w:rFonts w:ascii="宋体" w:hAnsi="宋体"/>
          <w:bCs/>
        </w:rPr>
      </w:pPr>
      <w:r>
        <w:rPr>
          <w:rFonts w:hint="eastAsia" w:ascii="宋体" w:hAnsi="宋体"/>
          <w:bCs/>
        </w:rPr>
        <w:t>名称和地址                          项目名称</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rPr>
        <w:t xml:space="preserve">   </w:t>
      </w:r>
      <w:r>
        <w:rPr>
          <w:rFonts w:hint="eastAsia" w:ascii="宋体" w:hAnsi="宋体"/>
          <w:b/>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3、近三年的营业额：</w:t>
      </w:r>
    </w:p>
    <w:p>
      <w:pPr>
        <w:snapToGrid w:val="0"/>
        <w:spacing w:line="300" w:lineRule="auto"/>
        <w:ind w:firstLine="420" w:firstLineChars="200"/>
        <w:rPr>
          <w:rFonts w:ascii="宋体" w:hAnsi="宋体"/>
          <w:bCs/>
        </w:rPr>
      </w:pPr>
      <w:r>
        <w:rPr>
          <w:rFonts w:hint="eastAsia" w:ascii="宋体" w:hAnsi="宋体"/>
          <w:bCs/>
        </w:rPr>
        <w:t>年份                国内                    国外                  总额</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4、有关开户银行的名称和地址：</w:t>
      </w:r>
      <w:r>
        <w:rPr>
          <w:rFonts w:hint="eastAsia" w:ascii="宋体" w:hAnsi="宋体"/>
          <w:bCs/>
          <w:u w:val="single"/>
        </w:rPr>
        <w:t xml:space="preserve">                                                    </w:t>
      </w:r>
      <w:r>
        <w:rPr>
          <w:rFonts w:hint="eastAsia" w:ascii="宋体" w:hAnsi="宋体"/>
          <w:bCs/>
        </w:rPr>
        <w:t xml:space="preserve"> </w:t>
      </w:r>
    </w:p>
    <w:p>
      <w:pPr>
        <w:snapToGrid w:val="0"/>
        <w:spacing w:line="300" w:lineRule="auto"/>
        <w:rPr>
          <w:rFonts w:ascii="宋体" w:hAnsi="宋体"/>
          <w:b/>
          <w:u w:val="single"/>
        </w:rPr>
      </w:pPr>
      <w:r>
        <w:rPr>
          <w:rFonts w:hint="eastAsia" w:ascii="宋体" w:hAnsi="宋体"/>
          <w:bCs/>
        </w:rPr>
        <w:t>5、其他情况：</w:t>
      </w:r>
      <w:r>
        <w:rPr>
          <w:rFonts w:hint="eastAsia" w:ascii="宋体" w:hAnsi="宋体"/>
          <w:bCs/>
          <w:u w:val="single"/>
        </w:rPr>
        <w:t xml:space="preserve">                                                                    </w:t>
      </w:r>
    </w:p>
    <w:p>
      <w:pPr>
        <w:snapToGrid w:val="0"/>
        <w:spacing w:line="300" w:lineRule="auto"/>
        <w:ind w:left="105" w:leftChars="50" w:firstLine="472" w:firstLineChars="225"/>
        <w:rPr>
          <w:rFonts w:ascii="宋体" w:hAnsi="宋体"/>
          <w:bCs/>
        </w:rPr>
      </w:pPr>
      <w:r>
        <w:rPr>
          <w:rFonts w:hint="eastAsia" w:ascii="宋体" w:hAnsi="宋体"/>
          <w:bCs/>
        </w:rPr>
        <w:t>兹证明上述声明是真实、正确的，并提供了全部能提供的资料和数据，我愿遵照贵方要求出示有关证明文件。</w:t>
      </w:r>
    </w:p>
    <w:p>
      <w:pPr>
        <w:snapToGrid w:val="0"/>
        <w:spacing w:line="300" w:lineRule="auto"/>
        <w:ind w:left="560"/>
        <w:rPr>
          <w:rFonts w:ascii="宋体" w:hAnsi="宋体"/>
          <w:bCs/>
        </w:rPr>
      </w:pPr>
    </w:p>
    <w:p>
      <w:pPr>
        <w:snapToGrid w:val="0"/>
        <w:spacing w:line="300" w:lineRule="auto"/>
        <w:ind w:left="560"/>
        <w:rPr>
          <w:rFonts w:ascii="宋体" w:hAnsi="宋体"/>
          <w:bCs/>
          <w:u w:val="single"/>
        </w:rPr>
      </w:pPr>
      <w:r>
        <w:rPr>
          <w:rFonts w:hint="eastAsia" w:ascii="宋体" w:hAnsi="宋体"/>
        </w:rPr>
        <w:t>投标单位</w:t>
      </w:r>
      <w:r>
        <w:rPr>
          <w:rFonts w:hint="eastAsia" w:ascii="宋体" w:hAnsi="宋体"/>
          <w:bCs/>
        </w:rPr>
        <w:t>名称（加盖公章）：</w:t>
      </w:r>
      <w:r>
        <w:rPr>
          <w:rFonts w:hint="eastAsia" w:ascii="宋体" w:hAnsi="宋体"/>
          <w:b/>
          <w:u w:val="single"/>
        </w:rPr>
        <w:t xml:space="preserve">                     </w:t>
      </w:r>
    </w:p>
    <w:p>
      <w:pPr>
        <w:snapToGrid w:val="0"/>
        <w:spacing w:line="300" w:lineRule="auto"/>
        <w:ind w:left="560"/>
        <w:rPr>
          <w:rFonts w:ascii="宋体" w:hAnsi="宋体"/>
          <w:bCs/>
          <w:u w:val="single"/>
        </w:rPr>
      </w:pPr>
      <w:r>
        <w:rPr>
          <w:rFonts w:hint="eastAsia" w:ascii="宋体" w:hAnsi="宋体"/>
          <w:bCs/>
        </w:rPr>
        <w:t>授权代表或法定代表人签字：</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授权代表的职务：</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电话：</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传真：</w:t>
      </w:r>
      <w:r>
        <w:rPr>
          <w:rFonts w:hint="eastAsia" w:ascii="宋体" w:hAnsi="宋体"/>
          <w:bCs/>
          <w:u w:val="single"/>
        </w:rPr>
        <w:t xml:space="preserve">                             </w:t>
      </w:r>
    </w:p>
    <w:p>
      <w:pPr>
        <w:snapToGrid w:val="0"/>
        <w:spacing w:line="300" w:lineRule="auto"/>
        <w:ind w:left="560"/>
        <w:rPr>
          <w:rFonts w:ascii="宋体" w:hAnsi="宋体"/>
          <w:bCs/>
        </w:rPr>
      </w:pPr>
      <w:r>
        <w:rPr>
          <w:rFonts w:hint="eastAsia" w:ascii="宋体" w:hAnsi="宋体"/>
          <w:bCs/>
        </w:rPr>
        <w:t>日期：</w:t>
      </w:r>
      <w:r>
        <w:rPr>
          <w:rFonts w:hint="eastAsia"/>
          <w:snapToGrid w:val="0"/>
          <w:kern w:val="0"/>
          <w:u w:val="single"/>
        </w:rPr>
        <w:t>　　　　　　　　　　　　　　　</w:t>
      </w:r>
      <w:r>
        <w:rPr>
          <w:rFonts w:hint="eastAsia" w:ascii="宋体" w:hAnsi="宋体"/>
          <w:bCs/>
        </w:rPr>
        <w:t xml:space="preserve"> </w:t>
      </w: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widowControl/>
        <w:jc w:val="left"/>
        <w:rPr>
          <w:b/>
          <w:szCs w:val="21"/>
        </w:rPr>
      </w:pPr>
      <w:r>
        <w:rPr>
          <w:b/>
          <w:szCs w:val="21"/>
        </w:rPr>
        <w:br w:type="page"/>
      </w:r>
    </w:p>
    <w:p>
      <w:pPr>
        <w:spacing w:line="360" w:lineRule="auto"/>
        <w:jc w:val="center"/>
        <w:rPr>
          <w:b/>
          <w:szCs w:val="21"/>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格式11  偏离表</w:t>
      </w:r>
    </w:p>
    <w:bookmarkEnd w:id="83"/>
    <w:p>
      <w:pPr>
        <w:spacing w:line="360" w:lineRule="auto"/>
        <w:jc w:val="center"/>
      </w:pPr>
    </w:p>
    <w:p>
      <w:pPr>
        <w:snapToGrid w:val="0"/>
        <w:spacing w:line="360" w:lineRule="auto"/>
        <w:jc w:val="center"/>
        <w:rPr>
          <w:b/>
        </w:rPr>
      </w:pPr>
      <w:r>
        <w:rPr>
          <w:rFonts w:hint="eastAsia"/>
          <w:b/>
        </w:rPr>
        <w:t>技术规格偏离表</w:t>
      </w:r>
    </w:p>
    <w:tbl>
      <w:tblPr>
        <w:tblStyle w:val="50"/>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2482"/>
        <w:gridCol w:w="1701"/>
        <w:gridCol w:w="127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r>
              <w:rPr>
                <w:rFonts w:hint="eastAsia" w:ascii="宋体" w:hAnsi="宋体"/>
                <w:szCs w:val="21"/>
              </w:rPr>
              <w:t>序号</w:t>
            </w:r>
          </w:p>
        </w:tc>
        <w:tc>
          <w:tcPr>
            <w:tcW w:w="1418" w:type="dxa"/>
            <w:vAlign w:val="center"/>
          </w:tcPr>
          <w:p>
            <w:pPr>
              <w:spacing w:line="360" w:lineRule="auto"/>
              <w:jc w:val="center"/>
              <w:rPr>
                <w:rFonts w:ascii="宋体" w:hAnsi="宋体"/>
                <w:szCs w:val="21"/>
              </w:rPr>
            </w:pPr>
            <w:r>
              <w:rPr>
                <w:rFonts w:hint="eastAsia" w:ascii="宋体" w:hAnsi="宋体"/>
                <w:szCs w:val="21"/>
              </w:rPr>
              <w:t>货物名称</w:t>
            </w:r>
          </w:p>
        </w:tc>
        <w:tc>
          <w:tcPr>
            <w:tcW w:w="2482" w:type="dxa"/>
            <w:vAlign w:val="center"/>
          </w:tcPr>
          <w:p>
            <w:pPr>
              <w:spacing w:line="360" w:lineRule="auto"/>
              <w:jc w:val="center"/>
              <w:rPr>
                <w:rFonts w:ascii="宋体" w:hAnsi="宋体"/>
                <w:szCs w:val="21"/>
              </w:rPr>
            </w:pPr>
            <w:r>
              <w:rPr>
                <w:rFonts w:hint="eastAsia" w:ascii="宋体" w:hAnsi="宋体"/>
                <w:szCs w:val="21"/>
              </w:rPr>
              <w:t>招标技术要求</w:t>
            </w:r>
          </w:p>
        </w:tc>
        <w:tc>
          <w:tcPr>
            <w:tcW w:w="1701" w:type="dxa"/>
            <w:vAlign w:val="center"/>
          </w:tcPr>
          <w:p>
            <w:pPr>
              <w:spacing w:line="360" w:lineRule="auto"/>
              <w:jc w:val="center"/>
              <w:rPr>
                <w:rFonts w:ascii="宋体" w:hAnsi="宋体"/>
                <w:szCs w:val="21"/>
              </w:rPr>
            </w:pPr>
            <w:r>
              <w:rPr>
                <w:rFonts w:hint="eastAsia" w:ascii="宋体" w:hAnsi="宋体"/>
                <w:szCs w:val="21"/>
              </w:rPr>
              <w:t>投标技术响应</w:t>
            </w:r>
          </w:p>
        </w:tc>
        <w:tc>
          <w:tcPr>
            <w:tcW w:w="1275" w:type="dxa"/>
            <w:vAlign w:val="center"/>
          </w:tcPr>
          <w:p>
            <w:pPr>
              <w:spacing w:line="360" w:lineRule="auto"/>
              <w:jc w:val="center"/>
              <w:rPr>
                <w:rFonts w:ascii="宋体" w:hAnsi="宋体"/>
                <w:szCs w:val="21"/>
              </w:rPr>
            </w:pPr>
            <w:r>
              <w:rPr>
                <w:rFonts w:hint="eastAsia" w:ascii="宋体" w:hAnsi="宋体"/>
                <w:szCs w:val="21"/>
              </w:rPr>
              <w:t>偏离情况</w:t>
            </w:r>
          </w:p>
        </w:tc>
        <w:tc>
          <w:tcPr>
            <w:tcW w:w="2304"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jc w:val="center"/>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bl>
    <w:p>
      <w:pPr>
        <w:spacing w:line="400" w:lineRule="exact"/>
        <w:rPr>
          <w:rFonts w:ascii="宋体" w:hAnsi="宋体" w:cs="Arial"/>
          <w:b/>
          <w:bCs/>
          <w:szCs w:val="21"/>
        </w:rPr>
      </w:pPr>
      <w:r>
        <w:rPr>
          <w:rFonts w:hint="eastAsia" w:ascii="宋体" w:hAnsi="宋体" w:cs="Arial"/>
          <w:bCs/>
          <w:szCs w:val="21"/>
        </w:rPr>
        <w:t>备注：1、“</w:t>
      </w:r>
      <w:r>
        <w:rPr>
          <w:rFonts w:hint="eastAsia" w:ascii="宋体" w:hAnsi="宋体"/>
          <w:szCs w:val="21"/>
        </w:rPr>
        <w:t>招标技术要求</w:t>
      </w:r>
      <w:r>
        <w:rPr>
          <w:rFonts w:hint="eastAsia" w:ascii="宋体" w:hAnsi="宋体" w:cs="Arial"/>
          <w:bCs/>
          <w:szCs w:val="21"/>
        </w:rPr>
        <w:t>”一栏逐一列出招标文件第二章《项目需求》中“</w:t>
      </w:r>
      <w:r>
        <w:rPr>
          <w:rFonts w:hint="eastAsia" w:ascii="宋体" w:hAnsi="宋体" w:cs="Arial"/>
          <w:b/>
          <w:bCs/>
          <w:szCs w:val="21"/>
        </w:rPr>
        <w:t>二、</w:t>
      </w:r>
      <w:r>
        <w:rPr>
          <w:rFonts w:hint="eastAsia" w:ascii="宋体" w:hAnsi="宋体"/>
          <w:b/>
          <w:bCs/>
          <w:snapToGrid w:val="0"/>
          <w:szCs w:val="21"/>
        </w:rPr>
        <w:t>技术要求</w:t>
      </w:r>
      <w:r>
        <w:rPr>
          <w:rFonts w:hint="eastAsia" w:ascii="宋体" w:hAnsi="宋体" w:cs="Arial"/>
          <w:bCs/>
          <w:szCs w:val="21"/>
        </w:rPr>
        <w:t>”的内容；“</w:t>
      </w:r>
      <w:r>
        <w:rPr>
          <w:rFonts w:hint="eastAsia" w:ascii="宋体" w:hAnsi="宋体"/>
          <w:szCs w:val="21"/>
        </w:rPr>
        <w:t>投标技术响应</w:t>
      </w:r>
      <w:r>
        <w:rPr>
          <w:rFonts w:hint="eastAsia" w:ascii="宋体" w:hAnsi="宋体" w:cs="Arial"/>
          <w:bCs/>
          <w:szCs w:val="21"/>
        </w:rPr>
        <w:t>”一栏应详细填写投标产品的具体参数响应情况。</w:t>
      </w:r>
    </w:p>
    <w:p>
      <w:pPr>
        <w:spacing w:line="400" w:lineRule="exact"/>
        <w:ind w:firstLine="424" w:firstLineChars="202"/>
        <w:rPr>
          <w:rFonts w:ascii="宋体" w:hAnsi="宋体" w:cs="Arial"/>
          <w:bCs/>
          <w:szCs w:val="21"/>
        </w:rPr>
      </w:pPr>
      <w:r>
        <w:rPr>
          <w:rFonts w:hint="eastAsia" w:ascii="宋体" w:hAnsi="宋体" w:cs="Arial"/>
          <w:bCs/>
          <w:szCs w:val="21"/>
        </w:rPr>
        <w:t>2、“偏离情况”栏中应如实填写“正偏离”、“负偏离”或“无偏离”。</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4" w:firstLineChars="202"/>
        <w:rPr>
          <w:rFonts w:asciiTheme="minorEastAsia" w:hAnsiTheme="minorEastAsia" w:eastAsiaTheme="minorEastAsia"/>
          <w:szCs w:val="21"/>
        </w:rPr>
      </w:pPr>
      <w:r>
        <w:rPr>
          <w:rFonts w:hint="eastAsia" w:ascii="宋体" w:hAnsi="宋体" w:cs="Arial"/>
          <w:bCs/>
          <w:szCs w:val="21"/>
        </w:rPr>
        <w:t>3、</w:t>
      </w:r>
      <w:r>
        <w:rPr>
          <w:rFonts w:hint="eastAsia" w:asciiTheme="minorEastAsia" w:hAnsiTheme="minorEastAsia" w:eastAsiaTheme="minorEastAsia"/>
          <w:b/>
          <w:szCs w:val="21"/>
        </w:rPr>
        <w:t>投标产品的技术参数应按</w:t>
      </w:r>
      <w:r>
        <w:rPr>
          <w:rFonts w:hint="eastAsia" w:ascii="宋体" w:hAnsi="宋体" w:cs="Arial"/>
          <w:b/>
          <w:bCs/>
          <w:szCs w:val="21"/>
        </w:rPr>
        <w:t>招标文件第二章《项目需求》中“二、</w:t>
      </w:r>
      <w:r>
        <w:rPr>
          <w:rFonts w:hint="eastAsia" w:ascii="宋体" w:hAnsi="宋体"/>
          <w:b/>
          <w:bCs/>
          <w:snapToGrid w:val="0"/>
          <w:szCs w:val="21"/>
        </w:rPr>
        <w:t>技术要求</w:t>
      </w:r>
      <w:r>
        <w:rPr>
          <w:rFonts w:hint="eastAsia" w:ascii="宋体" w:hAnsi="宋体" w:cs="Arial"/>
          <w:b/>
          <w:bCs/>
          <w:szCs w:val="21"/>
        </w:rPr>
        <w:t>”</w:t>
      </w:r>
      <w:r>
        <w:rPr>
          <w:rFonts w:hint="eastAsia" w:asciiTheme="minorEastAsia" w:hAnsiTheme="minorEastAsia" w:eastAsiaTheme="minorEastAsia"/>
          <w:b/>
          <w:szCs w:val="21"/>
        </w:rPr>
        <w:t>中的要求提供相应的证明资料，以证明投标人响应的真实性。</w:t>
      </w:r>
      <w:r>
        <w:rPr>
          <w:rFonts w:hint="eastAsia" w:asciiTheme="minorEastAsia" w:hAnsiTheme="minorEastAsia" w:eastAsiaTheme="minorEastAsia"/>
          <w:szCs w:val="21"/>
        </w:rPr>
        <w:t>证明资料包括制造商公布的产品说明书、产品彩页和我国政府机构出具的产品检验和核准证件等。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4、证明资料（均为复印件或扫描件）的提供要求：</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pPr>
        <w:spacing w:line="400" w:lineRule="exact"/>
        <w:ind w:firstLine="424" w:firstLineChars="202"/>
        <w:rPr>
          <w:rFonts w:ascii="宋体" w:hAnsi="宋体" w:cs="Arial"/>
          <w:b/>
          <w:bCs/>
          <w:szCs w:val="21"/>
        </w:rPr>
      </w:pPr>
      <w:r>
        <w:rPr>
          <w:rFonts w:hint="eastAsia" w:asciiTheme="minorEastAsia" w:hAnsiTheme="minorEastAsia" w:eastAsiaTheme="minorEastAsia"/>
          <w:szCs w:val="21"/>
        </w:rPr>
        <w:t>（2）我国政府机构出具的产品检验和核准证件应为证件正面、背面和附件标注的全部具体内容</w:t>
      </w:r>
      <w:r>
        <w:rPr>
          <w:rFonts w:hint="eastAsia" w:ascii="宋体" w:hAnsi="宋体" w:cs="Arial"/>
          <w:bCs/>
          <w:szCs w:val="21"/>
        </w:rPr>
        <w:t>。</w:t>
      </w:r>
    </w:p>
    <w:p>
      <w:pPr>
        <w:adjustRightInd w:val="0"/>
        <w:snapToGrid w:val="0"/>
        <w:spacing w:line="360" w:lineRule="auto"/>
        <w:rPr>
          <w:bCs/>
          <w:snapToGrid w:val="0"/>
        </w:rPr>
      </w:pPr>
    </w:p>
    <w:p>
      <w:pPr>
        <w:snapToGrid w:val="0"/>
        <w:spacing w:line="360" w:lineRule="auto"/>
        <w:jc w:val="center"/>
        <w:rPr>
          <w:b/>
        </w:rPr>
      </w:pPr>
      <w:r>
        <w:rPr>
          <w:rFonts w:hint="eastAsia"/>
          <w:b/>
        </w:rPr>
        <w:t>商务条款偏离表</w:t>
      </w:r>
    </w:p>
    <w:tbl>
      <w:tblPr>
        <w:tblStyle w:val="50"/>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077"/>
        <w:gridCol w:w="2735"/>
        <w:gridCol w:w="180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spacing w:line="360" w:lineRule="auto"/>
              <w:jc w:val="center"/>
              <w:rPr>
                <w:rFonts w:ascii="宋体" w:hAnsi="宋体"/>
                <w:szCs w:val="21"/>
              </w:rPr>
            </w:pPr>
            <w:r>
              <w:rPr>
                <w:rFonts w:hint="eastAsia" w:ascii="宋体" w:hAnsi="宋体"/>
                <w:szCs w:val="21"/>
              </w:rPr>
              <w:t>序号</w:t>
            </w:r>
          </w:p>
        </w:tc>
        <w:tc>
          <w:tcPr>
            <w:tcW w:w="3077" w:type="dxa"/>
            <w:vAlign w:val="center"/>
          </w:tcPr>
          <w:p>
            <w:pPr>
              <w:spacing w:line="360" w:lineRule="auto"/>
              <w:jc w:val="center"/>
              <w:rPr>
                <w:rFonts w:ascii="宋体" w:hAnsi="宋体"/>
                <w:szCs w:val="21"/>
              </w:rPr>
            </w:pPr>
            <w:r>
              <w:rPr>
                <w:rFonts w:hint="eastAsia" w:ascii="宋体" w:hAnsi="宋体"/>
                <w:szCs w:val="21"/>
              </w:rPr>
              <w:t>招标商务需求</w:t>
            </w:r>
          </w:p>
        </w:tc>
        <w:tc>
          <w:tcPr>
            <w:tcW w:w="2735" w:type="dxa"/>
            <w:vAlign w:val="center"/>
          </w:tcPr>
          <w:p>
            <w:pPr>
              <w:spacing w:line="360" w:lineRule="auto"/>
              <w:jc w:val="center"/>
              <w:rPr>
                <w:rFonts w:ascii="宋体" w:hAnsi="宋体"/>
                <w:szCs w:val="21"/>
              </w:rPr>
            </w:pPr>
            <w:r>
              <w:rPr>
                <w:rFonts w:hint="eastAsia" w:ascii="宋体" w:hAnsi="宋体"/>
                <w:szCs w:val="21"/>
              </w:rPr>
              <w:t>投标商务响应</w:t>
            </w:r>
          </w:p>
        </w:tc>
        <w:tc>
          <w:tcPr>
            <w:tcW w:w="1801" w:type="dxa"/>
            <w:vAlign w:val="center"/>
          </w:tcPr>
          <w:p>
            <w:pPr>
              <w:spacing w:line="360" w:lineRule="auto"/>
              <w:jc w:val="center"/>
              <w:rPr>
                <w:rFonts w:ascii="宋体" w:hAnsi="宋体"/>
                <w:szCs w:val="21"/>
              </w:rPr>
            </w:pPr>
            <w:r>
              <w:rPr>
                <w:rFonts w:hint="eastAsia" w:ascii="宋体" w:hAnsi="宋体"/>
                <w:szCs w:val="21"/>
              </w:rPr>
              <w:t>偏离情况</w:t>
            </w:r>
          </w:p>
        </w:tc>
        <w:tc>
          <w:tcPr>
            <w:tcW w:w="1515"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rPr>
                <w:rFonts w:ascii="宋体" w:hAnsi="宋体" w:cs="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bl>
    <w:p>
      <w:pPr>
        <w:spacing w:line="400" w:lineRule="exact"/>
        <w:rPr>
          <w:rFonts w:ascii="宋体" w:hAnsi="宋体" w:cs="Arial"/>
          <w:bCs/>
          <w:szCs w:val="21"/>
        </w:rPr>
      </w:pPr>
      <w:r>
        <w:rPr>
          <w:rFonts w:hint="eastAsia" w:ascii="宋体" w:hAnsi="宋体" w:cs="Arial"/>
          <w:bCs/>
          <w:szCs w:val="21"/>
        </w:rPr>
        <w:t>备注：1、“</w:t>
      </w:r>
      <w:r>
        <w:rPr>
          <w:rFonts w:hint="eastAsia" w:ascii="宋体" w:hAnsi="宋体"/>
          <w:szCs w:val="21"/>
        </w:rPr>
        <w:t>招标商务需求</w:t>
      </w:r>
      <w:r>
        <w:rPr>
          <w:rFonts w:hint="eastAsia" w:ascii="宋体" w:hAnsi="宋体" w:cs="Arial"/>
          <w:bCs/>
          <w:szCs w:val="21"/>
        </w:rPr>
        <w:t>”一栏逐一列出招标文件第二章《项目需求》中“</w:t>
      </w:r>
      <w:r>
        <w:rPr>
          <w:rFonts w:hint="eastAsia" w:ascii="宋体" w:hAnsi="宋体" w:cs="Arial"/>
          <w:b/>
          <w:bCs/>
          <w:szCs w:val="21"/>
        </w:rPr>
        <w:t>三、商务要求</w:t>
      </w:r>
      <w:r>
        <w:rPr>
          <w:rFonts w:hint="eastAsia" w:ascii="宋体" w:hAnsi="宋体" w:cs="Arial"/>
          <w:bCs/>
          <w:szCs w:val="21"/>
        </w:rPr>
        <w:t>”的内容；“</w:t>
      </w:r>
      <w:r>
        <w:rPr>
          <w:rFonts w:hint="eastAsia" w:ascii="宋体" w:hAnsi="宋体"/>
          <w:szCs w:val="21"/>
        </w:rPr>
        <w:t>投标商务响应</w:t>
      </w:r>
      <w:r>
        <w:rPr>
          <w:rFonts w:hint="eastAsia" w:ascii="宋体" w:hAnsi="宋体" w:cs="Arial"/>
          <w:bCs/>
          <w:szCs w:val="21"/>
        </w:rPr>
        <w:t>”一栏应详细填写投标商务条款的响应内容。</w:t>
      </w:r>
    </w:p>
    <w:p>
      <w:pPr>
        <w:spacing w:line="400" w:lineRule="exact"/>
        <w:ind w:firstLine="420" w:firstLineChars="200"/>
      </w:pPr>
      <w:r>
        <w:rPr>
          <w:rFonts w:hint="eastAsia" w:ascii="宋体" w:hAnsi="宋体" w:cs="Arial"/>
          <w:bCs/>
          <w:szCs w:val="21"/>
        </w:rPr>
        <w:t>2、“偏离情况”栏中应如实填写“正偏离”、“负偏离”或“无偏离”</w:t>
      </w:r>
      <w:r>
        <w:rPr>
          <w:rFonts w:hint="eastAsia"/>
        </w:rPr>
        <w:t>。</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0" w:firstLineChars="200"/>
      </w:pPr>
      <w:r>
        <w:rPr>
          <w:rFonts w:hint="eastAsia" w:asciiTheme="minorEastAsia" w:hAnsiTheme="minorEastAsia" w:eastAsiaTheme="minorEastAsia"/>
          <w:szCs w:val="21"/>
        </w:rPr>
        <w:t>3、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0" w:firstLineChars="200"/>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rPr>
          <w:snapToGrid w:val="0"/>
          <w:kern w:val="0"/>
        </w:rPr>
      </w:pPr>
    </w:p>
    <w:p>
      <w:pPr>
        <w:adjustRightInd w:val="0"/>
        <w:snapToGrid w:val="0"/>
        <w:spacing w:line="300" w:lineRule="auto"/>
        <w:ind w:right="420"/>
        <w:jc w:val="center"/>
      </w:pPr>
      <w:r>
        <w:rPr>
          <w:rFonts w:hint="eastAsia"/>
          <w:snapToGrid w:val="0"/>
          <w:kern w:val="0"/>
        </w:rPr>
        <w:t xml:space="preserve">                                                            年    月    日</w:t>
      </w:r>
      <w:r>
        <w:br w:type="page"/>
      </w:r>
    </w:p>
    <w:p>
      <w:pPr>
        <w:adjustRightInd w:val="0"/>
        <w:snapToGrid w:val="0"/>
        <w:spacing w:line="300" w:lineRule="auto"/>
        <w:ind w:right="420"/>
        <w:jc w:val="cente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格式12  招标文件要求的其他资料或投标人认为需要补充的资料</w:t>
      </w:r>
    </w:p>
    <w:p>
      <w:pPr>
        <w:spacing w:line="360" w:lineRule="auto"/>
        <w:jc w:val="center"/>
      </w:pPr>
    </w:p>
    <w:p>
      <w:pPr>
        <w:spacing w:line="360" w:lineRule="auto"/>
        <w:ind w:firstLine="420" w:firstLineChars="20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2"/>
        <w:keepNext w:val="0"/>
        <w:rPr>
          <w:b w:val="0"/>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tabs>
          <w:tab w:val="left" w:pos="1875"/>
        </w:tabs>
      </w:pPr>
    </w:p>
    <w:p>
      <w:pPr>
        <w:pStyle w:val="2"/>
        <w:spacing w:before="0" w:after="0"/>
      </w:pPr>
      <w:bookmarkStart w:id="84" w:name="_Toc73610160"/>
      <w:r>
        <w:rPr>
          <w:rFonts w:hint="eastAsia"/>
        </w:rPr>
        <w:t>第八章  合同条款</w:t>
      </w:r>
      <w:bookmarkEnd w:id="84"/>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6"/>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jc w:val="center"/>
        <w:rPr>
          <w:b/>
          <w:snapToGrid w:val="0"/>
          <w:kern w:val="0"/>
          <w:sz w:val="28"/>
        </w:rPr>
      </w:pPr>
    </w:p>
    <w:p>
      <w:pPr>
        <w:spacing w:line="360" w:lineRule="auto"/>
        <w:rPr>
          <w:rFonts w:asciiTheme="minorEastAsia" w:hAnsiTheme="minorEastAsia"/>
          <w:b/>
          <w:bCs/>
          <w:szCs w:val="21"/>
        </w:rPr>
      </w:pPr>
      <w:r>
        <w:rPr>
          <w:rFonts w:hint="eastAsia" w:asciiTheme="minorEastAsia" w:hAnsiTheme="minorEastAsia"/>
          <w:b/>
          <w:bCs/>
          <w:szCs w:val="21"/>
        </w:rPr>
        <w:t>甲方（采购人）：</w:t>
      </w:r>
    </w:p>
    <w:p>
      <w:pPr>
        <w:spacing w:line="360" w:lineRule="auto"/>
        <w:rPr>
          <w:rFonts w:asciiTheme="minorEastAsia" w:hAnsiTheme="minorEastAsia"/>
          <w:szCs w:val="21"/>
        </w:rPr>
      </w:pPr>
      <w:r>
        <w:rPr>
          <w:rFonts w:hint="eastAsia" w:asciiTheme="minorEastAsia" w:hAnsiTheme="minorEastAsia"/>
          <w:b/>
          <w:bCs/>
          <w:szCs w:val="21"/>
        </w:rPr>
        <w:t>乙方（中标人）：</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第一条</w:t>
      </w:r>
      <w:r>
        <w:rPr>
          <w:rFonts w:asciiTheme="minorEastAsia" w:hAnsiTheme="minorEastAsia"/>
          <w:b/>
          <w:szCs w:val="21"/>
        </w:rPr>
        <w:t xml:space="preserve">  </w:t>
      </w:r>
      <w:r>
        <w:rPr>
          <w:rFonts w:hint="eastAsia" w:asciiTheme="minorEastAsia" w:hAnsiTheme="minorEastAsia"/>
          <w:b/>
          <w:szCs w:val="21"/>
        </w:rPr>
        <w:t>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r>
        <w:rPr>
          <w:rFonts w:asciiTheme="minorEastAsia" w:hAnsiTheme="minorEastAsia"/>
          <w:b/>
          <w:szCs w:val="21"/>
          <w:u w:val="single"/>
        </w:rPr>
        <w:t xml:space="preserve">                  </w:t>
      </w:r>
      <w:r>
        <w:rPr>
          <w:rFonts w:hint="eastAsia" w:asciiTheme="minorEastAsia" w:hAnsiTheme="minorEastAsia"/>
          <w:szCs w:val="21"/>
        </w:rPr>
        <w:t>。</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第二条</w:t>
      </w:r>
      <w:r>
        <w:rPr>
          <w:rFonts w:asciiTheme="minorEastAsia" w:hAnsiTheme="minorEastAsia"/>
          <w:b/>
          <w:szCs w:val="21"/>
        </w:rPr>
        <w:t xml:space="preserve">  </w:t>
      </w:r>
      <w:r>
        <w:rPr>
          <w:rFonts w:hint="eastAsia" w:asciiTheme="minorEastAsia" w:hAnsiTheme="minorEastAsia"/>
          <w:b/>
          <w:szCs w:val="21"/>
        </w:rPr>
        <w:t>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w:t>
      </w:r>
      <w:r>
        <w:rPr>
          <w:rFonts w:asciiTheme="minorEastAsia" w:hAnsiTheme="minorEastAsia"/>
          <w:szCs w:val="21"/>
          <w:u w:val="single"/>
        </w:rPr>
        <w:t xml:space="preserve">              </w:t>
      </w:r>
      <w:r>
        <w:rPr>
          <w:rFonts w:hint="eastAsia" w:asciiTheme="minorEastAsia" w:hAnsiTheme="minorEastAsia"/>
          <w:szCs w:val="21"/>
        </w:rPr>
        <w:t>（大写）人民币，分项价款详见</w:t>
      </w:r>
      <w:r>
        <w:rPr>
          <w:rFonts w:asciiTheme="minorEastAsia" w:hAnsiTheme="minorEastAsia"/>
          <w:b/>
          <w:szCs w:val="21"/>
          <w:u w:val="single"/>
        </w:rPr>
        <w:t xml:space="preserve">          </w:t>
      </w:r>
      <w:r>
        <w:rPr>
          <w:rFonts w:hint="eastAsia" w:asciiTheme="minorEastAsia" w:hAnsiTheme="minorEastAsia"/>
          <w:szCs w:val="21"/>
        </w:rPr>
        <w:t>。本合同总价款已包括乙方为履行本合同义务所发生的一切费用，系固定不变价格，且不随通货膨胀的影响而波动。</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第三条</w:t>
      </w:r>
      <w:r>
        <w:rPr>
          <w:rFonts w:asciiTheme="minorEastAsia" w:hAnsiTheme="minorEastAsia"/>
          <w:b/>
          <w:szCs w:val="21"/>
        </w:rPr>
        <w:t xml:space="preserve">  </w:t>
      </w:r>
      <w:r>
        <w:rPr>
          <w:rFonts w:hint="eastAsia" w:asciiTheme="minorEastAsia" w:hAnsiTheme="minorEastAsia"/>
          <w:b/>
          <w:szCs w:val="21"/>
        </w:rPr>
        <w:t>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第四条</w:t>
      </w:r>
      <w:r>
        <w:rPr>
          <w:rFonts w:asciiTheme="minorEastAsia" w:hAnsiTheme="minorEastAsia"/>
          <w:b/>
          <w:szCs w:val="21"/>
        </w:rPr>
        <w:t xml:space="preserve">  </w:t>
      </w:r>
      <w:r>
        <w:rPr>
          <w:rFonts w:hint="eastAsia" w:asciiTheme="minorEastAsia" w:hAnsiTheme="minorEastAsia"/>
          <w:b/>
          <w:szCs w:val="21"/>
        </w:rPr>
        <w:t>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4.4乙方所提供的全部货物均应按照标准保护措施进行包装，包装应适用于远距离运输、防潮、防震、防锈、防野蛮装卸等要求，以确保货物安全无损抵运指定交货地点。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第五条</w:t>
      </w:r>
      <w:r>
        <w:rPr>
          <w:rFonts w:asciiTheme="minorEastAsia" w:hAnsiTheme="minorEastAsia"/>
          <w:b/>
          <w:szCs w:val="21"/>
        </w:rPr>
        <w:t xml:space="preserve">  </w:t>
      </w:r>
      <w:r>
        <w:rPr>
          <w:rFonts w:hint="eastAsia" w:asciiTheme="minorEastAsia" w:hAnsiTheme="minorEastAsia"/>
          <w:b/>
          <w:szCs w:val="21"/>
        </w:rPr>
        <w:t>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第六条</w:t>
      </w:r>
      <w:r>
        <w:rPr>
          <w:rFonts w:asciiTheme="minorEastAsia" w:hAnsiTheme="minorEastAsia"/>
          <w:b/>
          <w:szCs w:val="21"/>
        </w:rPr>
        <w:t xml:space="preserve">  </w:t>
      </w:r>
      <w:r>
        <w:rPr>
          <w:rFonts w:hint="eastAsia" w:asciiTheme="minorEastAsia" w:hAnsiTheme="minorEastAsia"/>
          <w:b/>
          <w:szCs w:val="21"/>
        </w:rPr>
        <w:t>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6.3质量保证金：乙方应向甲方交纳</w:t>
      </w:r>
      <w:r>
        <w:rPr>
          <w:rFonts w:asciiTheme="minorEastAsia" w:hAnsiTheme="minorEastAsia"/>
          <w:szCs w:val="21"/>
          <w:u w:val="single"/>
        </w:rPr>
        <w:t xml:space="preserve">     </w:t>
      </w:r>
      <w:r>
        <w:rPr>
          <w:rFonts w:hint="eastAsia" w:asciiTheme="minorEastAsia" w:hAnsiTheme="minorEastAsia"/>
          <w:szCs w:val="21"/>
        </w:rPr>
        <w:t>元质量保证金，也可以采用支票或者甲方认可的银行出具的保函。质量保证金应在合同签订之日起</w:t>
      </w:r>
      <w:r>
        <w:rPr>
          <w:rFonts w:asciiTheme="minorEastAsia" w:hAnsiTheme="minorEastAsia"/>
          <w:szCs w:val="21"/>
          <w:u w:val="single"/>
        </w:rPr>
        <w:t xml:space="preserve">   </w:t>
      </w:r>
      <w:r>
        <w:rPr>
          <w:rFonts w:hint="eastAsia" w:asciiTheme="minorEastAsia" w:hAnsiTheme="minorEastAsia"/>
          <w:szCs w:val="21"/>
        </w:rPr>
        <w:t>日内一次性支付给甲方。验收合格后</w:t>
      </w:r>
      <w:r>
        <w:rPr>
          <w:rFonts w:asciiTheme="minorEastAsia" w:hAnsiTheme="minorEastAsia"/>
          <w:szCs w:val="21"/>
          <w:u w:val="single"/>
        </w:rPr>
        <w:t xml:space="preserve">   </w:t>
      </w:r>
      <w:r>
        <w:rPr>
          <w:rFonts w:hint="eastAsia" w:asciiTheme="minorEastAsia" w:hAnsiTheme="minorEastAsia"/>
          <w:szCs w:val="21"/>
        </w:rPr>
        <w:t>日内，甲方一次性将质量保证金无息退还给乙方。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第七条</w:t>
      </w:r>
      <w:r>
        <w:rPr>
          <w:rFonts w:asciiTheme="minorEastAsia" w:hAnsiTheme="minorEastAsia"/>
          <w:b/>
          <w:szCs w:val="21"/>
        </w:rPr>
        <w:t xml:space="preserve">  </w:t>
      </w:r>
      <w:r>
        <w:rPr>
          <w:rFonts w:hint="eastAsia" w:asciiTheme="minorEastAsia" w:hAnsiTheme="minorEastAsia"/>
          <w:b/>
          <w:szCs w:val="21"/>
        </w:rPr>
        <w:t>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asciiTheme="minorEastAsia" w:hAnsiTheme="minorEastAsia"/>
          <w:szCs w:val="21"/>
          <w:u w:val="single"/>
        </w:rPr>
        <w:t xml:space="preserve">       </w:t>
      </w:r>
      <w:r>
        <w:rPr>
          <w:rFonts w:hint="eastAsia" w:asciiTheme="minorEastAsia" w:hAnsiTheme="minorEastAsia"/>
          <w:szCs w:val="21"/>
        </w:rPr>
        <w:t>个工作日内对货物进行验收；需要乙方对货物或系统进行安装调试的，甲方应在货物安装调试完毕后的</w:t>
      </w:r>
      <w:r>
        <w:rPr>
          <w:rFonts w:asciiTheme="minorEastAsia" w:hAnsiTheme="minorEastAsia"/>
          <w:szCs w:val="21"/>
          <w:u w:val="single"/>
        </w:rPr>
        <w:t xml:space="preserve">       </w:t>
      </w:r>
      <w:r>
        <w:rPr>
          <w:rFonts w:hint="eastAsia" w:asciiTheme="minorEastAsia" w:hAnsiTheme="minorEastAsia"/>
          <w:szCs w:val="21"/>
        </w:rPr>
        <w:t>个工作日内进行质量验收。</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第八条</w:t>
      </w:r>
      <w:r>
        <w:rPr>
          <w:rFonts w:asciiTheme="minorEastAsia" w:hAnsiTheme="minorEastAsia"/>
          <w:b/>
          <w:szCs w:val="21"/>
        </w:rPr>
        <w:t xml:space="preserve">  </w:t>
      </w:r>
      <w:r>
        <w:rPr>
          <w:rFonts w:hint="eastAsia" w:asciiTheme="minorEastAsia" w:hAnsiTheme="minorEastAsia"/>
          <w:b/>
          <w:szCs w:val="21"/>
        </w:rPr>
        <w:t>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第九条</w:t>
      </w:r>
      <w:r>
        <w:rPr>
          <w:rFonts w:asciiTheme="minorEastAsia" w:hAnsiTheme="minorEastAsia"/>
          <w:b/>
          <w:szCs w:val="21"/>
        </w:rPr>
        <w:t xml:space="preserve">  </w:t>
      </w:r>
      <w:r>
        <w:rPr>
          <w:rFonts w:hint="eastAsia" w:asciiTheme="minorEastAsia" w:hAnsiTheme="minorEastAsia"/>
          <w:b/>
          <w:szCs w:val="21"/>
        </w:rPr>
        <w:t>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第十条</w:t>
      </w:r>
      <w:r>
        <w:rPr>
          <w:rFonts w:asciiTheme="minorEastAsia" w:hAnsiTheme="minorEastAsia"/>
          <w:b/>
          <w:szCs w:val="21"/>
        </w:rPr>
        <w:t xml:space="preserve">  </w:t>
      </w:r>
      <w:r>
        <w:rPr>
          <w:rFonts w:hint="eastAsia" w:asciiTheme="minorEastAsia" w:hAnsiTheme="minorEastAsia"/>
          <w:b/>
          <w:szCs w:val="21"/>
        </w:rPr>
        <w:t>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第十一条</w:t>
      </w:r>
      <w:r>
        <w:rPr>
          <w:rFonts w:asciiTheme="minorEastAsia" w:hAnsiTheme="minorEastAsia"/>
          <w:b/>
          <w:szCs w:val="21"/>
        </w:rPr>
        <w:t xml:space="preserve">  </w:t>
      </w:r>
      <w:r>
        <w:rPr>
          <w:rFonts w:hint="eastAsia" w:asciiTheme="minorEastAsia" w:hAnsiTheme="minorEastAsia"/>
          <w:b/>
          <w:szCs w:val="21"/>
        </w:rPr>
        <w:t>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w:t>
      </w:r>
      <w:r>
        <w:rPr>
          <w:rFonts w:asciiTheme="minorEastAsia" w:hAnsiTheme="minorEastAsia"/>
          <w:szCs w:val="21"/>
          <w:u w:val="single"/>
        </w:rPr>
        <w:t xml:space="preserve">    </w:t>
      </w:r>
      <w:r>
        <w:rPr>
          <w:rFonts w:hint="eastAsia" w:asciiTheme="minorEastAsia" w:hAnsiTheme="minorEastAsia"/>
          <w:szCs w:val="21"/>
        </w:rPr>
        <w:t>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第十二条</w:t>
      </w:r>
      <w:r>
        <w:rPr>
          <w:rFonts w:asciiTheme="minorEastAsia" w:hAnsiTheme="minorEastAsia"/>
          <w:b/>
          <w:szCs w:val="21"/>
        </w:rPr>
        <w:t xml:space="preserve">  </w:t>
      </w:r>
      <w:r>
        <w:rPr>
          <w:rFonts w:hint="eastAsia" w:asciiTheme="minorEastAsia" w:hAnsiTheme="minorEastAsia"/>
          <w:b/>
          <w:szCs w:val="21"/>
        </w:rPr>
        <w:t>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第十三条</w:t>
      </w:r>
      <w:r>
        <w:rPr>
          <w:rFonts w:asciiTheme="minorEastAsia" w:hAnsiTheme="minorEastAsia"/>
          <w:b/>
          <w:szCs w:val="21"/>
        </w:rPr>
        <w:t xml:space="preserve">  </w:t>
      </w:r>
      <w:r>
        <w:rPr>
          <w:rFonts w:hint="eastAsia" w:asciiTheme="minorEastAsia" w:hAnsiTheme="minorEastAsia"/>
          <w:b/>
          <w:szCs w:val="21"/>
        </w:rPr>
        <w:t>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第十四条</w:t>
      </w:r>
      <w:r>
        <w:rPr>
          <w:rFonts w:asciiTheme="minorEastAsia" w:hAnsiTheme="minorEastAsia"/>
          <w:b/>
          <w:szCs w:val="21"/>
        </w:rPr>
        <w:t xml:space="preserve">  </w:t>
      </w:r>
      <w:r>
        <w:rPr>
          <w:rFonts w:hint="eastAsia" w:asciiTheme="minorEastAsia" w:hAnsiTheme="minorEastAsia"/>
          <w:b/>
          <w:szCs w:val="21"/>
        </w:rPr>
        <w:t>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招标文件、答疑及补充通知；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asciiTheme="minorEastAsia" w:hAnsiTheme="minorEastAsia"/>
          <w:szCs w:val="21"/>
          <w:u w:val="single"/>
        </w:rPr>
        <w:t xml:space="preserve">     </w:t>
      </w:r>
      <w:r>
        <w:rPr>
          <w:rFonts w:hint="eastAsia" w:asciiTheme="minorEastAsia" w:hAnsiTheme="minorEastAsia"/>
          <w:szCs w:val="21"/>
        </w:rPr>
        <w:t>份，甲、乙方双方各执</w:t>
      </w:r>
      <w:r>
        <w:rPr>
          <w:rFonts w:asciiTheme="minorEastAsia" w:hAnsiTheme="minorEastAsia"/>
          <w:szCs w:val="21"/>
          <w:u w:val="single"/>
        </w:rPr>
        <w:t xml:space="preserve">     </w:t>
      </w:r>
      <w:r>
        <w:rPr>
          <w:rFonts w:hint="eastAsia" w:asciiTheme="minorEastAsia" w:hAnsiTheme="minorEastAsia"/>
          <w:szCs w:val="21"/>
        </w:rPr>
        <w:t>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26"/>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2"/>
      </w:pPr>
      <w:bookmarkStart w:id="85" w:name="_Toc73610161"/>
      <w:r>
        <w:rPr>
          <w:rFonts w:hint="eastAsia"/>
        </w:rPr>
        <w:t>第九章  附件</w:t>
      </w:r>
      <w:bookmarkEnd w:id="85"/>
    </w:p>
    <w:p>
      <w:pPr>
        <w:pStyle w:val="3"/>
        <w:spacing w:before="0" w:after="0"/>
        <w:jc w:val="center"/>
      </w:pPr>
      <w:bookmarkStart w:id="86" w:name="_Toc73610162"/>
      <w:r>
        <w:rPr>
          <w:rFonts w:hint="eastAsia"/>
        </w:rPr>
        <w:t>一、财政部 工业和信息化部关于印发《政府采购促进中小企业发展管理办法》的通知</w:t>
      </w:r>
      <w:bookmarkEnd w:id="86"/>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财库〔2020〕46号</w:t>
      </w: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各中央预算单位办公厅（室），各省、自治区、直辖市、计划单列市财政厅（局）、工业和信息化主管部门，新疆生产建设兵团财政局、工业和信息化主管部门：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附件：政府采购促进中小企业发展管理办法</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财　　政　　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工业和信息化部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2020年12月18日</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附件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center"/>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政府采购促进中小企业发展管理办法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第一条</w:t>
      </w:r>
      <w:r>
        <w:rPr>
          <w:rFonts w:hint="eastAsia" w:asciiTheme="minorEastAsia" w:hAnsiTheme="minorEastAsia" w:eastAsiaTheme="minorEastAsia"/>
          <w:color w:val="333333"/>
          <w:sz w:val="21"/>
          <w:szCs w:val="21"/>
        </w:rPr>
        <w:t>　为了发挥政府采购的政策功能，促进中小企业健康发展，根据《中华人民共和国政府采购法》、《中华人民共和国中小企业促进法》等有关法律法规，制定本办法。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第二条</w:t>
      </w:r>
      <w:r>
        <w:rPr>
          <w:rFonts w:hint="eastAsia" w:asciiTheme="minorEastAsia" w:hAnsiTheme="minorEastAsia" w:eastAsiaTheme="minorEastAsia"/>
          <w:color w:val="333333"/>
          <w:sz w:val="21"/>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符合中小企业划分标准的个体工商户，在政府采购活动中视同中小企业。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第三条</w:t>
      </w:r>
      <w:r>
        <w:rPr>
          <w:rFonts w:hint="eastAsia" w:asciiTheme="minorEastAsia" w:hAnsiTheme="minorEastAsia" w:eastAsiaTheme="minorEastAsia"/>
          <w:color w:val="333333"/>
          <w:sz w:val="21"/>
          <w:szCs w:val="21"/>
        </w:rPr>
        <w:t>　采购人在政府采购活动中应当通过加强采购需求管理，落实预留采购份额、价格评审优惠、优先采购等措施，提高中小企业在政府采购中的份额，支持中小企业发展。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第四条</w:t>
      </w:r>
      <w:r>
        <w:rPr>
          <w:rFonts w:hint="eastAsia" w:asciiTheme="minorEastAsia" w:hAnsiTheme="minorEastAsia" w:eastAsiaTheme="minorEastAsia"/>
          <w:color w:val="333333"/>
          <w:sz w:val="21"/>
          <w:szCs w:val="21"/>
        </w:rPr>
        <w:t>　在政府采购活动中，供应商提供的货物、工程或者服务符合下列情形的，享受本办法规定的中小企业扶持政策：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（一）在货物采购项目中，货物由中小企业制造，即货物由中小企业生产且使用该中小企业商号或者注册商标；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（二）在工程采购项目中，工程由中小企业承建，即工程施工单位为中小企业；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（三）在服务采购项目中，服务由中小企业承接，即提供服务的人员为中小企业依照《中华人民共和国劳动合同法》订立劳动合同的从业人员。</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在货物采购项目中，供应商提供的货物既有中小企业制造货物，也有大型企业制造货物的，不享受本办法规定的中小企业扶持政策。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以联合体形式参加政府采购活动，联合体各方均为中小企业的，联合体视同中小企业。其中，联合体各方均为小微企业的，联合体视同小微企业。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第五条</w:t>
      </w:r>
      <w:r>
        <w:rPr>
          <w:rFonts w:hint="eastAsia" w:asciiTheme="minorEastAsia" w:hAnsiTheme="minorEastAsia" w:eastAsiaTheme="minorEastAsia"/>
          <w:color w:val="333333"/>
          <w:sz w:val="21"/>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第六条</w:t>
      </w:r>
      <w:r>
        <w:rPr>
          <w:rFonts w:hint="eastAsia" w:asciiTheme="minorEastAsia" w:hAnsiTheme="minorEastAsia" w:eastAsiaTheme="minorEastAsia"/>
          <w:color w:val="333333"/>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符合下列情形之一的，可不专门面向中小企业预留采购份额：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（一）法律法规和国家有关政策明确规定优先或者应当面向事业单位、社会组织等非企业主体采购的；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（二）因确需使用不可替代的专利、专有技术，基础设施限制，或者提供特定公共服务等原因，只能从中小企业之外的供应商处采购的；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（三）按照本办法规定预留采购份额无法确保充分供应、充分竞争，或者存在可能影响政府采购目标实现的情形；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（四）框架协议采购项目；</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（五）省级以上人民政府财政部门规定的其他情形。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除上述情形外，其他均为适宜由中小企业提供的情形。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第七条</w:t>
      </w:r>
      <w:r>
        <w:rPr>
          <w:rFonts w:hint="eastAsia" w:asciiTheme="minorEastAsia" w:hAnsiTheme="minorEastAsia" w:eastAsiaTheme="minorEastAsia"/>
          <w:color w:val="333333"/>
          <w:sz w:val="21"/>
          <w:szCs w:val="21"/>
        </w:rPr>
        <w:t>　采购限额标准以上，200万元以下的货物和服务采购项目、400万元以下的工程采购项目，适宜由中小企业提供的，采购人应当专门面向中小企业采购。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第八条</w:t>
      </w:r>
      <w:r>
        <w:rPr>
          <w:rFonts w:hint="eastAsia" w:asciiTheme="minorEastAsia" w:hAnsiTheme="minorEastAsia" w:eastAsiaTheme="minorEastAsia"/>
          <w:color w:val="333333"/>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（一）将采购项目整体或者设置采购包专门面向中小企业采购；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（二）要求供应商以联合体形式参加采购活动，且联合体中中小企业承担的部分达到一定比例；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（三）要求获得采购合同的供应商将采购项目中的一定比例分包给一家或者多家中小企业。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组成联合体或者接受分包合同的中小企业与联合体内其他企业、分包企业之间不得存在直接控股、管理关系。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第九条</w:t>
      </w:r>
      <w:r>
        <w:rPr>
          <w:rFonts w:hint="eastAsia" w:asciiTheme="minorEastAsia" w:hAnsiTheme="minorEastAsia" w:eastAsiaTheme="minorEastAsia"/>
          <w:color w:val="333333"/>
          <w:sz w:val="21"/>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第十条</w:t>
      </w:r>
      <w:r>
        <w:rPr>
          <w:rFonts w:hint="eastAsia" w:asciiTheme="minorEastAsia" w:hAnsiTheme="minorEastAsia" w:eastAsiaTheme="minorEastAsia"/>
          <w:color w:val="333333"/>
          <w:sz w:val="21"/>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第十一条</w:t>
      </w:r>
      <w:r>
        <w:rPr>
          <w:rFonts w:hint="eastAsia" w:asciiTheme="minorEastAsia" w:hAnsiTheme="minorEastAsia" w:eastAsiaTheme="minorEastAsia"/>
          <w:color w:val="333333"/>
          <w:sz w:val="21"/>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第十二条</w:t>
      </w:r>
      <w:r>
        <w:rPr>
          <w:rFonts w:hint="eastAsia" w:asciiTheme="minorEastAsia" w:hAnsiTheme="minorEastAsia" w:eastAsiaTheme="minorEastAsia"/>
          <w:color w:val="333333"/>
          <w:sz w:val="21"/>
          <w:szCs w:val="21"/>
        </w:rPr>
        <w:t>　采购项目涉及中小企业采购的，采购文件应当明确以下内容：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（一）预留份额的采购项目或者采购包，明确该项目或相关采购包专门面向中小企业采购，以及相关标的及预算金额；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（二）要求以联合体形式参加或者合同分包的，明确联合协议或者分包意向协议中中小企业合同金额应当达到的比例，并作为供应商资格条件；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（三）非预留份额的采购项目或者采购包，明确有关价格扣除比例或者价格分加分比例；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（四）规定依据本办法规定享受扶持政策获得政府采购合同的，小微企业不得将合同分包给大中型企业，中型企业不得将合同分包给大型企业；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（五）采购人认为具备相关条件的，明确对中小企业在资金支付期限、预付款比例等方面的优惠措施；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（六）明确采购标的对应的中小企业划分标准所属行业；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（七）法律法规和省级以上人民政府财政部门规定的其他事项。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第十三条</w:t>
      </w:r>
      <w:r>
        <w:rPr>
          <w:rFonts w:hint="eastAsia" w:asciiTheme="minorEastAsia" w:hAnsiTheme="minorEastAsia" w:eastAsiaTheme="minorEastAsia"/>
          <w:color w:val="333333"/>
          <w:sz w:val="21"/>
          <w:szCs w:val="21"/>
        </w:rPr>
        <w:t>　中标、成交供应商享受本办法规定的中小企业扶持政策的，采购人、采购代理机构应当随中标、成交结果公开中标、成交供应商的《中小企业声明函》。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适用招标投标法的政府采购工程建设项目，应当在公示中标候选人时公开中标候选人的《中小企业声明函》。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第十四条</w:t>
      </w:r>
      <w:r>
        <w:rPr>
          <w:rFonts w:hint="eastAsia" w:asciiTheme="minorEastAsia" w:hAnsiTheme="minorEastAsia" w:eastAsiaTheme="minorEastAsia"/>
          <w:color w:val="333333"/>
          <w:sz w:val="21"/>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第十五条</w:t>
      </w:r>
      <w:r>
        <w:rPr>
          <w:rFonts w:hint="eastAsia" w:asciiTheme="minorEastAsia" w:hAnsiTheme="minorEastAsia" w:eastAsiaTheme="minorEastAsia"/>
          <w:color w:val="333333"/>
          <w:sz w:val="21"/>
          <w:szCs w:val="21"/>
        </w:rPr>
        <w:t>　鼓励各地区、各部门在采购活动中允许中小企业引入信用担保手段，为中小企业在投标（响应）保证、履约保证等方面提供专业化服务。鼓励中小企业依法合规通过政府采购合同融资。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第十六条</w:t>
      </w:r>
      <w:r>
        <w:rPr>
          <w:rFonts w:hint="eastAsia" w:asciiTheme="minorEastAsia" w:hAnsiTheme="minorEastAsia" w:eastAsiaTheme="minorEastAsia"/>
          <w:color w:val="333333"/>
          <w:sz w:val="21"/>
          <w:szCs w:val="21"/>
        </w:rPr>
        <w:t>　政府采购监督检查、投诉处理及政府采购行政处罚中对中小企业的认定，由货物制造商或者工程、服务供应商注册登记所在地的县级以上人民政府中小企业主管部门负责。</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中小企业主管部门应当在收到财政部门或者有关招标投标行政监督部门关于协助开展中小企业认定函后10个工作日内做出书面答复。</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第十七条</w:t>
      </w:r>
      <w:r>
        <w:rPr>
          <w:rFonts w:hint="eastAsia" w:asciiTheme="minorEastAsia" w:hAnsiTheme="minorEastAsia" w:eastAsiaTheme="minorEastAsia"/>
          <w:color w:val="333333"/>
          <w:sz w:val="21"/>
          <w:szCs w:val="21"/>
        </w:rPr>
        <w:t>　各地区、各部门应当对涉及中小企业采购的预算项目实施全过程绩效管理，合理设置绩效目标和指标，落实扶持中小企业有关政策要求，定期开展绩效监控和评价，强化绩效评价结果应用。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第十八条</w:t>
      </w:r>
      <w:r>
        <w:rPr>
          <w:rFonts w:hint="eastAsia" w:asciiTheme="minorEastAsia" w:hAnsiTheme="minorEastAsia" w:eastAsiaTheme="minorEastAsia"/>
          <w:color w:val="333333"/>
          <w:sz w:val="21"/>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第十九条</w:t>
      </w:r>
      <w:r>
        <w:rPr>
          <w:rFonts w:hint="eastAsia" w:asciiTheme="minorEastAsia" w:hAnsiTheme="minorEastAsia" w:eastAsiaTheme="minorEastAsia"/>
          <w:color w:val="333333"/>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第二十条</w:t>
      </w:r>
      <w:r>
        <w:rPr>
          <w:rFonts w:hint="eastAsia" w:asciiTheme="minorEastAsia" w:hAnsiTheme="minorEastAsia" w:eastAsiaTheme="minorEastAsia"/>
          <w:color w:val="333333"/>
          <w:sz w:val="21"/>
          <w:szCs w:val="21"/>
        </w:rPr>
        <w:t>　供应商按照本办法规定提供声明函内容不实的，属于提供虚假材料谋取中标、成交，依照《中华人民共和国政府采购法》等国家有关规定追究相应责任。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第二十一条</w:t>
      </w:r>
      <w:r>
        <w:rPr>
          <w:rFonts w:hint="eastAsia" w:asciiTheme="minorEastAsia" w:hAnsiTheme="minorEastAsia" w:eastAsiaTheme="minorEastAsia"/>
          <w:color w:val="333333"/>
          <w:sz w:val="21"/>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第二十二条</w:t>
      </w:r>
      <w:r>
        <w:rPr>
          <w:rFonts w:hint="eastAsia" w:asciiTheme="minorEastAsia" w:hAnsiTheme="minorEastAsia" w:eastAsiaTheme="minorEastAsia"/>
          <w:color w:val="333333"/>
          <w:sz w:val="21"/>
          <w:szCs w:val="21"/>
        </w:rPr>
        <w:t>　对外援助项目、国家相关资格或者资质管理制度另有规定的项目，不适用本办法。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第二十三条</w:t>
      </w:r>
      <w:r>
        <w:rPr>
          <w:rFonts w:hint="eastAsia" w:asciiTheme="minorEastAsia" w:hAnsiTheme="minorEastAsia" w:eastAsiaTheme="minorEastAsia"/>
          <w:color w:val="333333"/>
          <w:sz w:val="21"/>
          <w:szCs w:val="21"/>
        </w:rPr>
        <w:t>　关于视同中小企业的其他主体的政府采购扶持政策，由财政部会同有关部门另行规定。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第二十四条</w:t>
      </w:r>
      <w:r>
        <w:rPr>
          <w:rFonts w:hint="eastAsia" w:asciiTheme="minorEastAsia" w:hAnsiTheme="minorEastAsia" w:eastAsiaTheme="minorEastAsia"/>
          <w:color w:val="333333"/>
          <w:sz w:val="21"/>
          <w:szCs w:val="21"/>
        </w:rPr>
        <w:t>　省级财政部门可以会同中小企业主管部门根据本办法的规定制定具体实施办法。</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第二十五条</w:t>
      </w:r>
      <w:r>
        <w:rPr>
          <w:rFonts w:hint="eastAsia" w:asciiTheme="minorEastAsia" w:hAnsiTheme="minorEastAsia" w:eastAsiaTheme="minorEastAsia"/>
          <w:color w:val="333333"/>
          <w:sz w:val="21"/>
          <w:szCs w:val="21"/>
        </w:rPr>
        <w:t>　本办法自2021年1月1日起施行。《财政部 工业和信息化部关于印发〈政府采购促进中小企业发展暂行办法〉的通知》（财库〔2011〕181号）同时废止。</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p>
    <w:p>
      <w:pPr>
        <w:spacing w:line="360" w:lineRule="auto"/>
        <w:rPr>
          <w:rFonts w:asciiTheme="minorEastAsia" w:hAnsiTheme="minorEastAsia" w:eastAsiaTheme="minorEastAsia"/>
          <w:szCs w:val="21"/>
        </w:rPr>
      </w:pPr>
    </w:p>
    <w:p>
      <w:pPr>
        <w:pStyle w:val="3"/>
        <w:spacing w:before="0" w:after="0"/>
        <w:jc w:val="center"/>
      </w:pPr>
      <w:bookmarkStart w:id="87" w:name="_Toc73610163"/>
      <w:r>
        <w:rPr>
          <w:rFonts w:hint="eastAsia"/>
        </w:rPr>
        <w:t>二、关于印发中小企业划型标准规定的通知</w:t>
      </w:r>
      <w:bookmarkEnd w:id="87"/>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工信部联企业〔2011〕300号</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各省、自治区、直辖市人民政府，国务院各部委、各直属机构及有关单位：</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45"/>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工业和信息化部　国家统计局</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国家发展和改革委员会　财政部</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二○一一年六月十八日</w:t>
      </w:r>
    </w:p>
    <w:p>
      <w:pPr>
        <w:pStyle w:val="45"/>
        <w:shd w:val="clear" w:color="auto" w:fill="FFFFFF"/>
        <w:spacing w:line="360" w:lineRule="auto"/>
        <w:jc w:val="center"/>
        <w:rPr>
          <w:rFonts w:asciiTheme="minorEastAsia" w:hAnsiTheme="minorEastAsia" w:eastAsiaTheme="minorEastAsia"/>
          <w:color w:val="000000"/>
          <w:sz w:val="21"/>
          <w:szCs w:val="21"/>
        </w:rPr>
      </w:pPr>
      <w:r>
        <w:rPr>
          <w:rStyle w:val="53"/>
          <w:rFonts w:hint="eastAsia" w:asciiTheme="minorEastAsia" w:hAnsiTheme="minorEastAsia" w:eastAsiaTheme="minorEastAsia"/>
          <w:color w:val="000000"/>
          <w:sz w:val="21"/>
          <w:szCs w:val="21"/>
        </w:rPr>
        <w:t>中小企业划型标准规定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一、根据《中华人民共和国中小企业促进法》和《国务院关于进一步促进中小企业发展的若干意见》(国发〔2009〕36号)，制定本规定。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二、中小企业划分为中型、小型、微型三种类型，具体标准根据企业从业人员、营业收入、资产总额等指标，结合行业特点制定。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四、各行业划型标准为：</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（一）农、林、牧、渔业。营业收入20000万元以下的为中小微型企业。其中，营业收入500万元及以上的为中型企业，营业收入50万元及以上的为小型企业，营业收入50万元以下的为微型企业。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（十六）其他未列明行业。从业人员300人以下的为中小微型企业。其中，从业人员100人及以上的为中型企业；从业人员10人及以上的为小型企业；从业人员10人以下的为微型企业。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五、企业类型的划分以统计部门的统计数据为依据。</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六、本规定适用于在中华人民共和国境内依法设立的各类所有制和各种组织形式的企业。个体工商户和本规定以外的行业，参照本规定进行划型。</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八、本规定由工业和信息化部、国家统计局会同有关部门根据《国民经济行业分类》修订情况和企业发展变化情况适时修订。</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九、本规定由工业和信息化部、国家统计局会同有关部门负责解释。</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十、本规定自发布之日起执行，原国家经贸委、原国家计委、财政部和国家统计局2003年颁布的《中小企业标准暂行规定》同时废止。</w:t>
      </w:r>
    </w:p>
    <w:p>
      <w:pPr>
        <w:pStyle w:val="45"/>
        <w:shd w:val="clear" w:color="auto" w:fill="FFFFFF"/>
        <w:spacing w:line="360" w:lineRule="auto"/>
        <w:rPr>
          <w:rFonts w:asciiTheme="minorEastAsia" w:hAnsiTheme="minorEastAsia" w:eastAsiaTheme="minorEastAsia"/>
          <w:color w:val="000000"/>
          <w:sz w:val="21"/>
          <w:szCs w:val="21"/>
        </w:rPr>
      </w:pPr>
    </w:p>
    <w:p>
      <w:pPr>
        <w:pStyle w:val="3"/>
        <w:spacing w:before="0" w:after="0"/>
        <w:jc w:val="center"/>
        <w:rPr>
          <w:rFonts w:asciiTheme="minorEastAsia" w:hAnsiTheme="minorEastAsia" w:eastAsiaTheme="minorEastAsia"/>
        </w:rPr>
      </w:pPr>
      <w:bookmarkStart w:id="88" w:name="_Toc73610164"/>
      <w:r>
        <w:rPr>
          <w:rFonts w:hint="eastAsia" w:asciiTheme="minorEastAsia" w:hAnsiTheme="minorEastAsia" w:eastAsiaTheme="minorEastAsia"/>
          <w:bCs w:val="0"/>
        </w:rPr>
        <w:t>三、</w:t>
      </w:r>
      <w:r>
        <w:rPr>
          <w:rFonts w:asciiTheme="minorEastAsia" w:hAnsiTheme="minorEastAsia" w:eastAsiaTheme="minorEastAsia"/>
          <w:bCs w:val="0"/>
        </w:rPr>
        <w:t>国家统计局关于印发《统计上大中小微型企业划分办法 （2017）》的通知</w:t>
      </w:r>
      <w:bookmarkEnd w:id="88"/>
      <w:r>
        <w:rPr>
          <w:rFonts w:asciiTheme="minorEastAsia" w:hAnsiTheme="minorEastAsia" w:eastAsiaTheme="minorEastAsia"/>
          <w:bCs w:val="0"/>
        </w:rPr>
        <w:t> </w:t>
      </w:r>
    </w:p>
    <w:p>
      <w:pPr>
        <w:widowControl/>
        <w:shd w:val="clear" w:color="auto" w:fill="FFFFFF"/>
        <w:spacing w:line="360" w:lineRule="auto"/>
        <w:jc w:val="left"/>
        <w:rPr>
          <w:rFonts w:cs="Arial" w:asciiTheme="minorEastAsia" w:hAnsiTheme="minorEastAsia" w:eastAsiaTheme="minorEastAsia"/>
          <w:color w:val="999999"/>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3"/>
        <w:spacing w:before="0" w:after="0"/>
        <w:jc w:val="center"/>
      </w:pPr>
      <w:bookmarkStart w:id="89" w:name="_Toc73610165"/>
      <w:r>
        <w:rPr>
          <w:rFonts w:hint="eastAsia"/>
        </w:rPr>
        <w:t>四、</w:t>
      </w:r>
      <w:r>
        <w:t>财政部 民政部 中国残疾人联合会关于促进残疾人就业 政府采购政策的通知</w:t>
      </w:r>
      <w:bookmarkEnd w:id="89"/>
      <w:r>
        <w:t xml:space="preserve"> </w:t>
      </w:r>
    </w:p>
    <w:p>
      <w:pPr>
        <w:pStyle w:val="45"/>
        <w:shd w:val="clear" w:color="auto" w:fill="FFFFFF"/>
        <w:spacing w:line="360" w:lineRule="auto"/>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asciiTheme="minorEastAsia" w:hAnsiTheme="minorEastAsia" w:eastAsiaTheme="minorEastAsia"/>
          <w:szCs w:val="21"/>
        </w:rPr>
      </w:pPr>
      <w:r>
        <w:rPr>
          <w:rFonts w:hint="eastAsia" w:cs="宋体" w:asciiTheme="minorEastAsia" w:hAnsiTheme="minorEastAsia" w:eastAsiaTheme="minorEastAsia"/>
          <w:kern w:val="0"/>
          <w:szCs w:val="21"/>
        </w:rPr>
        <w:t>  2017年8月22日</w:t>
      </w:r>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ˎ̥">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auto"/>
    <w:pitch w:val="default"/>
    <w:sig w:usb0="00000000" w:usb1="00000000" w:usb2="0000001E"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MS Mincho">
    <w:panose1 w:val="02020609040205080304"/>
    <w:charset w:val="80"/>
    <w:family w:val="modern"/>
    <w:pitch w:val="default"/>
    <w:sig w:usb0="E00002FF" w:usb1="6AC7FDFB" w:usb2="00000012" w:usb3="00000000" w:csb0="4002009F" w:csb1="DFD7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9</w:t>
    </w:r>
    <w:r>
      <w:rPr>
        <w:rStyle w:val="54"/>
      </w:rPr>
      <w:fldChar w:fldCharType="end"/>
    </w:r>
  </w:p>
  <w:p>
    <w:pPr>
      <w:pStyle w:val="3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rPr>
        <w:rFonts w:asciiTheme="minorEastAsia" w:hAnsiTheme="minorEastAsia" w:eastAsiaTheme="minorEastAsia"/>
      </w:rPr>
    </w:pPr>
    <w:r>
      <w:tab/>
    </w:r>
    <w:r>
      <w:rPr>
        <w:rFonts w:hint="eastAsia" w:asciiTheme="minorEastAsia" w:hAnsiTheme="minorEastAsia" w:eastAsiaTheme="minorEastAsia"/>
      </w:rPr>
      <w:t>项目名称：疫情防控智能监控系统采购项目                                        项目编号：SZZZ2021-QA0277</w:t>
    </w:r>
  </w:p>
  <w:p>
    <w:pPr>
      <w:pStyle w:val="32"/>
      <w:tabs>
        <w:tab w:val="center" w:pos="4819"/>
        <w:tab w:val="right" w:pos="9638"/>
      </w:tabs>
      <w:jc w:val="left"/>
      <w:rPr>
        <w:u w:val="single"/>
      </w:rPr>
    </w:pPr>
    <w:r>
      <w:rPr>
        <w:rFonts w:hint="eastAsia"/>
        <w:u w:val="single"/>
      </w:rPr>
      <w:t xml:space="preserve">                                                                                                       </w:t>
    </w:r>
    <w:r>
      <w:rPr>
        <w:u w:val="single"/>
      </w:rPr>
      <w:tab/>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6"/>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6"/>
      <w:lvlText w:val="%5)"/>
      <w:lvlJc w:val="left"/>
      <w:pPr>
        <w:tabs>
          <w:tab w:val="left" w:pos="2111"/>
        </w:tabs>
        <w:ind w:left="2111" w:hanging="420"/>
      </w:pPr>
    </w:lvl>
    <w:lvl w:ilvl="5" w:tentative="0">
      <w:start w:val="1"/>
      <w:numFmt w:val="lowerRoman"/>
      <w:pStyle w:val="8"/>
      <w:lvlText w:val="%6."/>
      <w:lvlJc w:val="right"/>
      <w:pPr>
        <w:tabs>
          <w:tab w:val="left" w:pos="2531"/>
        </w:tabs>
        <w:ind w:left="2531" w:hanging="420"/>
      </w:pPr>
    </w:lvl>
    <w:lvl w:ilvl="6" w:tentative="0">
      <w:start w:val="1"/>
      <w:numFmt w:val="decimal"/>
      <w:pStyle w:val="9"/>
      <w:lvlText w:val="%7."/>
      <w:lvlJc w:val="left"/>
      <w:pPr>
        <w:tabs>
          <w:tab w:val="left" w:pos="2951"/>
        </w:tabs>
        <w:ind w:left="2951" w:hanging="420"/>
      </w:pPr>
    </w:lvl>
    <w:lvl w:ilvl="7" w:tentative="0">
      <w:start w:val="1"/>
      <w:numFmt w:val="lowerLetter"/>
      <w:pStyle w:val="10"/>
      <w:lvlText w:val="%8)"/>
      <w:lvlJc w:val="left"/>
      <w:pPr>
        <w:tabs>
          <w:tab w:val="left" w:pos="3371"/>
        </w:tabs>
        <w:ind w:left="3371" w:hanging="420"/>
      </w:pPr>
    </w:lvl>
    <w:lvl w:ilvl="8" w:tentative="0">
      <w:start w:val="1"/>
      <w:numFmt w:val="lowerRoman"/>
      <w:pStyle w:val="11"/>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abstractNum w:abstractNumId="4">
    <w:nsid w:val="6C827DF7"/>
    <w:multiLevelType w:val="multilevel"/>
    <w:tmpl w:val="6C827DF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172A27"/>
    <w:rsid w:val="0000124D"/>
    <w:rsid w:val="0000134D"/>
    <w:rsid w:val="000035D6"/>
    <w:rsid w:val="000036D6"/>
    <w:rsid w:val="00003921"/>
    <w:rsid w:val="000039AF"/>
    <w:rsid w:val="00003A46"/>
    <w:rsid w:val="000042A3"/>
    <w:rsid w:val="00004906"/>
    <w:rsid w:val="000049DE"/>
    <w:rsid w:val="00004AF7"/>
    <w:rsid w:val="00004FC4"/>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5940"/>
    <w:rsid w:val="00015AF5"/>
    <w:rsid w:val="00016458"/>
    <w:rsid w:val="000165EF"/>
    <w:rsid w:val="00016FC3"/>
    <w:rsid w:val="000208F8"/>
    <w:rsid w:val="00021304"/>
    <w:rsid w:val="0002197F"/>
    <w:rsid w:val="00022C27"/>
    <w:rsid w:val="00022F4F"/>
    <w:rsid w:val="00022FA9"/>
    <w:rsid w:val="000242A8"/>
    <w:rsid w:val="000250AF"/>
    <w:rsid w:val="00025B21"/>
    <w:rsid w:val="00025D5B"/>
    <w:rsid w:val="00026249"/>
    <w:rsid w:val="00026BDD"/>
    <w:rsid w:val="00027415"/>
    <w:rsid w:val="000274F7"/>
    <w:rsid w:val="000307C5"/>
    <w:rsid w:val="00030D77"/>
    <w:rsid w:val="00031887"/>
    <w:rsid w:val="000319D1"/>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4022A"/>
    <w:rsid w:val="00040784"/>
    <w:rsid w:val="00041122"/>
    <w:rsid w:val="000414AB"/>
    <w:rsid w:val="00042758"/>
    <w:rsid w:val="00043926"/>
    <w:rsid w:val="00043D2B"/>
    <w:rsid w:val="000447F6"/>
    <w:rsid w:val="00045923"/>
    <w:rsid w:val="00045EB5"/>
    <w:rsid w:val="00046595"/>
    <w:rsid w:val="0004741F"/>
    <w:rsid w:val="00047612"/>
    <w:rsid w:val="00047852"/>
    <w:rsid w:val="00047A79"/>
    <w:rsid w:val="00050F73"/>
    <w:rsid w:val="00051378"/>
    <w:rsid w:val="000529DE"/>
    <w:rsid w:val="00053074"/>
    <w:rsid w:val="00053F8F"/>
    <w:rsid w:val="000545F7"/>
    <w:rsid w:val="00054837"/>
    <w:rsid w:val="000550A3"/>
    <w:rsid w:val="0005520A"/>
    <w:rsid w:val="0005526E"/>
    <w:rsid w:val="000558BB"/>
    <w:rsid w:val="00055C3D"/>
    <w:rsid w:val="00056374"/>
    <w:rsid w:val="0005650D"/>
    <w:rsid w:val="00056617"/>
    <w:rsid w:val="0005666E"/>
    <w:rsid w:val="00057655"/>
    <w:rsid w:val="00060526"/>
    <w:rsid w:val="00061300"/>
    <w:rsid w:val="000621B0"/>
    <w:rsid w:val="00062570"/>
    <w:rsid w:val="0006264D"/>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30F3"/>
    <w:rsid w:val="00073348"/>
    <w:rsid w:val="00073A35"/>
    <w:rsid w:val="00073B23"/>
    <w:rsid w:val="00073DB3"/>
    <w:rsid w:val="00073EE2"/>
    <w:rsid w:val="00074554"/>
    <w:rsid w:val="00074BEF"/>
    <w:rsid w:val="00075AD5"/>
    <w:rsid w:val="00080168"/>
    <w:rsid w:val="00080188"/>
    <w:rsid w:val="00080A90"/>
    <w:rsid w:val="00080C2D"/>
    <w:rsid w:val="00081B06"/>
    <w:rsid w:val="000820E6"/>
    <w:rsid w:val="000825F6"/>
    <w:rsid w:val="00082956"/>
    <w:rsid w:val="00082ABE"/>
    <w:rsid w:val="000839DA"/>
    <w:rsid w:val="00083D3F"/>
    <w:rsid w:val="00083E84"/>
    <w:rsid w:val="0008402F"/>
    <w:rsid w:val="00085134"/>
    <w:rsid w:val="000851F8"/>
    <w:rsid w:val="00085317"/>
    <w:rsid w:val="00085419"/>
    <w:rsid w:val="000855C1"/>
    <w:rsid w:val="00085908"/>
    <w:rsid w:val="0008596C"/>
    <w:rsid w:val="00085DE9"/>
    <w:rsid w:val="00085FFE"/>
    <w:rsid w:val="000866A3"/>
    <w:rsid w:val="000867FB"/>
    <w:rsid w:val="00086F62"/>
    <w:rsid w:val="000870F2"/>
    <w:rsid w:val="000878FF"/>
    <w:rsid w:val="00087F07"/>
    <w:rsid w:val="0009127F"/>
    <w:rsid w:val="0009133A"/>
    <w:rsid w:val="0009145A"/>
    <w:rsid w:val="00091526"/>
    <w:rsid w:val="00091CAC"/>
    <w:rsid w:val="00092BD5"/>
    <w:rsid w:val="00094366"/>
    <w:rsid w:val="00095198"/>
    <w:rsid w:val="00095806"/>
    <w:rsid w:val="00095F61"/>
    <w:rsid w:val="00096CE6"/>
    <w:rsid w:val="00097B04"/>
    <w:rsid w:val="000A0947"/>
    <w:rsid w:val="000A0ABE"/>
    <w:rsid w:val="000A0DC0"/>
    <w:rsid w:val="000A24AF"/>
    <w:rsid w:val="000A274D"/>
    <w:rsid w:val="000A2C52"/>
    <w:rsid w:val="000A2D79"/>
    <w:rsid w:val="000A3358"/>
    <w:rsid w:val="000A43D6"/>
    <w:rsid w:val="000A530C"/>
    <w:rsid w:val="000A54E6"/>
    <w:rsid w:val="000A584E"/>
    <w:rsid w:val="000A58B9"/>
    <w:rsid w:val="000A5A8E"/>
    <w:rsid w:val="000A5CD4"/>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080D"/>
    <w:rsid w:val="000C1B95"/>
    <w:rsid w:val="000C299D"/>
    <w:rsid w:val="000C2A5E"/>
    <w:rsid w:val="000C3B21"/>
    <w:rsid w:val="000C428C"/>
    <w:rsid w:val="000C4328"/>
    <w:rsid w:val="000C48DA"/>
    <w:rsid w:val="000C5059"/>
    <w:rsid w:val="000C605A"/>
    <w:rsid w:val="000C63AE"/>
    <w:rsid w:val="000C6BB0"/>
    <w:rsid w:val="000C7685"/>
    <w:rsid w:val="000D0C86"/>
    <w:rsid w:val="000D0C91"/>
    <w:rsid w:val="000D11F6"/>
    <w:rsid w:val="000D1EAF"/>
    <w:rsid w:val="000D2C8E"/>
    <w:rsid w:val="000D2CA8"/>
    <w:rsid w:val="000D3909"/>
    <w:rsid w:val="000D39D7"/>
    <w:rsid w:val="000D3DAF"/>
    <w:rsid w:val="000D4816"/>
    <w:rsid w:val="000D48D5"/>
    <w:rsid w:val="000D5E0E"/>
    <w:rsid w:val="000D5E7D"/>
    <w:rsid w:val="000D6088"/>
    <w:rsid w:val="000D6CFF"/>
    <w:rsid w:val="000D6D74"/>
    <w:rsid w:val="000D6F21"/>
    <w:rsid w:val="000D7803"/>
    <w:rsid w:val="000D7D8E"/>
    <w:rsid w:val="000D7DC6"/>
    <w:rsid w:val="000E18B0"/>
    <w:rsid w:val="000E1BD5"/>
    <w:rsid w:val="000E1C6E"/>
    <w:rsid w:val="000E214A"/>
    <w:rsid w:val="000E21D9"/>
    <w:rsid w:val="000E2823"/>
    <w:rsid w:val="000E3219"/>
    <w:rsid w:val="000E321B"/>
    <w:rsid w:val="000E3D76"/>
    <w:rsid w:val="000E52FA"/>
    <w:rsid w:val="000E6437"/>
    <w:rsid w:val="000E671E"/>
    <w:rsid w:val="000F06E7"/>
    <w:rsid w:val="000F0B03"/>
    <w:rsid w:val="000F0D6F"/>
    <w:rsid w:val="000F1C87"/>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0694"/>
    <w:rsid w:val="001018E6"/>
    <w:rsid w:val="00101DFC"/>
    <w:rsid w:val="00102684"/>
    <w:rsid w:val="00102A12"/>
    <w:rsid w:val="00102CC6"/>
    <w:rsid w:val="00102F0D"/>
    <w:rsid w:val="001048BE"/>
    <w:rsid w:val="0010529C"/>
    <w:rsid w:val="001072EB"/>
    <w:rsid w:val="001075C1"/>
    <w:rsid w:val="00107924"/>
    <w:rsid w:val="001079CD"/>
    <w:rsid w:val="0011014B"/>
    <w:rsid w:val="00111274"/>
    <w:rsid w:val="001117B9"/>
    <w:rsid w:val="0011317D"/>
    <w:rsid w:val="001134EF"/>
    <w:rsid w:val="00114386"/>
    <w:rsid w:val="001148BD"/>
    <w:rsid w:val="001151A9"/>
    <w:rsid w:val="00115CCC"/>
    <w:rsid w:val="00116BDF"/>
    <w:rsid w:val="0012030F"/>
    <w:rsid w:val="00120AB4"/>
    <w:rsid w:val="00120BE1"/>
    <w:rsid w:val="00121A55"/>
    <w:rsid w:val="00121C20"/>
    <w:rsid w:val="00121CCD"/>
    <w:rsid w:val="00122C88"/>
    <w:rsid w:val="00123367"/>
    <w:rsid w:val="00123EA6"/>
    <w:rsid w:val="00124206"/>
    <w:rsid w:val="0012456B"/>
    <w:rsid w:val="00124932"/>
    <w:rsid w:val="0012537B"/>
    <w:rsid w:val="0012558C"/>
    <w:rsid w:val="0012714F"/>
    <w:rsid w:val="00127915"/>
    <w:rsid w:val="0013031C"/>
    <w:rsid w:val="00130801"/>
    <w:rsid w:val="00130A8C"/>
    <w:rsid w:val="001310AA"/>
    <w:rsid w:val="001312DF"/>
    <w:rsid w:val="00132670"/>
    <w:rsid w:val="001328E9"/>
    <w:rsid w:val="00133AF2"/>
    <w:rsid w:val="00133E88"/>
    <w:rsid w:val="0013411A"/>
    <w:rsid w:val="001349F3"/>
    <w:rsid w:val="001356AB"/>
    <w:rsid w:val="0013581C"/>
    <w:rsid w:val="00136615"/>
    <w:rsid w:val="00136BA5"/>
    <w:rsid w:val="00137077"/>
    <w:rsid w:val="00137241"/>
    <w:rsid w:val="00137B1E"/>
    <w:rsid w:val="00140047"/>
    <w:rsid w:val="001403D0"/>
    <w:rsid w:val="00141229"/>
    <w:rsid w:val="00141E96"/>
    <w:rsid w:val="00142681"/>
    <w:rsid w:val="00142BD9"/>
    <w:rsid w:val="00143392"/>
    <w:rsid w:val="001438E5"/>
    <w:rsid w:val="00143AB1"/>
    <w:rsid w:val="00143D73"/>
    <w:rsid w:val="001448C4"/>
    <w:rsid w:val="0014619B"/>
    <w:rsid w:val="001467AB"/>
    <w:rsid w:val="001468DA"/>
    <w:rsid w:val="00146E88"/>
    <w:rsid w:val="00147B19"/>
    <w:rsid w:val="00150618"/>
    <w:rsid w:val="00150E64"/>
    <w:rsid w:val="00151766"/>
    <w:rsid w:val="00152417"/>
    <w:rsid w:val="0015247A"/>
    <w:rsid w:val="00152F39"/>
    <w:rsid w:val="00153226"/>
    <w:rsid w:val="00153918"/>
    <w:rsid w:val="001547E1"/>
    <w:rsid w:val="00154F74"/>
    <w:rsid w:val="00156320"/>
    <w:rsid w:val="00156E27"/>
    <w:rsid w:val="001570A5"/>
    <w:rsid w:val="001571E8"/>
    <w:rsid w:val="0015749F"/>
    <w:rsid w:val="00160375"/>
    <w:rsid w:val="00160D4E"/>
    <w:rsid w:val="00160F50"/>
    <w:rsid w:val="00161522"/>
    <w:rsid w:val="001617AE"/>
    <w:rsid w:val="00161E4F"/>
    <w:rsid w:val="0016263C"/>
    <w:rsid w:val="001628C8"/>
    <w:rsid w:val="00162AE8"/>
    <w:rsid w:val="00162C56"/>
    <w:rsid w:val="00162DB2"/>
    <w:rsid w:val="00163EA0"/>
    <w:rsid w:val="00164626"/>
    <w:rsid w:val="00164924"/>
    <w:rsid w:val="00164A55"/>
    <w:rsid w:val="001657B1"/>
    <w:rsid w:val="00166DCC"/>
    <w:rsid w:val="00167927"/>
    <w:rsid w:val="0017073E"/>
    <w:rsid w:val="00170C17"/>
    <w:rsid w:val="00170C6E"/>
    <w:rsid w:val="0017173E"/>
    <w:rsid w:val="00171CA3"/>
    <w:rsid w:val="001722D8"/>
    <w:rsid w:val="00172715"/>
    <w:rsid w:val="00172A27"/>
    <w:rsid w:val="00172AE3"/>
    <w:rsid w:val="00172C34"/>
    <w:rsid w:val="00173149"/>
    <w:rsid w:val="00173759"/>
    <w:rsid w:val="001739A3"/>
    <w:rsid w:val="00173A21"/>
    <w:rsid w:val="00173D26"/>
    <w:rsid w:val="001742DD"/>
    <w:rsid w:val="00175A5E"/>
    <w:rsid w:val="00175B46"/>
    <w:rsid w:val="00177212"/>
    <w:rsid w:val="001774D4"/>
    <w:rsid w:val="00177549"/>
    <w:rsid w:val="00177744"/>
    <w:rsid w:val="001778BE"/>
    <w:rsid w:val="00177F89"/>
    <w:rsid w:val="00180B0D"/>
    <w:rsid w:val="00181389"/>
    <w:rsid w:val="00181FEA"/>
    <w:rsid w:val="00182706"/>
    <w:rsid w:val="0018284B"/>
    <w:rsid w:val="00183600"/>
    <w:rsid w:val="00183836"/>
    <w:rsid w:val="00183DB4"/>
    <w:rsid w:val="001845E9"/>
    <w:rsid w:val="00184630"/>
    <w:rsid w:val="001846D7"/>
    <w:rsid w:val="00184815"/>
    <w:rsid w:val="001856C0"/>
    <w:rsid w:val="00185CB5"/>
    <w:rsid w:val="001864FF"/>
    <w:rsid w:val="00186D2F"/>
    <w:rsid w:val="00187B3E"/>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40A"/>
    <w:rsid w:val="001A10F7"/>
    <w:rsid w:val="001A173C"/>
    <w:rsid w:val="001A1844"/>
    <w:rsid w:val="001A1998"/>
    <w:rsid w:val="001A1BE9"/>
    <w:rsid w:val="001A20CA"/>
    <w:rsid w:val="001A29AF"/>
    <w:rsid w:val="001A2B9F"/>
    <w:rsid w:val="001A2DA7"/>
    <w:rsid w:val="001A3B13"/>
    <w:rsid w:val="001A3CF6"/>
    <w:rsid w:val="001A3EE7"/>
    <w:rsid w:val="001A4420"/>
    <w:rsid w:val="001A68EC"/>
    <w:rsid w:val="001A6C49"/>
    <w:rsid w:val="001A7C91"/>
    <w:rsid w:val="001B0220"/>
    <w:rsid w:val="001B0850"/>
    <w:rsid w:val="001B0AEB"/>
    <w:rsid w:val="001B1281"/>
    <w:rsid w:val="001B1712"/>
    <w:rsid w:val="001B1D39"/>
    <w:rsid w:val="001B2126"/>
    <w:rsid w:val="001B238D"/>
    <w:rsid w:val="001B23F5"/>
    <w:rsid w:val="001B2A31"/>
    <w:rsid w:val="001B2BC4"/>
    <w:rsid w:val="001B2D49"/>
    <w:rsid w:val="001B3D9D"/>
    <w:rsid w:val="001B57AB"/>
    <w:rsid w:val="001B5B42"/>
    <w:rsid w:val="001B6DDB"/>
    <w:rsid w:val="001B7078"/>
    <w:rsid w:val="001B7491"/>
    <w:rsid w:val="001B75CF"/>
    <w:rsid w:val="001B7A8D"/>
    <w:rsid w:val="001B7EBE"/>
    <w:rsid w:val="001C06C0"/>
    <w:rsid w:val="001C0924"/>
    <w:rsid w:val="001C10E5"/>
    <w:rsid w:val="001C1A12"/>
    <w:rsid w:val="001C1D46"/>
    <w:rsid w:val="001C1F6C"/>
    <w:rsid w:val="001C21BB"/>
    <w:rsid w:val="001C3041"/>
    <w:rsid w:val="001C30D1"/>
    <w:rsid w:val="001C33D6"/>
    <w:rsid w:val="001C35B7"/>
    <w:rsid w:val="001C36F7"/>
    <w:rsid w:val="001C3AE0"/>
    <w:rsid w:val="001C3BAD"/>
    <w:rsid w:val="001C5F9A"/>
    <w:rsid w:val="001C7E49"/>
    <w:rsid w:val="001D012D"/>
    <w:rsid w:val="001D0702"/>
    <w:rsid w:val="001D0A25"/>
    <w:rsid w:val="001D1659"/>
    <w:rsid w:val="001D296C"/>
    <w:rsid w:val="001D2F3D"/>
    <w:rsid w:val="001D33C3"/>
    <w:rsid w:val="001D3C8D"/>
    <w:rsid w:val="001D3DED"/>
    <w:rsid w:val="001D3DF8"/>
    <w:rsid w:val="001D4078"/>
    <w:rsid w:val="001D4E6F"/>
    <w:rsid w:val="001D5573"/>
    <w:rsid w:val="001D5E80"/>
    <w:rsid w:val="001D6157"/>
    <w:rsid w:val="001D6356"/>
    <w:rsid w:val="001D6A56"/>
    <w:rsid w:val="001D6EC3"/>
    <w:rsid w:val="001D710C"/>
    <w:rsid w:val="001E11B1"/>
    <w:rsid w:val="001E208F"/>
    <w:rsid w:val="001E233C"/>
    <w:rsid w:val="001E4950"/>
    <w:rsid w:val="001E5014"/>
    <w:rsid w:val="001E630A"/>
    <w:rsid w:val="001E67F4"/>
    <w:rsid w:val="001E7838"/>
    <w:rsid w:val="001E7A22"/>
    <w:rsid w:val="001E7D19"/>
    <w:rsid w:val="001F015A"/>
    <w:rsid w:val="001F03A2"/>
    <w:rsid w:val="001F0CFA"/>
    <w:rsid w:val="001F1464"/>
    <w:rsid w:val="001F1905"/>
    <w:rsid w:val="001F1EAE"/>
    <w:rsid w:val="001F1F7F"/>
    <w:rsid w:val="001F2E14"/>
    <w:rsid w:val="001F37E0"/>
    <w:rsid w:val="001F401A"/>
    <w:rsid w:val="001F4A76"/>
    <w:rsid w:val="001F4D92"/>
    <w:rsid w:val="001F4F4A"/>
    <w:rsid w:val="001F534F"/>
    <w:rsid w:val="001F543D"/>
    <w:rsid w:val="001F56BD"/>
    <w:rsid w:val="001F5989"/>
    <w:rsid w:val="001F64C1"/>
    <w:rsid w:val="001F7746"/>
    <w:rsid w:val="002001F1"/>
    <w:rsid w:val="00201348"/>
    <w:rsid w:val="002014D7"/>
    <w:rsid w:val="00201A4E"/>
    <w:rsid w:val="00201B09"/>
    <w:rsid w:val="00201C8A"/>
    <w:rsid w:val="00202525"/>
    <w:rsid w:val="002035A2"/>
    <w:rsid w:val="00203887"/>
    <w:rsid w:val="002046D6"/>
    <w:rsid w:val="00204D09"/>
    <w:rsid w:val="00205C71"/>
    <w:rsid w:val="00205E32"/>
    <w:rsid w:val="002070C1"/>
    <w:rsid w:val="0020717B"/>
    <w:rsid w:val="002071DB"/>
    <w:rsid w:val="00207468"/>
    <w:rsid w:val="00207844"/>
    <w:rsid w:val="00210436"/>
    <w:rsid w:val="0021043B"/>
    <w:rsid w:val="0021054E"/>
    <w:rsid w:val="0021095C"/>
    <w:rsid w:val="00210AC5"/>
    <w:rsid w:val="00210E7E"/>
    <w:rsid w:val="00211084"/>
    <w:rsid w:val="00211254"/>
    <w:rsid w:val="002116E1"/>
    <w:rsid w:val="002122AD"/>
    <w:rsid w:val="0021299B"/>
    <w:rsid w:val="002139CD"/>
    <w:rsid w:val="00213E88"/>
    <w:rsid w:val="00214C22"/>
    <w:rsid w:val="00214C4A"/>
    <w:rsid w:val="00214FDD"/>
    <w:rsid w:val="0021647A"/>
    <w:rsid w:val="002170FD"/>
    <w:rsid w:val="002175FD"/>
    <w:rsid w:val="0021781A"/>
    <w:rsid w:val="00217A9E"/>
    <w:rsid w:val="002201AC"/>
    <w:rsid w:val="0022067E"/>
    <w:rsid w:val="00221029"/>
    <w:rsid w:val="0022131F"/>
    <w:rsid w:val="002216BD"/>
    <w:rsid w:val="00221E89"/>
    <w:rsid w:val="00221FE8"/>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D0C"/>
    <w:rsid w:val="00230EA4"/>
    <w:rsid w:val="002326BE"/>
    <w:rsid w:val="0023316C"/>
    <w:rsid w:val="002333EF"/>
    <w:rsid w:val="00233C0A"/>
    <w:rsid w:val="00233EA8"/>
    <w:rsid w:val="00233EE9"/>
    <w:rsid w:val="00235237"/>
    <w:rsid w:val="00235CCD"/>
    <w:rsid w:val="0023602F"/>
    <w:rsid w:val="00236048"/>
    <w:rsid w:val="002362ED"/>
    <w:rsid w:val="00237036"/>
    <w:rsid w:val="002372AC"/>
    <w:rsid w:val="00237A33"/>
    <w:rsid w:val="00240B0F"/>
    <w:rsid w:val="00240E54"/>
    <w:rsid w:val="00241314"/>
    <w:rsid w:val="00241B92"/>
    <w:rsid w:val="00241BD9"/>
    <w:rsid w:val="00242B67"/>
    <w:rsid w:val="00243381"/>
    <w:rsid w:val="00243EFD"/>
    <w:rsid w:val="002442A5"/>
    <w:rsid w:val="00244AF3"/>
    <w:rsid w:val="00244CB3"/>
    <w:rsid w:val="00244EFB"/>
    <w:rsid w:val="00245008"/>
    <w:rsid w:val="002451ED"/>
    <w:rsid w:val="0024561B"/>
    <w:rsid w:val="002458E4"/>
    <w:rsid w:val="00245DD8"/>
    <w:rsid w:val="002477EA"/>
    <w:rsid w:val="002506EE"/>
    <w:rsid w:val="00250E89"/>
    <w:rsid w:val="00252912"/>
    <w:rsid w:val="00252D49"/>
    <w:rsid w:val="00253C51"/>
    <w:rsid w:val="002548D3"/>
    <w:rsid w:val="0025568B"/>
    <w:rsid w:val="002561B7"/>
    <w:rsid w:val="00257054"/>
    <w:rsid w:val="00257131"/>
    <w:rsid w:val="002572D1"/>
    <w:rsid w:val="0025733E"/>
    <w:rsid w:val="00257F6B"/>
    <w:rsid w:val="002600E9"/>
    <w:rsid w:val="00260DC9"/>
    <w:rsid w:val="00261B4C"/>
    <w:rsid w:val="00261C50"/>
    <w:rsid w:val="00261DE4"/>
    <w:rsid w:val="00261E06"/>
    <w:rsid w:val="0026249A"/>
    <w:rsid w:val="002625B4"/>
    <w:rsid w:val="00263090"/>
    <w:rsid w:val="002640AD"/>
    <w:rsid w:val="0026452A"/>
    <w:rsid w:val="00264570"/>
    <w:rsid w:val="00264D98"/>
    <w:rsid w:val="00265054"/>
    <w:rsid w:val="0026523F"/>
    <w:rsid w:val="002659F4"/>
    <w:rsid w:val="0026696D"/>
    <w:rsid w:val="00266A00"/>
    <w:rsid w:val="00266BE6"/>
    <w:rsid w:val="00267127"/>
    <w:rsid w:val="00267325"/>
    <w:rsid w:val="00267935"/>
    <w:rsid w:val="002703AB"/>
    <w:rsid w:val="00270B8F"/>
    <w:rsid w:val="00271B39"/>
    <w:rsid w:val="00271CD9"/>
    <w:rsid w:val="0027313B"/>
    <w:rsid w:val="002731CD"/>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42D"/>
    <w:rsid w:val="00282D45"/>
    <w:rsid w:val="00283253"/>
    <w:rsid w:val="002836C6"/>
    <w:rsid w:val="0028615B"/>
    <w:rsid w:val="00286DFC"/>
    <w:rsid w:val="00287102"/>
    <w:rsid w:val="00290002"/>
    <w:rsid w:val="0029069C"/>
    <w:rsid w:val="002913B8"/>
    <w:rsid w:val="0029244F"/>
    <w:rsid w:val="00293B82"/>
    <w:rsid w:val="00293DA4"/>
    <w:rsid w:val="002965D8"/>
    <w:rsid w:val="002A0381"/>
    <w:rsid w:val="002A0425"/>
    <w:rsid w:val="002A0651"/>
    <w:rsid w:val="002A06BD"/>
    <w:rsid w:val="002A11FB"/>
    <w:rsid w:val="002A120C"/>
    <w:rsid w:val="002A1996"/>
    <w:rsid w:val="002A1F00"/>
    <w:rsid w:val="002A1F34"/>
    <w:rsid w:val="002A2185"/>
    <w:rsid w:val="002A21D9"/>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E4D"/>
    <w:rsid w:val="002A7153"/>
    <w:rsid w:val="002A728A"/>
    <w:rsid w:val="002A7310"/>
    <w:rsid w:val="002A73C5"/>
    <w:rsid w:val="002A7D4F"/>
    <w:rsid w:val="002B011D"/>
    <w:rsid w:val="002B021E"/>
    <w:rsid w:val="002B0899"/>
    <w:rsid w:val="002B08F6"/>
    <w:rsid w:val="002B2CF6"/>
    <w:rsid w:val="002B2E09"/>
    <w:rsid w:val="002B366D"/>
    <w:rsid w:val="002B3C7C"/>
    <w:rsid w:val="002B4B5E"/>
    <w:rsid w:val="002B4F70"/>
    <w:rsid w:val="002B6528"/>
    <w:rsid w:val="002B6DB3"/>
    <w:rsid w:val="002C065B"/>
    <w:rsid w:val="002C08AB"/>
    <w:rsid w:val="002C183E"/>
    <w:rsid w:val="002C1AA0"/>
    <w:rsid w:val="002C1B20"/>
    <w:rsid w:val="002C1D83"/>
    <w:rsid w:val="002C237E"/>
    <w:rsid w:val="002C24DC"/>
    <w:rsid w:val="002C3057"/>
    <w:rsid w:val="002C365A"/>
    <w:rsid w:val="002C44A2"/>
    <w:rsid w:val="002C467A"/>
    <w:rsid w:val="002C4AC6"/>
    <w:rsid w:val="002C526F"/>
    <w:rsid w:val="002C55AB"/>
    <w:rsid w:val="002C588A"/>
    <w:rsid w:val="002C5B4B"/>
    <w:rsid w:val="002C5EEF"/>
    <w:rsid w:val="002C6527"/>
    <w:rsid w:val="002D13DF"/>
    <w:rsid w:val="002D3B6B"/>
    <w:rsid w:val="002D41A4"/>
    <w:rsid w:val="002D603D"/>
    <w:rsid w:val="002D6332"/>
    <w:rsid w:val="002D7FC5"/>
    <w:rsid w:val="002E00AD"/>
    <w:rsid w:val="002E032F"/>
    <w:rsid w:val="002E075F"/>
    <w:rsid w:val="002E08C1"/>
    <w:rsid w:val="002E0B56"/>
    <w:rsid w:val="002E0B5D"/>
    <w:rsid w:val="002E0B99"/>
    <w:rsid w:val="002E1650"/>
    <w:rsid w:val="002E1DA6"/>
    <w:rsid w:val="002E214F"/>
    <w:rsid w:val="002E24BD"/>
    <w:rsid w:val="002E27B9"/>
    <w:rsid w:val="002E3C98"/>
    <w:rsid w:val="002E4681"/>
    <w:rsid w:val="002E4D51"/>
    <w:rsid w:val="002E554F"/>
    <w:rsid w:val="002E57C9"/>
    <w:rsid w:val="002E6371"/>
    <w:rsid w:val="002E6A58"/>
    <w:rsid w:val="002E6D98"/>
    <w:rsid w:val="002E7881"/>
    <w:rsid w:val="002E7975"/>
    <w:rsid w:val="002E7A31"/>
    <w:rsid w:val="002F01F2"/>
    <w:rsid w:val="002F0F57"/>
    <w:rsid w:val="002F11D5"/>
    <w:rsid w:val="002F2B63"/>
    <w:rsid w:val="002F3765"/>
    <w:rsid w:val="002F44A0"/>
    <w:rsid w:val="002F4F44"/>
    <w:rsid w:val="002F50DA"/>
    <w:rsid w:val="002F56B1"/>
    <w:rsid w:val="002F584B"/>
    <w:rsid w:val="002F5EEE"/>
    <w:rsid w:val="002F5FC3"/>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C1F"/>
    <w:rsid w:val="00305D1D"/>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42E5"/>
    <w:rsid w:val="00324DD8"/>
    <w:rsid w:val="00324F38"/>
    <w:rsid w:val="003256E0"/>
    <w:rsid w:val="00325E6C"/>
    <w:rsid w:val="00327114"/>
    <w:rsid w:val="003278F8"/>
    <w:rsid w:val="00327B3E"/>
    <w:rsid w:val="00327D2C"/>
    <w:rsid w:val="00327EA3"/>
    <w:rsid w:val="00330181"/>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86C"/>
    <w:rsid w:val="00335EFB"/>
    <w:rsid w:val="003364EB"/>
    <w:rsid w:val="003374CB"/>
    <w:rsid w:val="00337D7C"/>
    <w:rsid w:val="00340405"/>
    <w:rsid w:val="00340445"/>
    <w:rsid w:val="00342098"/>
    <w:rsid w:val="00342BAE"/>
    <w:rsid w:val="003431F0"/>
    <w:rsid w:val="00344388"/>
    <w:rsid w:val="00345387"/>
    <w:rsid w:val="00345AD6"/>
    <w:rsid w:val="00345E2A"/>
    <w:rsid w:val="00345F25"/>
    <w:rsid w:val="00346772"/>
    <w:rsid w:val="00346E05"/>
    <w:rsid w:val="00350C97"/>
    <w:rsid w:val="00351F42"/>
    <w:rsid w:val="00352BC1"/>
    <w:rsid w:val="003536EE"/>
    <w:rsid w:val="00353939"/>
    <w:rsid w:val="00354E1D"/>
    <w:rsid w:val="00354FA4"/>
    <w:rsid w:val="00355855"/>
    <w:rsid w:val="003571E8"/>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0DD"/>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1591"/>
    <w:rsid w:val="00392CF1"/>
    <w:rsid w:val="00393028"/>
    <w:rsid w:val="0039313E"/>
    <w:rsid w:val="003934F9"/>
    <w:rsid w:val="00393CB5"/>
    <w:rsid w:val="00394848"/>
    <w:rsid w:val="00394A73"/>
    <w:rsid w:val="00394BD9"/>
    <w:rsid w:val="00394CBF"/>
    <w:rsid w:val="00394D1B"/>
    <w:rsid w:val="00394EA1"/>
    <w:rsid w:val="00395AE1"/>
    <w:rsid w:val="003960EC"/>
    <w:rsid w:val="0039729C"/>
    <w:rsid w:val="00397BFA"/>
    <w:rsid w:val="003A03CE"/>
    <w:rsid w:val="003A0BE4"/>
    <w:rsid w:val="003A1771"/>
    <w:rsid w:val="003A1BD8"/>
    <w:rsid w:val="003A1CDA"/>
    <w:rsid w:val="003A1D06"/>
    <w:rsid w:val="003A1F30"/>
    <w:rsid w:val="003A236B"/>
    <w:rsid w:val="003A268D"/>
    <w:rsid w:val="003A2908"/>
    <w:rsid w:val="003A394A"/>
    <w:rsid w:val="003A3C39"/>
    <w:rsid w:val="003A3CAC"/>
    <w:rsid w:val="003A3EFB"/>
    <w:rsid w:val="003A407A"/>
    <w:rsid w:val="003A44F3"/>
    <w:rsid w:val="003A505F"/>
    <w:rsid w:val="003A574F"/>
    <w:rsid w:val="003A58D0"/>
    <w:rsid w:val="003A6FDB"/>
    <w:rsid w:val="003B01FA"/>
    <w:rsid w:val="003B0A1B"/>
    <w:rsid w:val="003B1B85"/>
    <w:rsid w:val="003B23AD"/>
    <w:rsid w:val="003B246D"/>
    <w:rsid w:val="003B2926"/>
    <w:rsid w:val="003B3713"/>
    <w:rsid w:val="003B3AA5"/>
    <w:rsid w:val="003B445F"/>
    <w:rsid w:val="003B495A"/>
    <w:rsid w:val="003B4982"/>
    <w:rsid w:val="003B4B46"/>
    <w:rsid w:val="003B5C4E"/>
    <w:rsid w:val="003B65AB"/>
    <w:rsid w:val="003B6CFD"/>
    <w:rsid w:val="003B7115"/>
    <w:rsid w:val="003B77CE"/>
    <w:rsid w:val="003B7B4E"/>
    <w:rsid w:val="003C053A"/>
    <w:rsid w:val="003C0812"/>
    <w:rsid w:val="003C0BD9"/>
    <w:rsid w:val="003C0DD9"/>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D06D4"/>
    <w:rsid w:val="003D16D0"/>
    <w:rsid w:val="003D27FB"/>
    <w:rsid w:val="003D3FDB"/>
    <w:rsid w:val="003D482D"/>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CC4"/>
    <w:rsid w:val="003F179E"/>
    <w:rsid w:val="003F1823"/>
    <w:rsid w:val="003F1DDF"/>
    <w:rsid w:val="003F1F28"/>
    <w:rsid w:val="003F253B"/>
    <w:rsid w:val="003F3ED0"/>
    <w:rsid w:val="003F447B"/>
    <w:rsid w:val="003F4F4B"/>
    <w:rsid w:val="003F50A1"/>
    <w:rsid w:val="003F5132"/>
    <w:rsid w:val="003F65B3"/>
    <w:rsid w:val="003F6B1B"/>
    <w:rsid w:val="003F6BA8"/>
    <w:rsid w:val="003F7D12"/>
    <w:rsid w:val="003F7F24"/>
    <w:rsid w:val="00400133"/>
    <w:rsid w:val="004004F2"/>
    <w:rsid w:val="0040061D"/>
    <w:rsid w:val="004009A7"/>
    <w:rsid w:val="00400A0B"/>
    <w:rsid w:val="00400A9F"/>
    <w:rsid w:val="00400D1B"/>
    <w:rsid w:val="004015AD"/>
    <w:rsid w:val="00401E65"/>
    <w:rsid w:val="00402593"/>
    <w:rsid w:val="004025F3"/>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77BD"/>
    <w:rsid w:val="00407B04"/>
    <w:rsid w:val="00407BC7"/>
    <w:rsid w:val="00407C5E"/>
    <w:rsid w:val="00410BE7"/>
    <w:rsid w:val="00410D26"/>
    <w:rsid w:val="0041105B"/>
    <w:rsid w:val="004124E8"/>
    <w:rsid w:val="00413625"/>
    <w:rsid w:val="00413661"/>
    <w:rsid w:val="00413BFD"/>
    <w:rsid w:val="004146C1"/>
    <w:rsid w:val="00414A4F"/>
    <w:rsid w:val="00415756"/>
    <w:rsid w:val="00415B9C"/>
    <w:rsid w:val="00415FC6"/>
    <w:rsid w:val="0041688D"/>
    <w:rsid w:val="004168DB"/>
    <w:rsid w:val="00416907"/>
    <w:rsid w:val="00416A9F"/>
    <w:rsid w:val="004170BB"/>
    <w:rsid w:val="00417D63"/>
    <w:rsid w:val="004201B7"/>
    <w:rsid w:val="00421FC0"/>
    <w:rsid w:val="00422A18"/>
    <w:rsid w:val="00422B01"/>
    <w:rsid w:val="00423668"/>
    <w:rsid w:val="00423C36"/>
    <w:rsid w:val="004242E7"/>
    <w:rsid w:val="00424697"/>
    <w:rsid w:val="00424B8A"/>
    <w:rsid w:val="00424DD1"/>
    <w:rsid w:val="00425A62"/>
    <w:rsid w:val="00426433"/>
    <w:rsid w:val="004274CF"/>
    <w:rsid w:val="00427BF1"/>
    <w:rsid w:val="00430051"/>
    <w:rsid w:val="004304D3"/>
    <w:rsid w:val="00430640"/>
    <w:rsid w:val="00430E30"/>
    <w:rsid w:val="00432AF7"/>
    <w:rsid w:val="004342A5"/>
    <w:rsid w:val="0043621F"/>
    <w:rsid w:val="00436AF4"/>
    <w:rsid w:val="00436D58"/>
    <w:rsid w:val="00437066"/>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27D"/>
    <w:rsid w:val="0044493B"/>
    <w:rsid w:val="00444C0A"/>
    <w:rsid w:val="00444CD2"/>
    <w:rsid w:val="00445043"/>
    <w:rsid w:val="0044510F"/>
    <w:rsid w:val="00445E9A"/>
    <w:rsid w:val="00446573"/>
    <w:rsid w:val="0044696A"/>
    <w:rsid w:val="004469FF"/>
    <w:rsid w:val="0045026B"/>
    <w:rsid w:val="004503FD"/>
    <w:rsid w:val="00450BA1"/>
    <w:rsid w:val="00450E38"/>
    <w:rsid w:val="0045124F"/>
    <w:rsid w:val="004515EC"/>
    <w:rsid w:val="0045181C"/>
    <w:rsid w:val="00451AE9"/>
    <w:rsid w:val="00451DFC"/>
    <w:rsid w:val="00453895"/>
    <w:rsid w:val="004540FE"/>
    <w:rsid w:val="00454176"/>
    <w:rsid w:val="004548A5"/>
    <w:rsid w:val="00454B0F"/>
    <w:rsid w:val="004553EB"/>
    <w:rsid w:val="00455D28"/>
    <w:rsid w:val="00455D9A"/>
    <w:rsid w:val="004562BC"/>
    <w:rsid w:val="004562F1"/>
    <w:rsid w:val="004567EA"/>
    <w:rsid w:val="00456A9B"/>
    <w:rsid w:val="0045708B"/>
    <w:rsid w:val="00460233"/>
    <w:rsid w:val="004619CC"/>
    <w:rsid w:val="00461A62"/>
    <w:rsid w:val="00461E36"/>
    <w:rsid w:val="0046392A"/>
    <w:rsid w:val="0046451D"/>
    <w:rsid w:val="00464A3F"/>
    <w:rsid w:val="00464A7E"/>
    <w:rsid w:val="004652F8"/>
    <w:rsid w:val="00465B3E"/>
    <w:rsid w:val="00465C0D"/>
    <w:rsid w:val="00465DED"/>
    <w:rsid w:val="004662D1"/>
    <w:rsid w:val="00466945"/>
    <w:rsid w:val="00466ED5"/>
    <w:rsid w:val="00467388"/>
    <w:rsid w:val="004677CB"/>
    <w:rsid w:val="00470261"/>
    <w:rsid w:val="00470367"/>
    <w:rsid w:val="004705C5"/>
    <w:rsid w:val="00470934"/>
    <w:rsid w:val="00470AE5"/>
    <w:rsid w:val="0047124D"/>
    <w:rsid w:val="00471CC8"/>
    <w:rsid w:val="00471F5C"/>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C54"/>
    <w:rsid w:val="00487F2E"/>
    <w:rsid w:val="00490561"/>
    <w:rsid w:val="0049059F"/>
    <w:rsid w:val="00492CA8"/>
    <w:rsid w:val="00493018"/>
    <w:rsid w:val="004932D3"/>
    <w:rsid w:val="00493783"/>
    <w:rsid w:val="00493EFE"/>
    <w:rsid w:val="004940C3"/>
    <w:rsid w:val="004945B1"/>
    <w:rsid w:val="00494C12"/>
    <w:rsid w:val="0049523D"/>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D79"/>
    <w:rsid w:val="004A4862"/>
    <w:rsid w:val="004A4E10"/>
    <w:rsid w:val="004A565E"/>
    <w:rsid w:val="004A59A4"/>
    <w:rsid w:val="004A6E06"/>
    <w:rsid w:val="004A73C9"/>
    <w:rsid w:val="004A7475"/>
    <w:rsid w:val="004A7F95"/>
    <w:rsid w:val="004B261D"/>
    <w:rsid w:val="004B35DD"/>
    <w:rsid w:val="004B6062"/>
    <w:rsid w:val="004B7F2B"/>
    <w:rsid w:val="004C067A"/>
    <w:rsid w:val="004C1447"/>
    <w:rsid w:val="004C262D"/>
    <w:rsid w:val="004C2758"/>
    <w:rsid w:val="004C3CB6"/>
    <w:rsid w:val="004C54EE"/>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33E6"/>
    <w:rsid w:val="004D3409"/>
    <w:rsid w:val="004D36B7"/>
    <w:rsid w:val="004D411E"/>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345A"/>
    <w:rsid w:val="004E3F06"/>
    <w:rsid w:val="004E4394"/>
    <w:rsid w:val="004E52D5"/>
    <w:rsid w:val="004E59C7"/>
    <w:rsid w:val="004E5C61"/>
    <w:rsid w:val="004E67CC"/>
    <w:rsid w:val="004E6BED"/>
    <w:rsid w:val="004F0090"/>
    <w:rsid w:val="004F0094"/>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11A8"/>
    <w:rsid w:val="0050193A"/>
    <w:rsid w:val="00501956"/>
    <w:rsid w:val="00501E03"/>
    <w:rsid w:val="00501E5A"/>
    <w:rsid w:val="00501EB7"/>
    <w:rsid w:val="00502668"/>
    <w:rsid w:val="0050276C"/>
    <w:rsid w:val="005027F7"/>
    <w:rsid w:val="0050367F"/>
    <w:rsid w:val="00503E1C"/>
    <w:rsid w:val="00503FE5"/>
    <w:rsid w:val="00504068"/>
    <w:rsid w:val="00504889"/>
    <w:rsid w:val="005049EE"/>
    <w:rsid w:val="00504F17"/>
    <w:rsid w:val="00505297"/>
    <w:rsid w:val="0050563F"/>
    <w:rsid w:val="0050650A"/>
    <w:rsid w:val="00507045"/>
    <w:rsid w:val="00507643"/>
    <w:rsid w:val="00507FA4"/>
    <w:rsid w:val="005100BF"/>
    <w:rsid w:val="00510424"/>
    <w:rsid w:val="00510D49"/>
    <w:rsid w:val="0051105A"/>
    <w:rsid w:val="0051110D"/>
    <w:rsid w:val="00511D21"/>
    <w:rsid w:val="005120FE"/>
    <w:rsid w:val="00512690"/>
    <w:rsid w:val="00512B7A"/>
    <w:rsid w:val="00512CCA"/>
    <w:rsid w:val="00512EFD"/>
    <w:rsid w:val="005134DC"/>
    <w:rsid w:val="0051352C"/>
    <w:rsid w:val="00513896"/>
    <w:rsid w:val="00513998"/>
    <w:rsid w:val="0051453F"/>
    <w:rsid w:val="00514823"/>
    <w:rsid w:val="00514E08"/>
    <w:rsid w:val="00515523"/>
    <w:rsid w:val="00516294"/>
    <w:rsid w:val="00516640"/>
    <w:rsid w:val="00516987"/>
    <w:rsid w:val="00517097"/>
    <w:rsid w:val="00517439"/>
    <w:rsid w:val="005174ED"/>
    <w:rsid w:val="00517982"/>
    <w:rsid w:val="00517F8B"/>
    <w:rsid w:val="005202AA"/>
    <w:rsid w:val="00520763"/>
    <w:rsid w:val="00520894"/>
    <w:rsid w:val="00520A35"/>
    <w:rsid w:val="00521376"/>
    <w:rsid w:val="0052173E"/>
    <w:rsid w:val="00521B62"/>
    <w:rsid w:val="00521FE3"/>
    <w:rsid w:val="00522FA1"/>
    <w:rsid w:val="00523995"/>
    <w:rsid w:val="00523B53"/>
    <w:rsid w:val="00523BBD"/>
    <w:rsid w:val="0052405C"/>
    <w:rsid w:val="005241B2"/>
    <w:rsid w:val="00524351"/>
    <w:rsid w:val="00524414"/>
    <w:rsid w:val="005244D3"/>
    <w:rsid w:val="00524818"/>
    <w:rsid w:val="00524D1C"/>
    <w:rsid w:val="00524D26"/>
    <w:rsid w:val="00525027"/>
    <w:rsid w:val="005265E5"/>
    <w:rsid w:val="005266E1"/>
    <w:rsid w:val="00527307"/>
    <w:rsid w:val="00527637"/>
    <w:rsid w:val="00527E4A"/>
    <w:rsid w:val="00530122"/>
    <w:rsid w:val="00530202"/>
    <w:rsid w:val="00530617"/>
    <w:rsid w:val="00530B1B"/>
    <w:rsid w:val="005313D4"/>
    <w:rsid w:val="005316D5"/>
    <w:rsid w:val="00531C5E"/>
    <w:rsid w:val="00532A52"/>
    <w:rsid w:val="00532FBE"/>
    <w:rsid w:val="005352B6"/>
    <w:rsid w:val="00535772"/>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47D3F"/>
    <w:rsid w:val="00550163"/>
    <w:rsid w:val="00550FF4"/>
    <w:rsid w:val="00551A35"/>
    <w:rsid w:val="00552287"/>
    <w:rsid w:val="005531EF"/>
    <w:rsid w:val="0055408C"/>
    <w:rsid w:val="00555289"/>
    <w:rsid w:val="00555AEF"/>
    <w:rsid w:val="00556DFE"/>
    <w:rsid w:val="00557BE8"/>
    <w:rsid w:val="00560452"/>
    <w:rsid w:val="0056097F"/>
    <w:rsid w:val="00560E39"/>
    <w:rsid w:val="005622D6"/>
    <w:rsid w:val="00562AD4"/>
    <w:rsid w:val="00563583"/>
    <w:rsid w:val="005635DB"/>
    <w:rsid w:val="00563722"/>
    <w:rsid w:val="00563E78"/>
    <w:rsid w:val="00564CC4"/>
    <w:rsid w:val="00565126"/>
    <w:rsid w:val="0056554D"/>
    <w:rsid w:val="0056605B"/>
    <w:rsid w:val="005660CD"/>
    <w:rsid w:val="00566509"/>
    <w:rsid w:val="005669FB"/>
    <w:rsid w:val="00566BEE"/>
    <w:rsid w:val="005677FA"/>
    <w:rsid w:val="005705DB"/>
    <w:rsid w:val="005709EF"/>
    <w:rsid w:val="0057109F"/>
    <w:rsid w:val="00571971"/>
    <w:rsid w:val="005721D9"/>
    <w:rsid w:val="00572770"/>
    <w:rsid w:val="00572A16"/>
    <w:rsid w:val="00572D02"/>
    <w:rsid w:val="005731E7"/>
    <w:rsid w:val="00573353"/>
    <w:rsid w:val="00573836"/>
    <w:rsid w:val="00573C96"/>
    <w:rsid w:val="00574200"/>
    <w:rsid w:val="00574266"/>
    <w:rsid w:val="00574539"/>
    <w:rsid w:val="00574776"/>
    <w:rsid w:val="00574ADD"/>
    <w:rsid w:val="00574BF4"/>
    <w:rsid w:val="00575FD0"/>
    <w:rsid w:val="00576547"/>
    <w:rsid w:val="005766D7"/>
    <w:rsid w:val="00576ED0"/>
    <w:rsid w:val="00576F87"/>
    <w:rsid w:val="005800A3"/>
    <w:rsid w:val="00580E5C"/>
    <w:rsid w:val="00581587"/>
    <w:rsid w:val="00581F5A"/>
    <w:rsid w:val="00582B82"/>
    <w:rsid w:val="00582EF6"/>
    <w:rsid w:val="00583464"/>
    <w:rsid w:val="00583A9B"/>
    <w:rsid w:val="00584F74"/>
    <w:rsid w:val="00585D80"/>
    <w:rsid w:val="00586A60"/>
    <w:rsid w:val="0058774E"/>
    <w:rsid w:val="00587847"/>
    <w:rsid w:val="00587868"/>
    <w:rsid w:val="00587E0C"/>
    <w:rsid w:val="00591025"/>
    <w:rsid w:val="00591555"/>
    <w:rsid w:val="00592E85"/>
    <w:rsid w:val="00592F69"/>
    <w:rsid w:val="00593557"/>
    <w:rsid w:val="005935DB"/>
    <w:rsid w:val="0059385F"/>
    <w:rsid w:val="005946F1"/>
    <w:rsid w:val="00595BF2"/>
    <w:rsid w:val="00595DFD"/>
    <w:rsid w:val="00597E2F"/>
    <w:rsid w:val="005A02B7"/>
    <w:rsid w:val="005A07C9"/>
    <w:rsid w:val="005A10EF"/>
    <w:rsid w:val="005A12C1"/>
    <w:rsid w:val="005A12E3"/>
    <w:rsid w:val="005A1307"/>
    <w:rsid w:val="005A1548"/>
    <w:rsid w:val="005A1D55"/>
    <w:rsid w:val="005A371D"/>
    <w:rsid w:val="005A385F"/>
    <w:rsid w:val="005A4642"/>
    <w:rsid w:val="005A4851"/>
    <w:rsid w:val="005A4B6B"/>
    <w:rsid w:val="005A5344"/>
    <w:rsid w:val="005A579A"/>
    <w:rsid w:val="005A5C02"/>
    <w:rsid w:val="005A6614"/>
    <w:rsid w:val="005A66D1"/>
    <w:rsid w:val="005A708D"/>
    <w:rsid w:val="005A7559"/>
    <w:rsid w:val="005A7587"/>
    <w:rsid w:val="005A7A5A"/>
    <w:rsid w:val="005B1ADB"/>
    <w:rsid w:val="005B1C58"/>
    <w:rsid w:val="005B2A88"/>
    <w:rsid w:val="005B342A"/>
    <w:rsid w:val="005B37AA"/>
    <w:rsid w:val="005B4418"/>
    <w:rsid w:val="005B4B65"/>
    <w:rsid w:val="005B5529"/>
    <w:rsid w:val="005B645D"/>
    <w:rsid w:val="005B663F"/>
    <w:rsid w:val="005B6B95"/>
    <w:rsid w:val="005B6F4F"/>
    <w:rsid w:val="005B707A"/>
    <w:rsid w:val="005B7160"/>
    <w:rsid w:val="005B73A6"/>
    <w:rsid w:val="005B768C"/>
    <w:rsid w:val="005C0EE2"/>
    <w:rsid w:val="005C160D"/>
    <w:rsid w:val="005C1691"/>
    <w:rsid w:val="005C283A"/>
    <w:rsid w:val="005C33DE"/>
    <w:rsid w:val="005C3571"/>
    <w:rsid w:val="005C3DAD"/>
    <w:rsid w:val="005C403A"/>
    <w:rsid w:val="005C4C1F"/>
    <w:rsid w:val="005C5F97"/>
    <w:rsid w:val="005C6799"/>
    <w:rsid w:val="005C7036"/>
    <w:rsid w:val="005C7053"/>
    <w:rsid w:val="005D0181"/>
    <w:rsid w:val="005D1B22"/>
    <w:rsid w:val="005D1F87"/>
    <w:rsid w:val="005D247E"/>
    <w:rsid w:val="005D2797"/>
    <w:rsid w:val="005D2821"/>
    <w:rsid w:val="005D29AB"/>
    <w:rsid w:val="005D2AD9"/>
    <w:rsid w:val="005D383B"/>
    <w:rsid w:val="005D487B"/>
    <w:rsid w:val="005D569E"/>
    <w:rsid w:val="005D6A20"/>
    <w:rsid w:val="005D75A8"/>
    <w:rsid w:val="005D7F63"/>
    <w:rsid w:val="005D7FD7"/>
    <w:rsid w:val="005E0134"/>
    <w:rsid w:val="005E01D6"/>
    <w:rsid w:val="005E0D2C"/>
    <w:rsid w:val="005E0FBF"/>
    <w:rsid w:val="005E10AA"/>
    <w:rsid w:val="005E1A94"/>
    <w:rsid w:val="005E1E5E"/>
    <w:rsid w:val="005E2578"/>
    <w:rsid w:val="005E320C"/>
    <w:rsid w:val="005E3644"/>
    <w:rsid w:val="005E43D7"/>
    <w:rsid w:val="005E43D9"/>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354D"/>
    <w:rsid w:val="005F41E6"/>
    <w:rsid w:val="005F5C60"/>
    <w:rsid w:val="005F5D4D"/>
    <w:rsid w:val="005F65D7"/>
    <w:rsid w:val="005F7277"/>
    <w:rsid w:val="0060015E"/>
    <w:rsid w:val="00600FF2"/>
    <w:rsid w:val="0060107B"/>
    <w:rsid w:val="00601744"/>
    <w:rsid w:val="00601EEB"/>
    <w:rsid w:val="0060324A"/>
    <w:rsid w:val="00603B00"/>
    <w:rsid w:val="00604156"/>
    <w:rsid w:val="006041F6"/>
    <w:rsid w:val="00604586"/>
    <w:rsid w:val="00604591"/>
    <w:rsid w:val="00604A3E"/>
    <w:rsid w:val="00604E98"/>
    <w:rsid w:val="00605593"/>
    <w:rsid w:val="0060751C"/>
    <w:rsid w:val="00607D49"/>
    <w:rsid w:val="00607E9C"/>
    <w:rsid w:val="00610586"/>
    <w:rsid w:val="00610A0E"/>
    <w:rsid w:val="00611ED2"/>
    <w:rsid w:val="00613239"/>
    <w:rsid w:val="00614D9F"/>
    <w:rsid w:val="0061600A"/>
    <w:rsid w:val="00616417"/>
    <w:rsid w:val="0061657A"/>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7AAB"/>
    <w:rsid w:val="00627B99"/>
    <w:rsid w:val="00627E79"/>
    <w:rsid w:val="006300C1"/>
    <w:rsid w:val="006304B1"/>
    <w:rsid w:val="00631533"/>
    <w:rsid w:val="00631EC7"/>
    <w:rsid w:val="0063209E"/>
    <w:rsid w:val="006335B0"/>
    <w:rsid w:val="00633D19"/>
    <w:rsid w:val="00633D38"/>
    <w:rsid w:val="00633D42"/>
    <w:rsid w:val="00634056"/>
    <w:rsid w:val="00634CAD"/>
    <w:rsid w:val="00634E82"/>
    <w:rsid w:val="006363FA"/>
    <w:rsid w:val="0063655E"/>
    <w:rsid w:val="006368F4"/>
    <w:rsid w:val="00636979"/>
    <w:rsid w:val="00636B5D"/>
    <w:rsid w:val="006372D5"/>
    <w:rsid w:val="006379A7"/>
    <w:rsid w:val="00637EA1"/>
    <w:rsid w:val="00640237"/>
    <w:rsid w:val="0064124F"/>
    <w:rsid w:val="00641AB6"/>
    <w:rsid w:val="00642173"/>
    <w:rsid w:val="00642997"/>
    <w:rsid w:val="00642BFD"/>
    <w:rsid w:val="006436D0"/>
    <w:rsid w:val="00643F7D"/>
    <w:rsid w:val="006453A3"/>
    <w:rsid w:val="00645BC8"/>
    <w:rsid w:val="00645DD3"/>
    <w:rsid w:val="0064650B"/>
    <w:rsid w:val="00646B2F"/>
    <w:rsid w:val="00646FF5"/>
    <w:rsid w:val="00647CD3"/>
    <w:rsid w:val="0065022E"/>
    <w:rsid w:val="0065047A"/>
    <w:rsid w:val="006510E7"/>
    <w:rsid w:val="00651D1E"/>
    <w:rsid w:val="006524CF"/>
    <w:rsid w:val="00652AB2"/>
    <w:rsid w:val="006532AB"/>
    <w:rsid w:val="006539B3"/>
    <w:rsid w:val="00653DB2"/>
    <w:rsid w:val="00654F65"/>
    <w:rsid w:val="006556B0"/>
    <w:rsid w:val="0065588A"/>
    <w:rsid w:val="00655983"/>
    <w:rsid w:val="00656065"/>
    <w:rsid w:val="00656AE4"/>
    <w:rsid w:val="006571CF"/>
    <w:rsid w:val="0065748E"/>
    <w:rsid w:val="00657934"/>
    <w:rsid w:val="00657A63"/>
    <w:rsid w:val="006604AF"/>
    <w:rsid w:val="0066067A"/>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342"/>
    <w:rsid w:val="00670C82"/>
    <w:rsid w:val="00670D33"/>
    <w:rsid w:val="00671921"/>
    <w:rsid w:val="00671AFA"/>
    <w:rsid w:val="006722F6"/>
    <w:rsid w:val="006725F0"/>
    <w:rsid w:val="00672A00"/>
    <w:rsid w:val="0067332F"/>
    <w:rsid w:val="00674A25"/>
    <w:rsid w:val="00674DCE"/>
    <w:rsid w:val="00675104"/>
    <w:rsid w:val="006755EE"/>
    <w:rsid w:val="00675A8E"/>
    <w:rsid w:val="00675D1F"/>
    <w:rsid w:val="00676955"/>
    <w:rsid w:val="00676D3E"/>
    <w:rsid w:val="00677048"/>
    <w:rsid w:val="0068046C"/>
    <w:rsid w:val="006812C0"/>
    <w:rsid w:val="006817D3"/>
    <w:rsid w:val="00682313"/>
    <w:rsid w:val="006828B7"/>
    <w:rsid w:val="00683085"/>
    <w:rsid w:val="0068387C"/>
    <w:rsid w:val="00683942"/>
    <w:rsid w:val="00683ACE"/>
    <w:rsid w:val="00683E1A"/>
    <w:rsid w:val="0068574F"/>
    <w:rsid w:val="00686222"/>
    <w:rsid w:val="0068634C"/>
    <w:rsid w:val="00686C68"/>
    <w:rsid w:val="00686F04"/>
    <w:rsid w:val="00686F62"/>
    <w:rsid w:val="00687043"/>
    <w:rsid w:val="00690B64"/>
    <w:rsid w:val="00691F51"/>
    <w:rsid w:val="006922DF"/>
    <w:rsid w:val="00692328"/>
    <w:rsid w:val="0069241A"/>
    <w:rsid w:val="00693531"/>
    <w:rsid w:val="006935B9"/>
    <w:rsid w:val="00694848"/>
    <w:rsid w:val="00695224"/>
    <w:rsid w:val="006953B6"/>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31F"/>
    <w:rsid w:val="006A256B"/>
    <w:rsid w:val="006A2F27"/>
    <w:rsid w:val="006A333F"/>
    <w:rsid w:val="006A33B2"/>
    <w:rsid w:val="006A38CC"/>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D4C"/>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E75"/>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D0435"/>
    <w:rsid w:val="006D05EF"/>
    <w:rsid w:val="006D0878"/>
    <w:rsid w:val="006D0BDD"/>
    <w:rsid w:val="006D0CB8"/>
    <w:rsid w:val="006D0CDA"/>
    <w:rsid w:val="006D133B"/>
    <w:rsid w:val="006D150F"/>
    <w:rsid w:val="006D2028"/>
    <w:rsid w:val="006D2762"/>
    <w:rsid w:val="006D2A1D"/>
    <w:rsid w:val="006D32D2"/>
    <w:rsid w:val="006D33A7"/>
    <w:rsid w:val="006D41C9"/>
    <w:rsid w:val="006D5920"/>
    <w:rsid w:val="006D59CA"/>
    <w:rsid w:val="006D6A01"/>
    <w:rsid w:val="006D776D"/>
    <w:rsid w:val="006D7DAF"/>
    <w:rsid w:val="006D7E04"/>
    <w:rsid w:val="006E0126"/>
    <w:rsid w:val="006E0848"/>
    <w:rsid w:val="006E11AC"/>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4B32"/>
    <w:rsid w:val="006F6278"/>
    <w:rsid w:val="006F6F4D"/>
    <w:rsid w:val="006F7BB8"/>
    <w:rsid w:val="00701022"/>
    <w:rsid w:val="0070184D"/>
    <w:rsid w:val="00701DDF"/>
    <w:rsid w:val="00702247"/>
    <w:rsid w:val="007033F1"/>
    <w:rsid w:val="00704CBD"/>
    <w:rsid w:val="00705148"/>
    <w:rsid w:val="0070597A"/>
    <w:rsid w:val="007059E9"/>
    <w:rsid w:val="00705DC2"/>
    <w:rsid w:val="0070655B"/>
    <w:rsid w:val="00706FFC"/>
    <w:rsid w:val="00707536"/>
    <w:rsid w:val="00707A84"/>
    <w:rsid w:val="00707DE3"/>
    <w:rsid w:val="00710292"/>
    <w:rsid w:val="00714054"/>
    <w:rsid w:val="00714083"/>
    <w:rsid w:val="007157B2"/>
    <w:rsid w:val="00716559"/>
    <w:rsid w:val="00716825"/>
    <w:rsid w:val="007205F0"/>
    <w:rsid w:val="0072127E"/>
    <w:rsid w:val="007215B3"/>
    <w:rsid w:val="0072271B"/>
    <w:rsid w:val="00723C90"/>
    <w:rsid w:val="0072460F"/>
    <w:rsid w:val="00724702"/>
    <w:rsid w:val="00724AD9"/>
    <w:rsid w:val="00725268"/>
    <w:rsid w:val="007258FF"/>
    <w:rsid w:val="00725968"/>
    <w:rsid w:val="00725CA4"/>
    <w:rsid w:val="00725EFC"/>
    <w:rsid w:val="007264FB"/>
    <w:rsid w:val="00727237"/>
    <w:rsid w:val="00730B23"/>
    <w:rsid w:val="00731614"/>
    <w:rsid w:val="007325D2"/>
    <w:rsid w:val="00732A5E"/>
    <w:rsid w:val="00733153"/>
    <w:rsid w:val="0073339B"/>
    <w:rsid w:val="00733B22"/>
    <w:rsid w:val="00733FF7"/>
    <w:rsid w:val="007356DE"/>
    <w:rsid w:val="00735C72"/>
    <w:rsid w:val="007367CA"/>
    <w:rsid w:val="00736C6D"/>
    <w:rsid w:val="007377B5"/>
    <w:rsid w:val="00737C0A"/>
    <w:rsid w:val="00740187"/>
    <w:rsid w:val="0074160D"/>
    <w:rsid w:val="00741C58"/>
    <w:rsid w:val="00741C5E"/>
    <w:rsid w:val="00743262"/>
    <w:rsid w:val="00744153"/>
    <w:rsid w:val="007444BF"/>
    <w:rsid w:val="007444FA"/>
    <w:rsid w:val="00744BE0"/>
    <w:rsid w:val="0074533B"/>
    <w:rsid w:val="00745BD2"/>
    <w:rsid w:val="00746164"/>
    <w:rsid w:val="007463BC"/>
    <w:rsid w:val="00746A22"/>
    <w:rsid w:val="00746AEF"/>
    <w:rsid w:val="00746F94"/>
    <w:rsid w:val="00746FB8"/>
    <w:rsid w:val="00747C97"/>
    <w:rsid w:val="00747CEF"/>
    <w:rsid w:val="0075028B"/>
    <w:rsid w:val="00750D85"/>
    <w:rsid w:val="00750D90"/>
    <w:rsid w:val="00751041"/>
    <w:rsid w:val="00751196"/>
    <w:rsid w:val="00751C20"/>
    <w:rsid w:val="00752B74"/>
    <w:rsid w:val="00752E07"/>
    <w:rsid w:val="00752FEA"/>
    <w:rsid w:val="00753B52"/>
    <w:rsid w:val="00753F35"/>
    <w:rsid w:val="0075447B"/>
    <w:rsid w:val="0075523F"/>
    <w:rsid w:val="00755530"/>
    <w:rsid w:val="00755E79"/>
    <w:rsid w:val="007566DE"/>
    <w:rsid w:val="00756F86"/>
    <w:rsid w:val="0075777A"/>
    <w:rsid w:val="0076013E"/>
    <w:rsid w:val="007645ED"/>
    <w:rsid w:val="00765002"/>
    <w:rsid w:val="0076501C"/>
    <w:rsid w:val="007675F7"/>
    <w:rsid w:val="0077091F"/>
    <w:rsid w:val="00771266"/>
    <w:rsid w:val="00772036"/>
    <w:rsid w:val="0077203D"/>
    <w:rsid w:val="00772114"/>
    <w:rsid w:val="00772150"/>
    <w:rsid w:val="007721E3"/>
    <w:rsid w:val="00775850"/>
    <w:rsid w:val="00776534"/>
    <w:rsid w:val="007768AE"/>
    <w:rsid w:val="00776F7B"/>
    <w:rsid w:val="00777322"/>
    <w:rsid w:val="00777C1D"/>
    <w:rsid w:val="00777E1B"/>
    <w:rsid w:val="00780D57"/>
    <w:rsid w:val="00780F67"/>
    <w:rsid w:val="007811DE"/>
    <w:rsid w:val="007818C5"/>
    <w:rsid w:val="00781EF6"/>
    <w:rsid w:val="00781F40"/>
    <w:rsid w:val="00782CE7"/>
    <w:rsid w:val="00782F5F"/>
    <w:rsid w:val="00784306"/>
    <w:rsid w:val="00784450"/>
    <w:rsid w:val="00784DDD"/>
    <w:rsid w:val="00785434"/>
    <w:rsid w:val="007854AB"/>
    <w:rsid w:val="00785789"/>
    <w:rsid w:val="007857B5"/>
    <w:rsid w:val="00785F9C"/>
    <w:rsid w:val="00786820"/>
    <w:rsid w:val="00786D03"/>
    <w:rsid w:val="007874E8"/>
    <w:rsid w:val="00787A4E"/>
    <w:rsid w:val="00787E46"/>
    <w:rsid w:val="00790B36"/>
    <w:rsid w:val="00790C65"/>
    <w:rsid w:val="007914C4"/>
    <w:rsid w:val="007919AA"/>
    <w:rsid w:val="00792891"/>
    <w:rsid w:val="00794258"/>
    <w:rsid w:val="00794997"/>
    <w:rsid w:val="0079543C"/>
    <w:rsid w:val="00795707"/>
    <w:rsid w:val="007958A2"/>
    <w:rsid w:val="00795A32"/>
    <w:rsid w:val="00795C4E"/>
    <w:rsid w:val="007970DC"/>
    <w:rsid w:val="00797438"/>
    <w:rsid w:val="00797A25"/>
    <w:rsid w:val="00797EDC"/>
    <w:rsid w:val="00797F21"/>
    <w:rsid w:val="007A03B1"/>
    <w:rsid w:val="007A0520"/>
    <w:rsid w:val="007A0605"/>
    <w:rsid w:val="007A0E19"/>
    <w:rsid w:val="007A0E2F"/>
    <w:rsid w:val="007A10E6"/>
    <w:rsid w:val="007A1136"/>
    <w:rsid w:val="007A241F"/>
    <w:rsid w:val="007A26FB"/>
    <w:rsid w:val="007A2E07"/>
    <w:rsid w:val="007A3506"/>
    <w:rsid w:val="007A4153"/>
    <w:rsid w:val="007A424B"/>
    <w:rsid w:val="007A46C9"/>
    <w:rsid w:val="007A4983"/>
    <w:rsid w:val="007A501A"/>
    <w:rsid w:val="007A530D"/>
    <w:rsid w:val="007A5CB7"/>
    <w:rsid w:val="007A5CE6"/>
    <w:rsid w:val="007A6113"/>
    <w:rsid w:val="007A6DFA"/>
    <w:rsid w:val="007A6F5D"/>
    <w:rsid w:val="007A7B86"/>
    <w:rsid w:val="007B1A47"/>
    <w:rsid w:val="007B1DED"/>
    <w:rsid w:val="007B23E0"/>
    <w:rsid w:val="007B2741"/>
    <w:rsid w:val="007B3EEC"/>
    <w:rsid w:val="007B3F83"/>
    <w:rsid w:val="007B3FFF"/>
    <w:rsid w:val="007B47BA"/>
    <w:rsid w:val="007B4B17"/>
    <w:rsid w:val="007B62F5"/>
    <w:rsid w:val="007B7A1F"/>
    <w:rsid w:val="007B7ACF"/>
    <w:rsid w:val="007C07D2"/>
    <w:rsid w:val="007C0C41"/>
    <w:rsid w:val="007C0E51"/>
    <w:rsid w:val="007C0F7B"/>
    <w:rsid w:val="007C12FC"/>
    <w:rsid w:val="007C1A56"/>
    <w:rsid w:val="007C1BD2"/>
    <w:rsid w:val="007C22A2"/>
    <w:rsid w:val="007C2322"/>
    <w:rsid w:val="007C2370"/>
    <w:rsid w:val="007C44C4"/>
    <w:rsid w:val="007C4B16"/>
    <w:rsid w:val="007C573D"/>
    <w:rsid w:val="007C5EB7"/>
    <w:rsid w:val="007D02AD"/>
    <w:rsid w:val="007D0368"/>
    <w:rsid w:val="007D04E6"/>
    <w:rsid w:val="007D06EE"/>
    <w:rsid w:val="007D0D57"/>
    <w:rsid w:val="007D1D33"/>
    <w:rsid w:val="007D2628"/>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965"/>
    <w:rsid w:val="007E03E4"/>
    <w:rsid w:val="007E0EDD"/>
    <w:rsid w:val="007E0F1F"/>
    <w:rsid w:val="007E1165"/>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614B"/>
    <w:rsid w:val="007E6353"/>
    <w:rsid w:val="007E637E"/>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1AB1"/>
    <w:rsid w:val="00801EA6"/>
    <w:rsid w:val="00802C82"/>
    <w:rsid w:val="008033B8"/>
    <w:rsid w:val="008033C1"/>
    <w:rsid w:val="00803689"/>
    <w:rsid w:val="00803DDC"/>
    <w:rsid w:val="00803EBA"/>
    <w:rsid w:val="0080498C"/>
    <w:rsid w:val="008049DB"/>
    <w:rsid w:val="0080557B"/>
    <w:rsid w:val="00805B7B"/>
    <w:rsid w:val="00805D34"/>
    <w:rsid w:val="00806393"/>
    <w:rsid w:val="00806D7C"/>
    <w:rsid w:val="00806FF0"/>
    <w:rsid w:val="00810A80"/>
    <w:rsid w:val="00811009"/>
    <w:rsid w:val="00812CAB"/>
    <w:rsid w:val="00812D0A"/>
    <w:rsid w:val="00813405"/>
    <w:rsid w:val="0081357E"/>
    <w:rsid w:val="00813C9D"/>
    <w:rsid w:val="00814F99"/>
    <w:rsid w:val="00815C51"/>
    <w:rsid w:val="00816BEF"/>
    <w:rsid w:val="0081722B"/>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54A4"/>
    <w:rsid w:val="008275A6"/>
    <w:rsid w:val="00827773"/>
    <w:rsid w:val="00827B06"/>
    <w:rsid w:val="00827E2A"/>
    <w:rsid w:val="00830148"/>
    <w:rsid w:val="00830AF2"/>
    <w:rsid w:val="00830BFC"/>
    <w:rsid w:val="00830EAB"/>
    <w:rsid w:val="008310D2"/>
    <w:rsid w:val="00831F24"/>
    <w:rsid w:val="00832458"/>
    <w:rsid w:val="00832601"/>
    <w:rsid w:val="00832DD9"/>
    <w:rsid w:val="00832EE1"/>
    <w:rsid w:val="00833A00"/>
    <w:rsid w:val="0083687A"/>
    <w:rsid w:val="0083775C"/>
    <w:rsid w:val="008400CE"/>
    <w:rsid w:val="00841487"/>
    <w:rsid w:val="008415DF"/>
    <w:rsid w:val="0084170D"/>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6CA"/>
    <w:rsid w:val="0084776B"/>
    <w:rsid w:val="00850E57"/>
    <w:rsid w:val="0085101E"/>
    <w:rsid w:val="00852470"/>
    <w:rsid w:val="008524EA"/>
    <w:rsid w:val="00852846"/>
    <w:rsid w:val="008538E8"/>
    <w:rsid w:val="00854CBF"/>
    <w:rsid w:val="00855CB8"/>
    <w:rsid w:val="00856618"/>
    <w:rsid w:val="008566CA"/>
    <w:rsid w:val="008568C5"/>
    <w:rsid w:val="00856B2E"/>
    <w:rsid w:val="008576E8"/>
    <w:rsid w:val="00862342"/>
    <w:rsid w:val="00862D18"/>
    <w:rsid w:val="008632E4"/>
    <w:rsid w:val="008638FB"/>
    <w:rsid w:val="00864BA7"/>
    <w:rsid w:val="00864FA0"/>
    <w:rsid w:val="00864FD5"/>
    <w:rsid w:val="00867216"/>
    <w:rsid w:val="0086743B"/>
    <w:rsid w:val="0087014B"/>
    <w:rsid w:val="00870347"/>
    <w:rsid w:val="00870CEF"/>
    <w:rsid w:val="0087154B"/>
    <w:rsid w:val="00871579"/>
    <w:rsid w:val="00871B86"/>
    <w:rsid w:val="00872962"/>
    <w:rsid w:val="008729E8"/>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6093"/>
    <w:rsid w:val="008774B2"/>
    <w:rsid w:val="0088119F"/>
    <w:rsid w:val="008815C0"/>
    <w:rsid w:val="0088250C"/>
    <w:rsid w:val="008832BB"/>
    <w:rsid w:val="00884182"/>
    <w:rsid w:val="008844CC"/>
    <w:rsid w:val="00884DE8"/>
    <w:rsid w:val="0088512A"/>
    <w:rsid w:val="00885B9F"/>
    <w:rsid w:val="00885F38"/>
    <w:rsid w:val="008864C3"/>
    <w:rsid w:val="00886B83"/>
    <w:rsid w:val="00887AA2"/>
    <w:rsid w:val="008900AB"/>
    <w:rsid w:val="00890CC0"/>
    <w:rsid w:val="00891630"/>
    <w:rsid w:val="008916E6"/>
    <w:rsid w:val="00891B0F"/>
    <w:rsid w:val="0089263D"/>
    <w:rsid w:val="008926B9"/>
    <w:rsid w:val="00892BD6"/>
    <w:rsid w:val="00892CA6"/>
    <w:rsid w:val="00893562"/>
    <w:rsid w:val="008935B1"/>
    <w:rsid w:val="00894579"/>
    <w:rsid w:val="008959FD"/>
    <w:rsid w:val="00895C6B"/>
    <w:rsid w:val="00896D0A"/>
    <w:rsid w:val="0089751D"/>
    <w:rsid w:val="00897A46"/>
    <w:rsid w:val="00897F8F"/>
    <w:rsid w:val="008A0126"/>
    <w:rsid w:val="008A07C5"/>
    <w:rsid w:val="008A0954"/>
    <w:rsid w:val="008A0D61"/>
    <w:rsid w:val="008A241B"/>
    <w:rsid w:val="008A2A96"/>
    <w:rsid w:val="008A3F58"/>
    <w:rsid w:val="008A4D01"/>
    <w:rsid w:val="008A531F"/>
    <w:rsid w:val="008A596A"/>
    <w:rsid w:val="008A5DAC"/>
    <w:rsid w:val="008A636F"/>
    <w:rsid w:val="008A6F31"/>
    <w:rsid w:val="008A7065"/>
    <w:rsid w:val="008A78FE"/>
    <w:rsid w:val="008A79F4"/>
    <w:rsid w:val="008A7EC2"/>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71AE"/>
    <w:rsid w:val="008B761D"/>
    <w:rsid w:val="008C0190"/>
    <w:rsid w:val="008C01FF"/>
    <w:rsid w:val="008C0A9D"/>
    <w:rsid w:val="008C17E1"/>
    <w:rsid w:val="008C32C7"/>
    <w:rsid w:val="008C455A"/>
    <w:rsid w:val="008C4A4A"/>
    <w:rsid w:val="008C4CA8"/>
    <w:rsid w:val="008C4EDA"/>
    <w:rsid w:val="008C5305"/>
    <w:rsid w:val="008C5566"/>
    <w:rsid w:val="008C562A"/>
    <w:rsid w:val="008C5863"/>
    <w:rsid w:val="008C6D7A"/>
    <w:rsid w:val="008C7124"/>
    <w:rsid w:val="008C713E"/>
    <w:rsid w:val="008C76FE"/>
    <w:rsid w:val="008C7B9B"/>
    <w:rsid w:val="008D0D6B"/>
    <w:rsid w:val="008D0E73"/>
    <w:rsid w:val="008D0EAD"/>
    <w:rsid w:val="008D14B9"/>
    <w:rsid w:val="008D1648"/>
    <w:rsid w:val="008D2745"/>
    <w:rsid w:val="008D2A84"/>
    <w:rsid w:val="008D4D1D"/>
    <w:rsid w:val="008D5D67"/>
    <w:rsid w:val="008D5F2F"/>
    <w:rsid w:val="008D6448"/>
    <w:rsid w:val="008D7E7E"/>
    <w:rsid w:val="008E02FA"/>
    <w:rsid w:val="008E1922"/>
    <w:rsid w:val="008E1CD3"/>
    <w:rsid w:val="008E1F25"/>
    <w:rsid w:val="008E202D"/>
    <w:rsid w:val="008E27CB"/>
    <w:rsid w:val="008E2AE3"/>
    <w:rsid w:val="008E449D"/>
    <w:rsid w:val="008E57B4"/>
    <w:rsid w:val="008E58A8"/>
    <w:rsid w:val="008E5DD0"/>
    <w:rsid w:val="008E6374"/>
    <w:rsid w:val="008E6791"/>
    <w:rsid w:val="008E72A7"/>
    <w:rsid w:val="008E7C43"/>
    <w:rsid w:val="008F04AE"/>
    <w:rsid w:val="008F0682"/>
    <w:rsid w:val="008F06E3"/>
    <w:rsid w:val="008F0D7F"/>
    <w:rsid w:val="008F247C"/>
    <w:rsid w:val="008F2C96"/>
    <w:rsid w:val="008F349F"/>
    <w:rsid w:val="008F3767"/>
    <w:rsid w:val="008F3AB4"/>
    <w:rsid w:val="008F432B"/>
    <w:rsid w:val="008F43F9"/>
    <w:rsid w:val="008F4452"/>
    <w:rsid w:val="008F4F69"/>
    <w:rsid w:val="008F4FFD"/>
    <w:rsid w:val="008F53DF"/>
    <w:rsid w:val="008F6E39"/>
    <w:rsid w:val="00900473"/>
    <w:rsid w:val="009005B3"/>
    <w:rsid w:val="00900ED9"/>
    <w:rsid w:val="009013F6"/>
    <w:rsid w:val="00901880"/>
    <w:rsid w:val="009018CE"/>
    <w:rsid w:val="00901D16"/>
    <w:rsid w:val="00901EB2"/>
    <w:rsid w:val="00902AA5"/>
    <w:rsid w:val="009044CE"/>
    <w:rsid w:val="00904F14"/>
    <w:rsid w:val="0090562E"/>
    <w:rsid w:val="00905A66"/>
    <w:rsid w:val="00905DB4"/>
    <w:rsid w:val="00906446"/>
    <w:rsid w:val="00906459"/>
    <w:rsid w:val="0090681C"/>
    <w:rsid w:val="00906C94"/>
    <w:rsid w:val="00911100"/>
    <w:rsid w:val="009130F8"/>
    <w:rsid w:val="00913494"/>
    <w:rsid w:val="009134BC"/>
    <w:rsid w:val="00913699"/>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251C"/>
    <w:rsid w:val="009226C5"/>
    <w:rsid w:val="009229C9"/>
    <w:rsid w:val="0092357A"/>
    <w:rsid w:val="0092402B"/>
    <w:rsid w:val="00924588"/>
    <w:rsid w:val="00924A9F"/>
    <w:rsid w:val="00925042"/>
    <w:rsid w:val="009251E0"/>
    <w:rsid w:val="00925E8E"/>
    <w:rsid w:val="009269BD"/>
    <w:rsid w:val="00926AA3"/>
    <w:rsid w:val="009303D6"/>
    <w:rsid w:val="00930B44"/>
    <w:rsid w:val="00931225"/>
    <w:rsid w:val="0093126B"/>
    <w:rsid w:val="0093128F"/>
    <w:rsid w:val="00931CCE"/>
    <w:rsid w:val="00931D72"/>
    <w:rsid w:val="00932288"/>
    <w:rsid w:val="00932774"/>
    <w:rsid w:val="00933023"/>
    <w:rsid w:val="00933603"/>
    <w:rsid w:val="009350DA"/>
    <w:rsid w:val="0093570B"/>
    <w:rsid w:val="009357E4"/>
    <w:rsid w:val="009362C2"/>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11EB"/>
    <w:rsid w:val="00951479"/>
    <w:rsid w:val="00951870"/>
    <w:rsid w:val="00951EE6"/>
    <w:rsid w:val="00953D69"/>
    <w:rsid w:val="00954226"/>
    <w:rsid w:val="00954658"/>
    <w:rsid w:val="00956153"/>
    <w:rsid w:val="009561B4"/>
    <w:rsid w:val="009565AE"/>
    <w:rsid w:val="00956AA3"/>
    <w:rsid w:val="009574B7"/>
    <w:rsid w:val="009605F6"/>
    <w:rsid w:val="009611D3"/>
    <w:rsid w:val="0096138E"/>
    <w:rsid w:val="0096171A"/>
    <w:rsid w:val="00962193"/>
    <w:rsid w:val="009627CF"/>
    <w:rsid w:val="00962A11"/>
    <w:rsid w:val="00962E7D"/>
    <w:rsid w:val="0096406A"/>
    <w:rsid w:val="00964A4F"/>
    <w:rsid w:val="00964D10"/>
    <w:rsid w:val="00965153"/>
    <w:rsid w:val="00965371"/>
    <w:rsid w:val="00965468"/>
    <w:rsid w:val="00965874"/>
    <w:rsid w:val="00965E71"/>
    <w:rsid w:val="009667F1"/>
    <w:rsid w:val="009668D3"/>
    <w:rsid w:val="009670C2"/>
    <w:rsid w:val="00970100"/>
    <w:rsid w:val="0097040B"/>
    <w:rsid w:val="00972177"/>
    <w:rsid w:val="00973222"/>
    <w:rsid w:val="00973DF4"/>
    <w:rsid w:val="00974624"/>
    <w:rsid w:val="00975087"/>
    <w:rsid w:val="00975C59"/>
    <w:rsid w:val="00975DEE"/>
    <w:rsid w:val="00976215"/>
    <w:rsid w:val="00976309"/>
    <w:rsid w:val="0097700C"/>
    <w:rsid w:val="009773D6"/>
    <w:rsid w:val="00977A8A"/>
    <w:rsid w:val="00977C0C"/>
    <w:rsid w:val="009808B3"/>
    <w:rsid w:val="0098149C"/>
    <w:rsid w:val="00982626"/>
    <w:rsid w:val="00982DCA"/>
    <w:rsid w:val="00983210"/>
    <w:rsid w:val="009833D1"/>
    <w:rsid w:val="0098376A"/>
    <w:rsid w:val="00983F50"/>
    <w:rsid w:val="0098413C"/>
    <w:rsid w:val="0098560B"/>
    <w:rsid w:val="0098605C"/>
    <w:rsid w:val="0098675C"/>
    <w:rsid w:val="00987290"/>
    <w:rsid w:val="009872EB"/>
    <w:rsid w:val="009876EE"/>
    <w:rsid w:val="00987AA2"/>
    <w:rsid w:val="00987B8C"/>
    <w:rsid w:val="00987CEE"/>
    <w:rsid w:val="00990C19"/>
    <w:rsid w:val="00991530"/>
    <w:rsid w:val="009916DA"/>
    <w:rsid w:val="00991D80"/>
    <w:rsid w:val="00991EA5"/>
    <w:rsid w:val="009920AC"/>
    <w:rsid w:val="00992B33"/>
    <w:rsid w:val="009945E8"/>
    <w:rsid w:val="00994FC7"/>
    <w:rsid w:val="009959BD"/>
    <w:rsid w:val="00995E92"/>
    <w:rsid w:val="00996363"/>
    <w:rsid w:val="009964CD"/>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4AA5"/>
    <w:rsid w:val="009A55FF"/>
    <w:rsid w:val="009A57CD"/>
    <w:rsid w:val="009A5D5A"/>
    <w:rsid w:val="009A5DEE"/>
    <w:rsid w:val="009A6277"/>
    <w:rsid w:val="009A6783"/>
    <w:rsid w:val="009A73C8"/>
    <w:rsid w:val="009A76E5"/>
    <w:rsid w:val="009A7788"/>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5EE"/>
    <w:rsid w:val="009B5882"/>
    <w:rsid w:val="009B6644"/>
    <w:rsid w:val="009B69BA"/>
    <w:rsid w:val="009C0631"/>
    <w:rsid w:val="009C1008"/>
    <w:rsid w:val="009C1AFF"/>
    <w:rsid w:val="009C218C"/>
    <w:rsid w:val="009C21E3"/>
    <w:rsid w:val="009C222F"/>
    <w:rsid w:val="009C25F1"/>
    <w:rsid w:val="009C2C60"/>
    <w:rsid w:val="009C3B12"/>
    <w:rsid w:val="009C3EC8"/>
    <w:rsid w:val="009C4186"/>
    <w:rsid w:val="009C47F5"/>
    <w:rsid w:val="009C59C1"/>
    <w:rsid w:val="009C6134"/>
    <w:rsid w:val="009C7301"/>
    <w:rsid w:val="009C749C"/>
    <w:rsid w:val="009C788F"/>
    <w:rsid w:val="009C7ACB"/>
    <w:rsid w:val="009C7EF2"/>
    <w:rsid w:val="009D135A"/>
    <w:rsid w:val="009D16E4"/>
    <w:rsid w:val="009D1A50"/>
    <w:rsid w:val="009D2F15"/>
    <w:rsid w:val="009D321C"/>
    <w:rsid w:val="009D32F7"/>
    <w:rsid w:val="009D3F25"/>
    <w:rsid w:val="009D4A53"/>
    <w:rsid w:val="009D4B3F"/>
    <w:rsid w:val="009D500B"/>
    <w:rsid w:val="009D5228"/>
    <w:rsid w:val="009D57AF"/>
    <w:rsid w:val="009D5899"/>
    <w:rsid w:val="009D5EFF"/>
    <w:rsid w:val="009D60D2"/>
    <w:rsid w:val="009D648F"/>
    <w:rsid w:val="009D737C"/>
    <w:rsid w:val="009D7683"/>
    <w:rsid w:val="009D7811"/>
    <w:rsid w:val="009D7E70"/>
    <w:rsid w:val="009D7EC6"/>
    <w:rsid w:val="009E0313"/>
    <w:rsid w:val="009E1C84"/>
    <w:rsid w:val="009E1E04"/>
    <w:rsid w:val="009E1FF9"/>
    <w:rsid w:val="009E36E5"/>
    <w:rsid w:val="009E4179"/>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7CD"/>
    <w:rsid w:val="00A01E51"/>
    <w:rsid w:val="00A04494"/>
    <w:rsid w:val="00A04EC8"/>
    <w:rsid w:val="00A0546E"/>
    <w:rsid w:val="00A0551C"/>
    <w:rsid w:val="00A05BB8"/>
    <w:rsid w:val="00A06295"/>
    <w:rsid w:val="00A06427"/>
    <w:rsid w:val="00A07156"/>
    <w:rsid w:val="00A076BA"/>
    <w:rsid w:val="00A121A7"/>
    <w:rsid w:val="00A12416"/>
    <w:rsid w:val="00A125BD"/>
    <w:rsid w:val="00A12C45"/>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DD2"/>
    <w:rsid w:val="00A16FBE"/>
    <w:rsid w:val="00A170A7"/>
    <w:rsid w:val="00A17BA4"/>
    <w:rsid w:val="00A207DC"/>
    <w:rsid w:val="00A20CEB"/>
    <w:rsid w:val="00A21118"/>
    <w:rsid w:val="00A22977"/>
    <w:rsid w:val="00A232E0"/>
    <w:rsid w:val="00A23A82"/>
    <w:rsid w:val="00A241F9"/>
    <w:rsid w:val="00A24437"/>
    <w:rsid w:val="00A252B6"/>
    <w:rsid w:val="00A25FFF"/>
    <w:rsid w:val="00A2607B"/>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3C93"/>
    <w:rsid w:val="00A3410E"/>
    <w:rsid w:val="00A3522A"/>
    <w:rsid w:val="00A35ACD"/>
    <w:rsid w:val="00A35AFF"/>
    <w:rsid w:val="00A36A84"/>
    <w:rsid w:val="00A370B4"/>
    <w:rsid w:val="00A37836"/>
    <w:rsid w:val="00A406E6"/>
    <w:rsid w:val="00A41B17"/>
    <w:rsid w:val="00A421B2"/>
    <w:rsid w:val="00A4292D"/>
    <w:rsid w:val="00A42E17"/>
    <w:rsid w:val="00A4329A"/>
    <w:rsid w:val="00A4334A"/>
    <w:rsid w:val="00A43DB0"/>
    <w:rsid w:val="00A443E2"/>
    <w:rsid w:val="00A450A0"/>
    <w:rsid w:val="00A45961"/>
    <w:rsid w:val="00A45B2B"/>
    <w:rsid w:val="00A46B6F"/>
    <w:rsid w:val="00A47C6D"/>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7688"/>
    <w:rsid w:val="00A57A69"/>
    <w:rsid w:val="00A57F82"/>
    <w:rsid w:val="00A60351"/>
    <w:rsid w:val="00A607BD"/>
    <w:rsid w:val="00A608B7"/>
    <w:rsid w:val="00A60FE1"/>
    <w:rsid w:val="00A61836"/>
    <w:rsid w:val="00A61853"/>
    <w:rsid w:val="00A618C6"/>
    <w:rsid w:val="00A622E3"/>
    <w:rsid w:val="00A62436"/>
    <w:rsid w:val="00A62A4D"/>
    <w:rsid w:val="00A62CC5"/>
    <w:rsid w:val="00A6317B"/>
    <w:rsid w:val="00A63184"/>
    <w:rsid w:val="00A639B1"/>
    <w:rsid w:val="00A63A95"/>
    <w:rsid w:val="00A63C3D"/>
    <w:rsid w:val="00A63DF1"/>
    <w:rsid w:val="00A6410C"/>
    <w:rsid w:val="00A6435A"/>
    <w:rsid w:val="00A647CD"/>
    <w:rsid w:val="00A6560B"/>
    <w:rsid w:val="00A65C42"/>
    <w:rsid w:val="00A65EF7"/>
    <w:rsid w:val="00A66396"/>
    <w:rsid w:val="00A671D1"/>
    <w:rsid w:val="00A67879"/>
    <w:rsid w:val="00A67EF5"/>
    <w:rsid w:val="00A7218B"/>
    <w:rsid w:val="00A7234D"/>
    <w:rsid w:val="00A72703"/>
    <w:rsid w:val="00A72852"/>
    <w:rsid w:val="00A72E28"/>
    <w:rsid w:val="00A732BA"/>
    <w:rsid w:val="00A74454"/>
    <w:rsid w:val="00A754DD"/>
    <w:rsid w:val="00A75510"/>
    <w:rsid w:val="00A75723"/>
    <w:rsid w:val="00A75E47"/>
    <w:rsid w:val="00A766AD"/>
    <w:rsid w:val="00A76961"/>
    <w:rsid w:val="00A76BFB"/>
    <w:rsid w:val="00A8122B"/>
    <w:rsid w:val="00A81726"/>
    <w:rsid w:val="00A81A20"/>
    <w:rsid w:val="00A81B8D"/>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BAE"/>
    <w:rsid w:val="00A9015D"/>
    <w:rsid w:val="00A90976"/>
    <w:rsid w:val="00A90B03"/>
    <w:rsid w:val="00A913A1"/>
    <w:rsid w:val="00A91ACB"/>
    <w:rsid w:val="00A92584"/>
    <w:rsid w:val="00A925DB"/>
    <w:rsid w:val="00A93DC6"/>
    <w:rsid w:val="00A94354"/>
    <w:rsid w:val="00A94796"/>
    <w:rsid w:val="00A94CEF"/>
    <w:rsid w:val="00A9501F"/>
    <w:rsid w:val="00A951AC"/>
    <w:rsid w:val="00A951C2"/>
    <w:rsid w:val="00A95452"/>
    <w:rsid w:val="00A95EE0"/>
    <w:rsid w:val="00A96B79"/>
    <w:rsid w:val="00A96EF6"/>
    <w:rsid w:val="00A97CF6"/>
    <w:rsid w:val="00AA096E"/>
    <w:rsid w:val="00AA1293"/>
    <w:rsid w:val="00AA14C3"/>
    <w:rsid w:val="00AA188D"/>
    <w:rsid w:val="00AA3EDF"/>
    <w:rsid w:val="00AA4239"/>
    <w:rsid w:val="00AA4D46"/>
    <w:rsid w:val="00AA5361"/>
    <w:rsid w:val="00AA54AE"/>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379"/>
    <w:rsid w:val="00AB3F05"/>
    <w:rsid w:val="00AB4013"/>
    <w:rsid w:val="00AB462F"/>
    <w:rsid w:val="00AB4BB5"/>
    <w:rsid w:val="00AB4C0D"/>
    <w:rsid w:val="00AB557D"/>
    <w:rsid w:val="00AB6477"/>
    <w:rsid w:val="00AB6533"/>
    <w:rsid w:val="00AB689D"/>
    <w:rsid w:val="00AB6EB6"/>
    <w:rsid w:val="00AB7675"/>
    <w:rsid w:val="00AB7AA7"/>
    <w:rsid w:val="00AB7E48"/>
    <w:rsid w:val="00AC070D"/>
    <w:rsid w:val="00AC1A14"/>
    <w:rsid w:val="00AC2A94"/>
    <w:rsid w:val="00AC322C"/>
    <w:rsid w:val="00AC33E2"/>
    <w:rsid w:val="00AC3674"/>
    <w:rsid w:val="00AC4423"/>
    <w:rsid w:val="00AC4A20"/>
    <w:rsid w:val="00AC4FEA"/>
    <w:rsid w:val="00AC5213"/>
    <w:rsid w:val="00AC53F3"/>
    <w:rsid w:val="00AC56B3"/>
    <w:rsid w:val="00AC584E"/>
    <w:rsid w:val="00AC5B6E"/>
    <w:rsid w:val="00AC5E1A"/>
    <w:rsid w:val="00AC7B80"/>
    <w:rsid w:val="00AD0A32"/>
    <w:rsid w:val="00AD1442"/>
    <w:rsid w:val="00AD14AB"/>
    <w:rsid w:val="00AD1B73"/>
    <w:rsid w:val="00AD20ED"/>
    <w:rsid w:val="00AD20FA"/>
    <w:rsid w:val="00AD2CBD"/>
    <w:rsid w:val="00AD2DED"/>
    <w:rsid w:val="00AD2F04"/>
    <w:rsid w:val="00AD2FE7"/>
    <w:rsid w:val="00AD30DD"/>
    <w:rsid w:val="00AD3BC2"/>
    <w:rsid w:val="00AD4264"/>
    <w:rsid w:val="00AD4434"/>
    <w:rsid w:val="00AD53AA"/>
    <w:rsid w:val="00AD72BC"/>
    <w:rsid w:val="00AD79BF"/>
    <w:rsid w:val="00AD7C84"/>
    <w:rsid w:val="00AE03CE"/>
    <w:rsid w:val="00AE07E1"/>
    <w:rsid w:val="00AE1170"/>
    <w:rsid w:val="00AE1D52"/>
    <w:rsid w:val="00AE2133"/>
    <w:rsid w:val="00AE2622"/>
    <w:rsid w:val="00AE43F4"/>
    <w:rsid w:val="00AE4550"/>
    <w:rsid w:val="00AE5099"/>
    <w:rsid w:val="00AE50D3"/>
    <w:rsid w:val="00AE597B"/>
    <w:rsid w:val="00AE5A64"/>
    <w:rsid w:val="00AE606A"/>
    <w:rsid w:val="00AE7312"/>
    <w:rsid w:val="00AF013B"/>
    <w:rsid w:val="00AF0A66"/>
    <w:rsid w:val="00AF0CF8"/>
    <w:rsid w:val="00AF218F"/>
    <w:rsid w:val="00AF262C"/>
    <w:rsid w:val="00AF381C"/>
    <w:rsid w:val="00AF415A"/>
    <w:rsid w:val="00AF4288"/>
    <w:rsid w:val="00AF44F2"/>
    <w:rsid w:val="00AF4950"/>
    <w:rsid w:val="00AF53AB"/>
    <w:rsid w:val="00AF53BA"/>
    <w:rsid w:val="00AF69B4"/>
    <w:rsid w:val="00AF717B"/>
    <w:rsid w:val="00B00415"/>
    <w:rsid w:val="00B00CD0"/>
    <w:rsid w:val="00B00D77"/>
    <w:rsid w:val="00B0117B"/>
    <w:rsid w:val="00B011BD"/>
    <w:rsid w:val="00B01283"/>
    <w:rsid w:val="00B0153C"/>
    <w:rsid w:val="00B02A46"/>
    <w:rsid w:val="00B035B9"/>
    <w:rsid w:val="00B03EBB"/>
    <w:rsid w:val="00B04DD4"/>
    <w:rsid w:val="00B0530B"/>
    <w:rsid w:val="00B05993"/>
    <w:rsid w:val="00B060CD"/>
    <w:rsid w:val="00B0686C"/>
    <w:rsid w:val="00B06E97"/>
    <w:rsid w:val="00B077F2"/>
    <w:rsid w:val="00B102AD"/>
    <w:rsid w:val="00B10681"/>
    <w:rsid w:val="00B10B50"/>
    <w:rsid w:val="00B116D4"/>
    <w:rsid w:val="00B1238A"/>
    <w:rsid w:val="00B134E7"/>
    <w:rsid w:val="00B13A79"/>
    <w:rsid w:val="00B14B59"/>
    <w:rsid w:val="00B14FC0"/>
    <w:rsid w:val="00B159F7"/>
    <w:rsid w:val="00B1649D"/>
    <w:rsid w:val="00B16524"/>
    <w:rsid w:val="00B165E7"/>
    <w:rsid w:val="00B16E86"/>
    <w:rsid w:val="00B17315"/>
    <w:rsid w:val="00B20364"/>
    <w:rsid w:val="00B20661"/>
    <w:rsid w:val="00B2130C"/>
    <w:rsid w:val="00B215D0"/>
    <w:rsid w:val="00B21EDE"/>
    <w:rsid w:val="00B226A9"/>
    <w:rsid w:val="00B2300D"/>
    <w:rsid w:val="00B230F6"/>
    <w:rsid w:val="00B23139"/>
    <w:rsid w:val="00B232D6"/>
    <w:rsid w:val="00B23368"/>
    <w:rsid w:val="00B23539"/>
    <w:rsid w:val="00B23551"/>
    <w:rsid w:val="00B24DC8"/>
    <w:rsid w:val="00B25335"/>
    <w:rsid w:val="00B2556A"/>
    <w:rsid w:val="00B25FA0"/>
    <w:rsid w:val="00B26391"/>
    <w:rsid w:val="00B26A06"/>
    <w:rsid w:val="00B27AD5"/>
    <w:rsid w:val="00B27F3D"/>
    <w:rsid w:val="00B30E74"/>
    <w:rsid w:val="00B3108F"/>
    <w:rsid w:val="00B3114E"/>
    <w:rsid w:val="00B3148D"/>
    <w:rsid w:val="00B31CC5"/>
    <w:rsid w:val="00B32AD4"/>
    <w:rsid w:val="00B33D79"/>
    <w:rsid w:val="00B33E3B"/>
    <w:rsid w:val="00B33F59"/>
    <w:rsid w:val="00B34483"/>
    <w:rsid w:val="00B34DAE"/>
    <w:rsid w:val="00B359E3"/>
    <w:rsid w:val="00B365CA"/>
    <w:rsid w:val="00B36CA1"/>
    <w:rsid w:val="00B379C8"/>
    <w:rsid w:val="00B40514"/>
    <w:rsid w:val="00B41014"/>
    <w:rsid w:val="00B41534"/>
    <w:rsid w:val="00B4154B"/>
    <w:rsid w:val="00B41784"/>
    <w:rsid w:val="00B42E68"/>
    <w:rsid w:val="00B43910"/>
    <w:rsid w:val="00B4420E"/>
    <w:rsid w:val="00B45669"/>
    <w:rsid w:val="00B46554"/>
    <w:rsid w:val="00B466F0"/>
    <w:rsid w:val="00B467BB"/>
    <w:rsid w:val="00B47E3B"/>
    <w:rsid w:val="00B50892"/>
    <w:rsid w:val="00B511ED"/>
    <w:rsid w:val="00B51602"/>
    <w:rsid w:val="00B51F21"/>
    <w:rsid w:val="00B52540"/>
    <w:rsid w:val="00B53C34"/>
    <w:rsid w:val="00B53F0D"/>
    <w:rsid w:val="00B5455A"/>
    <w:rsid w:val="00B5657A"/>
    <w:rsid w:val="00B56B84"/>
    <w:rsid w:val="00B57961"/>
    <w:rsid w:val="00B57C56"/>
    <w:rsid w:val="00B60BE1"/>
    <w:rsid w:val="00B61614"/>
    <w:rsid w:val="00B61672"/>
    <w:rsid w:val="00B61B8F"/>
    <w:rsid w:val="00B61EEB"/>
    <w:rsid w:val="00B62488"/>
    <w:rsid w:val="00B628A4"/>
    <w:rsid w:val="00B62D2F"/>
    <w:rsid w:val="00B63293"/>
    <w:rsid w:val="00B64774"/>
    <w:rsid w:val="00B64B13"/>
    <w:rsid w:val="00B64E06"/>
    <w:rsid w:val="00B65CB5"/>
    <w:rsid w:val="00B65D4A"/>
    <w:rsid w:val="00B668FC"/>
    <w:rsid w:val="00B66B65"/>
    <w:rsid w:val="00B70F06"/>
    <w:rsid w:val="00B70FEF"/>
    <w:rsid w:val="00B7145B"/>
    <w:rsid w:val="00B71881"/>
    <w:rsid w:val="00B718FB"/>
    <w:rsid w:val="00B721B5"/>
    <w:rsid w:val="00B728FD"/>
    <w:rsid w:val="00B72FA4"/>
    <w:rsid w:val="00B7374F"/>
    <w:rsid w:val="00B74500"/>
    <w:rsid w:val="00B74AFB"/>
    <w:rsid w:val="00B7547E"/>
    <w:rsid w:val="00B754EA"/>
    <w:rsid w:val="00B75A04"/>
    <w:rsid w:val="00B7605A"/>
    <w:rsid w:val="00B768AD"/>
    <w:rsid w:val="00B76D77"/>
    <w:rsid w:val="00B7702D"/>
    <w:rsid w:val="00B774E3"/>
    <w:rsid w:val="00B7761D"/>
    <w:rsid w:val="00B77BCD"/>
    <w:rsid w:val="00B77E2A"/>
    <w:rsid w:val="00B8050E"/>
    <w:rsid w:val="00B80BF0"/>
    <w:rsid w:val="00B80E48"/>
    <w:rsid w:val="00B810CD"/>
    <w:rsid w:val="00B81196"/>
    <w:rsid w:val="00B81393"/>
    <w:rsid w:val="00B81607"/>
    <w:rsid w:val="00B81787"/>
    <w:rsid w:val="00B8280A"/>
    <w:rsid w:val="00B83454"/>
    <w:rsid w:val="00B83638"/>
    <w:rsid w:val="00B839BC"/>
    <w:rsid w:val="00B84738"/>
    <w:rsid w:val="00B84B83"/>
    <w:rsid w:val="00B8517C"/>
    <w:rsid w:val="00B853F9"/>
    <w:rsid w:val="00B860D7"/>
    <w:rsid w:val="00B86158"/>
    <w:rsid w:val="00B868DC"/>
    <w:rsid w:val="00B92342"/>
    <w:rsid w:val="00B92412"/>
    <w:rsid w:val="00B92971"/>
    <w:rsid w:val="00B92D1A"/>
    <w:rsid w:val="00B93445"/>
    <w:rsid w:val="00B93720"/>
    <w:rsid w:val="00B938AB"/>
    <w:rsid w:val="00B939A1"/>
    <w:rsid w:val="00B93B87"/>
    <w:rsid w:val="00B9431E"/>
    <w:rsid w:val="00B9465D"/>
    <w:rsid w:val="00B9473D"/>
    <w:rsid w:val="00B94881"/>
    <w:rsid w:val="00B9517B"/>
    <w:rsid w:val="00B95517"/>
    <w:rsid w:val="00B95C12"/>
    <w:rsid w:val="00B961F1"/>
    <w:rsid w:val="00B96885"/>
    <w:rsid w:val="00B96C4E"/>
    <w:rsid w:val="00B973E7"/>
    <w:rsid w:val="00B979CC"/>
    <w:rsid w:val="00B97C50"/>
    <w:rsid w:val="00BA0AC7"/>
    <w:rsid w:val="00BA1434"/>
    <w:rsid w:val="00BA3212"/>
    <w:rsid w:val="00BA3B4B"/>
    <w:rsid w:val="00BA40BE"/>
    <w:rsid w:val="00BA467B"/>
    <w:rsid w:val="00BA4D41"/>
    <w:rsid w:val="00BA57F5"/>
    <w:rsid w:val="00BA58BB"/>
    <w:rsid w:val="00BA67FC"/>
    <w:rsid w:val="00BA6B8E"/>
    <w:rsid w:val="00BA70FF"/>
    <w:rsid w:val="00BA711E"/>
    <w:rsid w:val="00BA7285"/>
    <w:rsid w:val="00BA7BE8"/>
    <w:rsid w:val="00BB08F7"/>
    <w:rsid w:val="00BB0BA7"/>
    <w:rsid w:val="00BB0CA1"/>
    <w:rsid w:val="00BB133D"/>
    <w:rsid w:val="00BB1924"/>
    <w:rsid w:val="00BB2616"/>
    <w:rsid w:val="00BB26EB"/>
    <w:rsid w:val="00BB2C15"/>
    <w:rsid w:val="00BB37AA"/>
    <w:rsid w:val="00BB3C8A"/>
    <w:rsid w:val="00BB4049"/>
    <w:rsid w:val="00BB5E0A"/>
    <w:rsid w:val="00BB7AF7"/>
    <w:rsid w:val="00BC00C1"/>
    <w:rsid w:val="00BC0230"/>
    <w:rsid w:val="00BC0688"/>
    <w:rsid w:val="00BC11B0"/>
    <w:rsid w:val="00BC1478"/>
    <w:rsid w:val="00BC1BFE"/>
    <w:rsid w:val="00BC2264"/>
    <w:rsid w:val="00BC2C3A"/>
    <w:rsid w:val="00BC3982"/>
    <w:rsid w:val="00BC3B6C"/>
    <w:rsid w:val="00BC3CE2"/>
    <w:rsid w:val="00BC3E3B"/>
    <w:rsid w:val="00BC52DE"/>
    <w:rsid w:val="00BC69C6"/>
    <w:rsid w:val="00BC7956"/>
    <w:rsid w:val="00BD0288"/>
    <w:rsid w:val="00BD02E6"/>
    <w:rsid w:val="00BD065D"/>
    <w:rsid w:val="00BD0CF8"/>
    <w:rsid w:val="00BD0DDA"/>
    <w:rsid w:val="00BD1469"/>
    <w:rsid w:val="00BD154F"/>
    <w:rsid w:val="00BD1AFC"/>
    <w:rsid w:val="00BD1E2C"/>
    <w:rsid w:val="00BD1FF6"/>
    <w:rsid w:val="00BD2256"/>
    <w:rsid w:val="00BD24B6"/>
    <w:rsid w:val="00BD3080"/>
    <w:rsid w:val="00BD3124"/>
    <w:rsid w:val="00BD316A"/>
    <w:rsid w:val="00BD33EC"/>
    <w:rsid w:val="00BD3A94"/>
    <w:rsid w:val="00BD49DE"/>
    <w:rsid w:val="00BD4CF5"/>
    <w:rsid w:val="00BD5C38"/>
    <w:rsid w:val="00BD6C08"/>
    <w:rsid w:val="00BD72A6"/>
    <w:rsid w:val="00BD762F"/>
    <w:rsid w:val="00BD7A8E"/>
    <w:rsid w:val="00BD7D70"/>
    <w:rsid w:val="00BE0529"/>
    <w:rsid w:val="00BE09C7"/>
    <w:rsid w:val="00BE12EF"/>
    <w:rsid w:val="00BE1AA5"/>
    <w:rsid w:val="00BE1BBB"/>
    <w:rsid w:val="00BE2ACB"/>
    <w:rsid w:val="00BE3013"/>
    <w:rsid w:val="00BE367D"/>
    <w:rsid w:val="00BE3CB6"/>
    <w:rsid w:val="00BE4035"/>
    <w:rsid w:val="00BE4239"/>
    <w:rsid w:val="00BE4A58"/>
    <w:rsid w:val="00BE4B70"/>
    <w:rsid w:val="00BE4C67"/>
    <w:rsid w:val="00BE5120"/>
    <w:rsid w:val="00BE5756"/>
    <w:rsid w:val="00BE576D"/>
    <w:rsid w:val="00BE59E5"/>
    <w:rsid w:val="00BE64BF"/>
    <w:rsid w:val="00BE654A"/>
    <w:rsid w:val="00BE6653"/>
    <w:rsid w:val="00BE7783"/>
    <w:rsid w:val="00BE7B46"/>
    <w:rsid w:val="00BF02D4"/>
    <w:rsid w:val="00BF0724"/>
    <w:rsid w:val="00BF1304"/>
    <w:rsid w:val="00BF15B9"/>
    <w:rsid w:val="00BF1896"/>
    <w:rsid w:val="00BF324E"/>
    <w:rsid w:val="00BF329F"/>
    <w:rsid w:val="00BF3D79"/>
    <w:rsid w:val="00BF3DDC"/>
    <w:rsid w:val="00BF4674"/>
    <w:rsid w:val="00BF47B7"/>
    <w:rsid w:val="00BF5020"/>
    <w:rsid w:val="00BF55BA"/>
    <w:rsid w:val="00BF58F2"/>
    <w:rsid w:val="00BF590D"/>
    <w:rsid w:val="00BF63BD"/>
    <w:rsid w:val="00BF6637"/>
    <w:rsid w:val="00BF756C"/>
    <w:rsid w:val="00BF7870"/>
    <w:rsid w:val="00BF794A"/>
    <w:rsid w:val="00BF7E92"/>
    <w:rsid w:val="00C017D4"/>
    <w:rsid w:val="00C023E0"/>
    <w:rsid w:val="00C024DF"/>
    <w:rsid w:val="00C028F9"/>
    <w:rsid w:val="00C02F52"/>
    <w:rsid w:val="00C0308D"/>
    <w:rsid w:val="00C035A7"/>
    <w:rsid w:val="00C0387C"/>
    <w:rsid w:val="00C04A2A"/>
    <w:rsid w:val="00C04FA3"/>
    <w:rsid w:val="00C051F1"/>
    <w:rsid w:val="00C05216"/>
    <w:rsid w:val="00C05754"/>
    <w:rsid w:val="00C0586E"/>
    <w:rsid w:val="00C05C1A"/>
    <w:rsid w:val="00C05F6F"/>
    <w:rsid w:val="00C06021"/>
    <w:rsid w:val="00C06091"/>
    <w:rsid w:val="00C06AFA"/>
    <w:rsid w:val="00C06BCC"/>
    <w:rsid w:val="00C077A9"/>
    <w:rsid w:val="00C10D34"/>
    <w:rsid w:val="00C11612"/>
    <w:rsid w:val="00C11B8C"/>
    <w:rsid w:val="00C12101"/>
    <w:rsid w:val="00C1230F"/>
    <w:rsid w:val="00C12EC3"/>
    <w:rsid w:val="00C13810"/>
    <w:rsid w:val="00C13934"/>
    <w:rsid w:val="00C13B21"/>
    <w:rsid w:val="00C14234"/>
    <w:rsid w:val="00C14C9F"/>
    <w:rsid w:val="00C155CC"/>
    <w:rsid w:val="00C15941"/>
    <w:rsid w:val="00C15A4A"/>
    <w:rsid w:val="00C160D1"/>
    <w:rsid w:val="00C168BD"/>
    <w:rsid w:val="00C16E20"/>
    <w:rsid w:val="00C16F02"/>
    <w:rsid w:val="00C170CD"/>
    <w:rsid w:val="00C2047B"/>
    <w:rsid w:val="00C20A4F"/>
    <w:rsid w:val="00C215BB"/>
    <w:rsid w:val="00C21801"/>
    <w:rsid w:val="00C2304D"/>
    <w:rsid w:val="00C236EB"/>
    <w:rsid w:val="00C23BE9"/>
    <w:rsid w:val="00C24016"/>
    <w:rsid w:val="00C24904"/>
    <w:rsid w:val="00C2541E"/>
    <w:rsid w:val="00C25F86"/>
    <w:rsid w:val="00C2649C"/>
    <w:rsid w:val="00C26623"/>
    <w:rsid w:val="00C26685"/>
    <w:rsid w:val="00C26D74"/>
    <w:rsid w:val="00C2701E"/>
    <w:rsid w:val="00C27850"/>
    <w:rsid w:val="00C30824"/>
    <w:rsid w:val="00C30AA8"/>
    <w:rsid w:val="00C30F87"/>
    <w:rsid w:val="00C31BF8"/>
    <w:rsid w:val="00C3273C"/>
    <w:rsid w:val="00C3307F"/>
    <w:rsid w:val="00C33F77"/>
    <w:rsid w:val="00C348FF"/>
    <w:rsid w:val="00C34CC3"/>
    <w:rsid w:val="00C34F30"/>
    <w:rsid w:val="00C363E7"/>
    <w:rsid w:val="00C3640A"/>
    <w:rsid w:val="00C36F96"/>
    <w:rsid w:val="00C37086"/>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7A3"/>
    <w:rsid w:val="00C5183A"/>
    <w:rsid w:val="00C51B9C"/>
    <w:rsid w:val="00C51BEC"/>
    <w:rsid w:val="00C521AE"/>
    <w:rsid w:val="00C52B13"/>
    <w:rsid w:val="00C53591"/>
    <w:rsid w:val="00C547CC"/>
    <w:rsid w:val="00C54A87"/>
    <w:rsid w:val="00C55428"/>
    <w:rsid w:val="00C55DE1"/>
    <w:rsid w:val="00C56373"/>
    <w:rsid w:val="00C56A7A"/>
    <w:rsid w:val="00C56BC5"/>
    <w:rsid w:val="00C57185"/>
    <w:rsid w:val="00C572FF"/>
    <w:rsid w:val="00C57683"/>
    <w:rsid w:val="00C57991"/>
    <w:rsid w:val="00C60B64"/>
    <w:rsid w:val="00C60D23"/>
    <w:rsid w:val="00C615B8"/>
    <w:rsid w:val="00C61AFD"/>
    <w:rsid w:val="00C62D67"/>
    <w:rsid w:val="00C6356B"/>
    <w:rsid w:val="00C652E2"/>
    <w:rsid w:val="00C653FB"/>
    <w:rsid w:val="00C65CBF"/>
    <w:rsid w:val="00C66375"/>
    <w:rsid w:val="00C667D0"/>
    <w:rsid w:val="00C66AD7"/>
    <w:rsid w:val="00C66E3C"/>
    <w:rsid w:val="00C67EA5"/>
    <w:rsid w:val="00C70107"/>
    <w:rsid w:val="00C70E36"/>
    <w:rsid w:val="00C71279"/>
    <w:rsid w:val="00C71351"/>
    <w:rsid w:val="00C71A08"/>
    <w:rsid w:val="00C72625"/>
    <w:rsid w:val="00C7271D"/>
    <w:rsid w:val="00C72B6C"/>
    <w:rsid w:val="00C73FAB"/>
    <w:rsid w:val="00C747DA"/>
    <w:rsid w:val="00C74CF6"/>
    <w:rsid w:val="00C75A01"/>
    <w:rsid w:val="00C75BCA"/>
    <w:rsid w:val="00C75C66"/>
    <w:rsid w:val="00C75DB6"/>
    <w:rsid w:val="00C76E04"/>
    <w:rsid w:val="00C76FB0"/>
    <w:rsid w:val="00C81278"/>
    <w:rsid w:val="00C81A2C"/>
    <w:rsid w:val="00C82647"/>
    <w:rsid w:val="00C8285E"/>
    <w:rsid w:val="00C82F2D"/>
    <w:rsid w:val="00C83260"/>
    <w:rsid w:val="00C836F0"/>
    <w:rsid w:val="00C8398B"/>
    <w:rsid w:val="00C84318"/>
    <w:rsid w:val="00C856BE"/>
    <w:rsid w:val="00C85F2C"/>
    <w:rsid w:val="00C8734C"/>
    <w:rsid w:val="00C87A9E"/>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D7A"/>
    <w:rsid w:val="00CA3E11"/>
    <w:rsid w:val="00CA41B5"/>
    <w:rsid w:val="00CA47F5"/>
    <w:rsid w:val="00CA4CA2"/>
    <w:rsid w:val="00CA5103"/>
    <w:rsid w:val="00CA5368"/>
    <w:rsid w:val="00CA6310"/>
    <w:rsid w:val="00CA6FE5"/>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66D5"/>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597B"/>
    <w:rsid w:val="00CC5AA0"/>
    <w:rsid w:val="00CC669A"/>
    <w:rsid w:val="00CC75B6"/>
    <w:rsid w:val="00CC779B"/>
    <w:rsid w:val="00CD28B2"/>
    <w:rsid w:val="00CD2DD0"/>
    <w:rsid w:val="00CD33EE"/>
    <w:rsid w:val="00CD3776"/>
    <w:rsid w:val="00CD4D65"/>
    <w:rsid w:val="00CD5120"/>
    <w:rsid w:val="00CD55B1"/>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9A8"/>
    <w:rsid w:val="00CE7BC1"/>
    <w:rsid w:val="00CE7E34"/>
    <w:rsid w:val="00CF0639"/>
    <w:rsid w:val="00CF0AE5"/>
    <w:rsid w:val="00CF12B7"/>
    <w:rsid w:val="00CF14A0"/>
    <w:rsid w:val="00CF19DF"/>
    <w:rsid w:val="00CF1ED5"/>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11"/>
    <w:rsid w:val="00D005B4"/>
    <w:rsid w:val="00D00784"/>
    <w:rsid w:val="00D00BC5"/>
    <w:rsid w:val="00D00D4D"/>
    <w:rsid w:val="00D01549"/>
    <w:rsid w:val="00D019EA"/>
    <w:rsid w:val="00D01AD1"/>
    <w:rsid w:val="00D02277"/>
    <w:rsid w:val="00D022F4"/>
    <w:rsid w:val="00D02BB4"/>
    <w:rsid w:val="00D03128"/>
    <w:rsid w:val="00D033C8"/>
    <w:rsid w:val="00D03B43"/>
    <w:rsid w:val="00D03C14"/>
    <w:rsid w:val="00D046B2"/>
    <w:rsid w:val="00D04B2D"/>
    <w:rsid w:val="00D04C84"/>
    <w:rsid w:val="00D052B0"/>
    <w:rsid w:val="00D053AF"/>
    <w:rsid w:val="00D058FD"/>
    <w:rsid w:val="00D05F86"/>
    <w:rsid w:val="00D06433"/>
    <w:rsid w:val="00D070BE"/>
    <w:rsid w:val="00D07169"/>
    <w:rsid w:val="00D07583"/>
    <w:rsid w:val="00D0769F"/>
    <w:rsid w:val="00D07C40"/>
    <w:rsid w:val="00D102A5"/>
    <w:rsid w:val="00D109FA"/>
    <w:rsid w:val="00D10F4D"/>
    <w:rsid w:val="00D10F85"/>
    <w:rsid w:val="00D111EF"/>
    <w:rsid w:val="00D11712"/>
    <w:rsid w:val="00D11EC0"/>
    <w:rsid w:val="00D120D2"/>
    <w:rsid w:val="00D13294"/>
    <w:rsid w:val="00D13A91"/>
    <w:rsid w:val="00D13CB3"/>
    <w:rsid w:val="00D14D12"/>
    <w:rsid w:val="00D171C8"/>
    <w:rsid w:val="00D20137"/>
    <w:rsid w:val="00D208E6"/>
    <w:rsid w:val="00D2190E"/>
    <w:rsid w:val="00D21A55"/>
    <w:rsid w:val="00D22651"/>
    <w:rsid w:val="00D23AD0"/>
    <w:rsid w:val="00D23B0A"/>
    <w:rsid w:val="00D23E23"/>
    <w:rsid w:val="00D24239"/>
    <w:rsid w:val="00D24BAF"/>
    <w:rsid w:val="00D24C26"/>
    <w:rsid w:val="00D255C6"/>
    <w:rsid w:val="00D2620A"/>
    <w:rsid w:val="00D27091"/>
    <w:rsid w:val="00D277EE"/>
    <w:rsid w:val="00D27D59"/>
    <w:rsid w:val="00D309DD"/>
    <w:rsid w:val="00D30C66"/>
    <w:rsid w:val="00D30ECB"/>
    <w:rsid w:val="00D31163"/>
    <w:rsid w:val="00D31D60"/>
    <w:rsid w:val="00D3238A"/>
    <w:rsid w:val="00D3330C"/>
    <w:rsid w:val="00D3330E"/>
    <w:rsid w:val="00D3349D"/>
    <w:rsid w:val="00D33682"/>
    <w:rsid w:val="00D34598"/>
    <w:rsid w:val="00D3511A"/>
    <w:rsid w:val="00D35572"/>
    <w:rsid w:val="00D35F28"/>
    <w:rsid w:val="00D36458"/>
    <w:rsid w:val="00D3672A"/>
    <w:rsid w:val="00D368A2"/>
    <w:rsid w:val="00D368FF"/>
    <w:rsid w:val="00D369D2"/>
    <w:rsid w:val="00D36D8E"/>
    <w:rsid w:val="00D374D1"/>
    <w:rsid w:val="00D37596"/>
    <w:rsid w:val="00D37899"/>
    <w:rsid w:val="00D37FCE"/>
    <w:rsid w:val="00D40238"/>
    <w:rsid w:val="00D40D79"/>
    <w:rsid w:val="00D4117C"/>
    <w:rsid w:val="00D41258"/>
    <w:rsid w:val="00D420F0"/>
    <w:rsid w:val="00D43430"/>
    <w:rsid w:val="00D439C3"/>
    <w:rsid w:val="00D449C6"/>
    <w:rsid w:val="00D44A3B"/>
    <w:rsid w:val="00D451A0"/>
    <w:rsid w:val="00D451C2"/>
    <w:rsid w:val="00D45385"/>
    <w:rsid w:val="00D45C34"/>
    <w:rsid w:val="00D4777F"/>
    <w:rsid w:val="00D478D3"/>
    <w:rsid w:val="00D5062B"/>
    <w:rsid w:val="00D50B46"/>
    <w:rsid w:val="00D51867"/>
    <w:rsid w:val="00D519DD"/>
    <w:rsid w:val="00D51AD4"/>
    <w:rsid w:val="00D53414"/>
    <w:rsid w:val="00D54B76"/>
    <w:rsid w:val="00D54E08"/>
    <w:rsid w:val="00D5508A"/>
    <w:rsid w:val="00D55828"/>
    <w:rsid w:val="00D55C1D"/>
    <w:rsid w:val="00D56305"/>
    <w:rsid w:val="00D566F1"/>
    <w:rsid w:val="00D57388"/>
    <w:rsid w:val="00D61A0D"/>
    <w:rsid w:val="00D63F0E"/>
    <w:rsid w:val="00D63F45"/>
    <w:rsid w:val="00D64048"/>
    <w:rsid w:val="00D645A6"/>
    <w:rsid w:val="00D64E9D"/>
    <w:rsid w:val="00D65A11"/>
    <w:rsid w:val="00D65B91"/>
    <w:rsid w:val="00D662C7"/>
    <w:rsid w:val="00D6688A"/>
    <w:rsid w:val="00D66CD5"/>
    <w:rsid w:val="00D67145"/>
    <w:rsid w:val="00D70FF2"/>
    <w:rsid w:val="00D7160F"/>
    <w:rsid w:val="00D7197E"/>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6F2E"/>
    <w:rsid w:val="00D77919"/>
    <w:rsid w:val="00D779D4"/>
    <w:rsid w:val="00D812AC"/>
    <w:rsid w:val="00D8158C"/>
    <w:rsid w:val="00D8359E"/>
    <w:rsid w:val="00D85096"/>
    <w:rsid w:val="00D857FE"/>
    <w:rsid w:val="00D86F69"/>
    <w:rsid w:val="00D86F82"/>
    <w:rsid w:val="00D87458"/>
    <w:rsid w:val="00D901F7"/>
    <w:rsid w:val="00D90311"/>
    <w:rsid w:val="00D907F2"/>
    <w:rsid w:val="00D913F3"/>
    <w:rsid w:val="00D915FF"/>
    <w:rsid w:val="00D91CC6"/>
    <w:rsid w:val="00D92BBF"/>
    <w:rsid w:val="00D933F6"/>
    <w:rsid w:val="00D93F68"/>
    <w:rsid w:val="00D94010"/>
    <w:rsid w:val="00D948C4"/>
    <w:rsid w:val="00D94E85"/>
    <w:rsid w:val="00D962CF"/>
    <w:rsid w:val="00D9652E"/>
    <w:rsid w:val="00D96531"/>
    <w:rsid w:val="00D96E0B"/>
    <w:rsid w:val="00D97CEB"/>
    <w:rsid w:val="00DA0A11"/>
    <w:rsid w:val="00DA0F56"/>
    <w:rsid w:val="00DA26B3"/>
    <w:rsid w:val="00DA2FCF"/>
    <w:rsid w:val="00DA3113"/>
    <w:rsid w:val="00DA3199"/>
    <w:rsid w:val="00DA38EC"/>
    <w:rsid w:val="00DA3AAC"/>
    <w:rsid w:val="00DA3F40"/>
    <w:rsid w:val="00DA435A"/>
    <w:rsid w:val="00DA43EB"/>
    <w:rsid w:val="00DA465F"/>
    <w:rsid w:val="00DA4823"/>
    <w:rsid w:val="00DA4E2E"/>
    <w:rsid w:val="00DA518C"/>
    <w:rsid w:val="00DA5B16"/>
    <w:rsid w:val="00DA654C"/>
    <w:rsid w:val="00DA77DE"/>
    <w:rsid w:val="00DA7C18"/>
    <w:rsid w:val="00DB0A0F"/>
    <w:rsid w:val="00DB2AEF"/>
    <w:rsid w:val="00DB2B51"/>
    <w:rsid w:val="00DB341C"/>
    <w:rsid w:val="00DB4525"/>
    <w:rsid w:val="00DB47A5"/>
    <w:rsid w:val="00DB4D17"/>
    <w:rsid w:val="00DB55E1"/>
    <w:rsid w:val="00DB5EDA"/>
    <w:rsid w:val="00DB7CED"/>
    <w:rsid w:val="00DC09FC"/>
    <w:rsid w:val="00DC102C"/>
    <w:rsid w:val="00DC1EC8"/>
    <w:rsid w:val="00DC2E18"/>
    <w:rsid w:val="00DC2FA0"/>
    <w:rsid w:val="00DC30FE"/>
    <w:rsid w:val="00DC3512"/>
    <w:rsid w:val="00DC385E"/>
    <w:rsid w:val="00DC3EC8"/>
    <w:rsid w:val="00DC4068"/>
    <w:rsid w:val="00DC4145"/>
    <w:rsid w:val="00DC493B"/>
    <w:rsid w:val="00DC759F"/>
    <w:rsid w:val="00DD0B51"/>
    <w:rsid w:val="00DD0BE6"/>
    <w:rsid w:val="00DD1707"/>
    <w:rsid w:val="00DD1C59"/>
    <w:rsid w:val="00DD23B0"/>
    <w:rsid w:val="00DD2FD9"/>
    <w:rsid w:val="00DD3272"/>
    <w:rsid w:val="00DD3467"/>
    <w:rsid w:val="00DD45B5"/>
    <w:rsid w:val="00DD474F"/>
    <w:rsid w:val="00DD4A1A"/>
    <w:rsid w:val="00DD52FC"/>
    <w:rsid w:val="00DD5516"/>
    <w:rsid w:val="00DD5C3A"/>
    <w:rsid w:val="00DD64C8"/>
    <w:rsid w:val="00DD674D"/>
    <w:rsid w:val="00DD701C"/>
    <w:rsid w:val="00DD7DA4"/>
    <w:rsid w:val="00DE017D"/>
    <w:rsid w:val="00DE0CC3"/>
    <w:rsid w:val="00DE0F83"/>
    <w:rsid w:val="00DE2C73"/>
    <w:rsid w:val="00DE3136"/>
    <w:rsid w:val="00DE39F4"/>
    <w:rsid w:val="00DE39F8"/>
    <w:rsid w:val="00DE3A27"/>
    <w:rsid w:val="00DE3A6B"/>
    <w:rsid w:val="00DE3C7D"/>
    <w:rsid w:val="00DE4965"/>
    <w:rsid w:val="00DE4EA8"/>
    <w:rsid w:val="00DE50FD"/>
    <w:rsid w:val="00DE5854"/>
    <w:rsid w:val="00DE587D"/>
    <w:rsid w:val="00DE6805"/>
    <w:rsid w:val="00DE7807"/>
    <w:rsid w:val="00DE7C25"/>
    <w:rsid w:val="00DF0D0A"/>
    <w:rsid w:val="00DF1211"/>
    <w:rsid w:val="00DF1385"/>
    <w:rsid w:val="00DF1FB9"/>
    <w:rsid w:val="00DF2469"/>
    <w:rsid w:val="00DF2EB3"/>
    <w:rsid w:val="00DF316E"/>
    <w:rsid w:val="00DF3626"/>
    <w:rsid w:val="00DF3FC2"/>
    <w:rsid w:val="00DF58E5"/>
    <w:rsid w:val="00DF7634"/>
    <w:rsid w:val="00DF79E1"/>
    <w:rsid w:val="00E000D0"/>
    <w:rsid w:val="00E00F2E"/>
    <w:rsid w:val="00E01525"/>
    <w:rsid w:val="00E0160E"/>
    <w:rsid w:val="00E0186E"/>
    <w:rsid w:val="00E01FE1"/>
    <w:rsid w:val="00E024B2"/>
    <w:rsid w:val="00E025CC"/>
    <w:rsid w:val="00E02FCC"/>
    <w:rsid w:val="00E03063"/>
    <w:rsid w:val="00E036B3"/>
    <w:rsid w:val="00E03797"/>
    <w:rsid w:val="00E057EA"/>
    <w:rsid w:val="00E05BBB"/>
    <w:rsid w:val="00E06FAA"/>
    <w:rsid w:val="00E07AA2"/>
    <w:rsid w:val="00E1015B"/>
    <w:rsid w:val="00E106AE"/>
    <w:rsid w:val="00E10723"/>
    <w:rsid w:val="00E10E5A"/>
    <w:rsid w:val="00E11A5C"/>
    <w:rsid w:val="00E1223A"/>
    <w:rsid w:val="00E122A9"/>
    <w:rsid w:val="00E12ABE"/>
    <w:rsid w:val="00E1415F"/>
    <w:rsid w:val="00E15683"/>
    <w:rsid w:val="00E1603D"/>
    <w:rsid w:val="00E171AC"/>
    <w:rsid w:val="00E1784D"/>
    <w:rsid w:val="00E2097D"/>
    <w:rsid w:val="00E20A95"/>
    <w:rsid w:val="00E20E02"/>
    <w:rsid w:val="00E21BD1"/>
    <w:rsid w:val="00E2282E"/>
    <w:rsid w:val="00E2294D"/>
    <w:rsid w:val="00E2297A"/>
    <w:rsid w:val="00E229C1"/>
    <w:rsid w:val="00E22C09"/>
    <w:rsid w:val="00E2339C"/>
    <w:rsid w:val="00E238C8"/>
    <w:rsid w:val="00E239E9"/>
    <w:rsid w:val="00E23FAE"/>
    <w:rsid w:val="00E26416"/>
    <w:rsid w:val="00E2796A"/>
    <w:rsid w:val="00E30003"/>
    <w:rsid w:val="00E31053"/>
    <w:rsid w:val="00E313CE"/>
    <w:rsid w:val="00E31F09"/>
    <w:rsid w:val="00E320DB"/>
    <w:rsid w:val="00E32733"/>
    <w:rsid w:val="00E32DB0"/>
    <w:rsid w:val="00E331D5"/>
    <w:rsid w:val="00E33AB2"/>
    <w:rsid w:val="00E33E69"/>
    <w:rsid w:val="00E3493A"/>
    <w:rsid w:val="00E3497F"/>
    <w:rsid w:val="00E34E6A"/>
    <w:rsid w:val="00E34F1E"/>
    <w:rsid w:val="00E35F0A"/>
    <w:rsid w:val="00E36245"/>
    <w:rsid w:val="00E363CF"/>
    <w:rsid w:val="00E36D49"/>
    <w:rsid w:val="00E36E14"/>
    <w:rsid w:val="00E408E9"/>
    <w:rsid w:val="00E418F1"/>
    <w:rsid w:val="00E41C29"/>
    <w:rsid w:val="00E4238A"/>
    <w:rsid w:val="00E423EE"/>
    <w:rsid w:val="00E4324D"/>
    <w:rsid w:val="00E43812"/>
    <w:rsid w:val="00E4443F"/>
    <w:rsid w:val="00E44935"/>
    <w:rsid w:val="00E4579A"/>
    <w:rsid w:val="00E46771"/>
    <w:rsid w:val="00E46E0B"/>
    <w:rsid w:val="00E471ED"/>
    <w:rsid w:val="00E478DA"/>
    <w:rsid w:val="00E479FF"/>
    <w:rsid w:val="00E5076A"/>
    <w:rsid w:val="00E50E1F"/>
    <w:rsid w:val="00E52538"/>
    <w:rsid w:val="00E528AD"/>
    <w:rsid w:val="00E52A22"/>
    <w:rsid w:val="00E53041"/>
    <w:rsid w:val="00E535C2"/>
    <w:rsid w:val="00E53728"/>
    <w:rsid w:val="00E53914"/>
    <w:rsid w:val="00E540D5"/>
    <w:rsid w:val="00E54A4F"/>
    <w:rsid w:val="00E564BC"/>
    <w:rsid w:val="00E5696B"/>
    <w:rsid w:val="00E60221"/>
    <w:rsid w:val="00E6098E"/>
    <w:rsid w:val="00E60A5A"/>
    <w:rsid w:val="00E61389"/>
    <w:rsid w:val="00E61780"/>
    <w:rsid w:val="00E6301A"/>
    <w:rsid w:val="00E649E1"/>
    <w:rsid w:val="00E65663"/>
    <w:rsid w:val="00E661DB"/>
    <w:rsid w:val="00E66781"/>
    <w:rsid w:val="00E66C88"/>
    <w:rsid w:val="00E67BA3"/>
    <w:rsid w:val="00E67D73"/>
    <w:rsid w:val="00E67D7A"/>
    <w:rsid w:val="00E71086"/>
    <w:rsid w:val="00E71B32"/>
    <w:rsid w:val="00E72079"/>
    <w:rsid w:val="00E72E8F"/>
    <w:rsid w:val="00E72F98"/>
    <w:rsid w:val="00E736AA"/>
    <w:rsid w:val="00E7391F"/>
    <w:rsid w:val="00E745BB"/>
    <w:rsid w:val="00E75BEC"/>
    <w:rsid w:val="00E7632F"/>
    <w:rsid w:val="00E767E3"/>
    <w:rsid w:val="00E777A5"/>
    <w:rsid w:val="00E77BF3"/>
    <w:rsid w:val="00E77E32"/>
    <w:rsid w:val="00E800B4"/>
    <w:rsid w:val="00E809C8"/>
    <w:rsid w:val="00E80EE9"/>
    <w:rsid w:val="00E8173D"/>
    <w:rsid w:val="00E81907"/>
    <w:rsid w:val="00E81B11"/>
    <w:rsid w:val="00E81EA0"/>
    <w:rsid w:val="00E825D5"/>
    <w:rsid w:val="00E82FC8"/>
    <w:rsid w:val="00E8339E"/>
    <w:rsid w:val="00E834BF"/>
    <w:rsid w:val="00E83987"/>
    <w:rsid w:val="00E84CC4"/>
    <w:rsid w:val="00E87BD5"/>
    <w:rsid w:val="00E87C5D"/>
    <w:rsid w:val="00E90B12"/>
    <w:rsid w:val="00E91E57"/>
    <w:rsid w:val="00E921EF"/>
    <w:rsid w:val="00E92BF5"/>
    <w:rsid w:val="00E95897"/>
    <w:rsid w:val="00E95C12"/>
    <w:rsid w:val="00E95DDA"/>
    <w:rsid w:val="00E972A2"/>
    <w:rsid w:val="00EA021F"/>
    <w:rsid w:val="00EA0243"/>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A7791"/>
    <w:rsid w:val="00EB051D"/>
    <w:rsid w:val="00EB1072"/>
    <w:rsid w:val="00EB1A14"/>
    <w:rsid w:val="00EB2610"/>
    <w:rsid w:val="00EB2A87"/>
    <w:rsid w:val="00EB2D92"/>
    <w:rsid w:val="00EB3229"/>
    <w:rsid w:val="00EB341F"/>
    <w:rsid w:val="00EB43C4"/>
    <w:rsid w:val="00EB5C2A"/>
    <w:rsid w:val="00EB686E"/>
    <w:rsid w:val="00EB6974"/>
    <w:rsid w:val="00EB6D6E"/>
    <w:rsid w:val="00EB7570"/>
    <w:rsid w:val="00EB76BD"/>
    <w:rsid w:val="00EC05A9"/>
    <w:rsid w:val="00EC07EF"/>
    <w:rsid w:val="00EC2103"/>
    <w:rsid w:val="00EC27C8"/>
    <w:rsid w:val="00EC2BE5"/>
    <w:rsid w:val="00EC2CCA"/>
    <w:rsid w:val="00EC2E57"/>
    <w:rsid w:val="00EC2E71"/>
    <w:rsid w:val="00EC4BC3"/>
    <w:rsid w:val="00EC4D53"/>
    <w:rsid w:val="00EC5347"/>
    <w:rsid w:val="00EC5FAC"/>
    <w:rsid w:val="00EC6B91"/>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524"/>
    <w:rsid w:val="00ED6A91"/>
    <w:rsid w:val="00ED6C71"/>
    <w:rsid w:val="00ED71AE"/>
    <w:rsid w:val="00ED73A4"/>
    <w:rsid w:val="00ED7D8F"/>
    <w:rsid w:val="00EE1A53"/>
    <w:rsid w:val="00EE1BEE"/>
    <w:rsid w:val="00EE22A7"/>
    <w:rsid w:val="00EE3627"/>
    <w:rsid w:val="00EE4D2B"/>
    <w:rsid w:val="00EE559E"/>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793"/>
    <w:rsid w:val="00EF3BE1"/>
    <w:rsid w:val="00EF41A1"/>
    <w:rsid w:val="00EF4351"/>
    <w:rsid w:val="00EF4927"/>
    <w:rsid w:val="00EF4B23"/>
    <w:rsid w:val="00EF5363"/>
    <w:rsid w:val="00EF5387"/>
    <w:rsid w:val="00EF59F2"/>
    <w:rsid w:val="00EF622F"/>
    <w:rsid w:val="00EF6E4E"/>
    <w:rsid w:val="00EF713B"/>
    <w:rsid w:val="00EF780A"/>
    <w:rsid w:val="00EF7B3E"/>
    <w:rsid w:val="00F0026E"/>
    <w:rsid w:val="00F0069B"/>
    <w:rsid w:val="00F01D44"/>
    <w:rsid w:val="00F01F24"/>
    <w:rsid w:val="00F02BF0"/>
    <w:rsid w:val="00F03C49"/>
    <w:rsid w:val="00F03F33"/>
    <w:rsid w:val="00F0432C"/>
    <w:rsid w:val="00F04516"/>
    <w:rsid w:val="00F07A6D"/>
    <w:rsid w:val="00F1097C"/>
    <w:rsid w:val="00F10D11"/>
    <w:rsid w:val="00F121F0"/>
    <w:rsid w:val="00F123F4"/>
    <w:rsid w:val="00F12F63"/>
    <w:rsid w:val="00F1310D"/>
    <w:rsid w:val="00F13971"/>
    <w:rsid w:val="00F14133"/>
    <w:rsid w:val="00F144D6"/>
    <w:rsid w:val="00F14C5F"/>
    <w:rsid w:val="00F14FC4"/>
    <w:rsid w:val="00F1511E"/>
    <w:rsid w:val="00F15860"/>
    <w:rsid w:val="00F15A42"/>
    <w:rsid w:val="00F15DA5"/>
    <w:rsid w:val="00F16108"/>
    <w:rsid w:val="00F16136"/>
    <w:rsid w:val="00F16D91"/>
    <w:rsid w:val="00F1705F"/>
    <w:rsid w:val="00F173F4"/>
    <w:rsid w:val="00F201FD"/>
    <w:rsid w:val="00F2085A"/>
    <w:rsid w:val="00F2166C"/>
    <w:rsid w:val="00F2199B"/>
    <w:rsid w:val="00F2227C"/>
    <w:rsid w:val="00F23548"/>
    <w:rsid w:val="00F2359A"/>
    <w:rsid w:val="00F2404C"/>
    <w:rsid w:val="00F2429E"/>
    <w:rsid w:val="00F25371"/>
    <w:rsid w:val="00F25545"/>
    <w:rsid w:val="00F26340"/>
    <w:rsid w:val="00F265B9"/>
    <w:rsid w:val="00F266AA"/>
    <w:rsid w:val="00F2685A"/>
    <w:rsid w:val="00F2701E"/>
    <w:rsid w:val="00F27557"/>
    <w:rsid w:val="00F27661"/>
    <w:rsid w:val="00F27FFD"/>
    <w:rsid w:val="00F3079C"/>
    <w:rsid w:val="00F3223F"/>
    <w:rsid w:val="00F3267F"/>
    <w:rsid w:val="00F33779"/>
    <w:rsid w:val="00F33B9C"/>
    <w:rsid w:val="00F340F6"/>
    <w:rsid w:val="00F34129"/>
    <w:rsid w:val="00F3424C"/>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C32"/>
    <w:rsid w:val="00F44601"/>
    <w:rsid w:val="00F453B6"/>
    <w:rsid w:val="00F4568C"/>
    <w:rsid w:val="00F45854"/>
    <w:rsid w:val="00F45D0C"/>
    <w:rsid w:val="00F468F2"/>
    <w:rsid w:val="00F4697F"/>
    <w:rsid w:val="00F46B56"/>
    <w:rsid w:val="00F46D54"/>
    <w:rsid w:val="00F47F66"/>
    <w:rsid w:val="00F50DC4"/>
    <w:rsid w:val="00F524C0"/>
    <w:rsid w:val="00F52A72"/>
    <w:rsid w:val="00F53548"/>
    <w:rsid w:val="00F548BE"/>
    <w:rsid w:val="00F5528F"/>
    <w:rsid w:val="00F567D9"/>
    <w:rsid w:val="00F568B3"/>
    <w:rsid w:val="00F568CD"/>
    <w:rsid w:val="00F569C2"/>
    <w:rsid w:val="00F56AE4"/>
    <w:rsid w:val="00F57C62"/>
    <w:rsid w:val="00F57FC5"/>
    <w:rsid w:val="00F6000C"/>
    <w:rsid w:val="00F61269"/>
    <w:rsid w:val="00F61EFA"/>
    <w:rsid w:val="00F62DFC"/>
    <w:rsid w:val="00F62F58"/>
    <w:rsid w:val="00F6362F"/>
    <w:rsid w:val="00F6381A"/>
    <w:rsid w:val="00F64983"/>
    <w:rsid w:val="00F65403"/>
    <w:rsid w:val="00F658BB"/>
    <w:rsid w:val="00F6598F"/>
    <w:rsid w:val="00F65FF3"/>
    <w:rsid w:val="00F66292"/>
    <w:rsid w:val="00F6694F"/>
    <w:rsid w:val="00F67026"/>
    <w:rsid w:val="00F70012"/>
    <w:rsid w:val="00F702ED"/>
    <w:rsid w:val="00F7048F"/>
    <w:rsid w:val="00F70A5D"/>
    <w:rsid w:val="00F70D04"/>
    <w:rsid w:val="00F71756"/>
    <w:rsid w:val="00F717ED"/>
    <w:rsid w:val="00F722AD"/>
    <w:rsid w:val="00F72E37"/>
    <w:rsid w:val="00F72ED6"/>
    <w:rsid w:val="00F72EDE"/>
    <w:rsid w:val="00F73F4D"/>
    <w:rsid w:val="00F748DB"/>
    <w:rsid w:val="00F7494B"/>
    <w:rsid w:val="00F74B62"/>
    <w:rsid w:val="00F74E67"/>
    <w:rsid w:val="00F75BD6"/>
    <w:rsid w:val="00F76257"/>
    <w:rsid w:val="00F765FF"/>
    <w:rsid w:val="00F76B38"/>
    <w:rsid w:val="00F76DA5"/>
    <w:rsid w:val="00F76F1C"/>
    <w:rsid w:val="00F76FC2"/>
    <w:rsid w:val="00F770EF"/>
    <w:rsid w:val="00F775E1"/>
    <w:rsid w:val="00F77672"/>
    <w:rsid w:val="00F7791F"/>
    <w:rsid w:val="00F77BDA"/>
    <w:rsid w:val="00F77EC2"/>
    <w:rsid w:val="00F808A8"/>
    <w:rsid w:val="00F80E09"/>
    <w:rsid w:val="00F812FC"/>
    <w:rsid w:val="00F81687"/>
    <w:rsid w:val="00F81CE3"/>
    <w:rsid w:val="00F81D23"/>
    <w:rsid w:val="00F82060"/>
    <w:rsid w:val="00F820BF"/>
    <w:rsid w:val="00F83B27"/>
    <w:rsid w:val="00F83E60"/>
    <w:rsid w:val="00F83FD9"/>
    <w:rsid w:val="00F84289"/>
    <w:rsid w:val="00F84293"/>
    <w:rsid w:val="00F857D6"/>
    <w:rsid w:val="00F87193"/>
    <w:rsid w:val="00F8722D"/>
    <w:rsid w:val="00F87F99"/>
    <w:rsid w:val="00F87FCA"/>
    <w:rsid w:val="00F902E6"/>
    <w:rsid w:val="00F9196A"/>
    <w:rsid w:val="00F92621"/>
    <w:rsid w:val="00F92790"/>
    <w:rsid w:val="00F92920"/>
    <w:rsid w:val="00F92ACA"/>
    <w:rsid w:val="00F92E7C"/>
    <w:rsid w:val="00F92EAB"/>
    <w:rsid w:val="00F93083"/>
    <w:rsid w:val="00F930D9"/>
    <w:rsid w:val="00F93EEE"/>
    <w:rsid w:val="00F954CA"/>
    <w:rsid w:val="00F96280"/>
    <w:rsid w:val="00F96E84"/>
    <w:rsid w:val="00F97914"/>
    <w:rsid w:val="00FA01D4"/>
    <w:rsid w:val="00FA084F"/>
    <w:rsid w:val="00FA2BD7"/>
    <w:rsid w:val="00FA30F5"/>
    <w:rsid w:val="00FA3BAD"/>
    <w:rsid w:val="00FA3F06"/>
    <w:rsid w:val="00FA416A"/>
    <w:rsid w:val="00FA4744"/>
    <w:rsid w:val="00FA4872"/>
    <w:rsid w:val="00FA62E0"/>
    <w:rsid w:val="00FA63D3"/>
    <w:rsid w:val="00FA6741"/>
    <w:rsid w:val="00FA6DE6"/>
    <w:rsid w:val="00FA6F37"/>
    <w:rsid w:val="00FA6FA7"/>
    <w:rsid w:val="00FB0862"/>
    <w:rsid w:val="00FB119A"/>
    <w:rsid w:val="00FB1431"/>
    <w:rsid w:val="00FB181F"/>
    <w:rsid w:val="00FB1918"/>
    <w:rsid w:val="00FB1AE8"/>
    <w:rsid w:val="00FB1D7A"/>
    <w:rsid w:val="00FB24C0"/>
    <w:rsid w:val="00FB286E"/>
    <w:rsid w:val="00FB2A18"/>
    <w:rsid w:val="00FB3F9C"/>
    <w:rsid w:val="00FB4206"/>
    <w:rsid w:val="00FB4D9A"/>
    <w:rsid w:val="00FB526E"/>
    <w:rsid w:val="00FB5CF6"/>
    <w:rsid w:val="00FB6C8D"/>
    <w:rsid w:val="00FB6D76"/>
    <w:rsid w:val="00FB6F8F"/>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314B"/>
    <w:rsid w:val="00FC39CA"/>
    <w:rsid w:val="00FC3AE8"/>
    <w:rsid w:val="00FC3C18"/>
    <w:rsid w:val="00FC4A41"/>
    <w:rsid w:val="00FC5E6F"/>
    <w:rsid w:val="00FC7615"/>
    <w:rsid w:val="00FC7785"/>
    <w:rsid w:val="00FC7F4D"/>
    <w:rsid w:val="00FD058E"/>
    <w:rsid w:val="00FD05BC"/>
    <w:rsid w:val="00FD0E60"/>
    <w:rsid w:val="00FD2102"/>
    <w:rsid w:val="00FD2718"/>
    <w:rsid w:val="00FD3889"/>
    <w:rsid w:val="00FD45D6"/>
    <w:rsid w:val="00FD465C"/>
    <w:rsid w:val="00FD4D73"/>
    <w:rsid w:val="00FD562A"/>
    <w:rsid w:val="00FD5984"/>
    <w:rsid w:val="00FD6411"/>
    <w:rsid w:val="00FD64EF"/>
    <w:rsid w:val="00FD7771"/>
    <w:rsid w:val="00FE0294"/>
    <w:rsid w:val="00FE14D4"/>
    <w:rsid w:val="00FE18B4"/>
    <w:rsid w:val="00FE2F0E"/>
    <w:rsid w:val="00FE2F48"/>
    <w:rsid w:val="00FE357B"/>
    <w:rsid w:val="00FE37C2"/>
    <w:rsid w:val="00FE4F46"/>
    <w:rsid w:val="00FE5276"/>
    <w:rsid w:val="00FE563B"/>
    <w:rsid w:val="00FE5DA3"/>
    <w:rsid w:val="00FE66FB"/>
    <w:rsid w:val="00FE6997"/>
    <w:rsid w:val="00FE6FAA"/>
    <w:rsid w:val="00FE7053"/>
    <w:rsid w:val="00FE7884"/>
    <w:rsid w:val="00FE7D12"/>
    <w:rsid w:val="00FF3DBD"/>
    <w:rsid w:val="00FF4204"/>
    <w:rsid w:val="00FF4314"/>
    <w:rsid w:val="00FF456E"/>
    <w:rsid w:val="00FF4A19"/>
    <w:rsid w:val="00FF4CE2"/>
    <w:rsid w:val="00FF520E"/>
    <w:rsid w:val="00FF7533"/>
    <w:rsid w:val="00FF7BA6"/>
    <w:rsid w:val="00FF7C38"/>
    <w:rsid w:val="01F0299B"/>
    <w:rsid w:val="026E4F91"/>
    <w:rsid w:val="041D095D"/>
    <w:rsid w:val="05127E3C"/>
    <w:rsid w:val="05C87DB9"/>
    <w:rsid w:val="07412147"/>
    <w:rsid w:val="074958E1"/>
    <w:rsid w:val="0961739E"/>
    <w:rsid w:val="098E6083"/>
    <w:rsid w:val="099C4290"/>
    <w:rsid w:val="0AF472D4"/>
    <w:rsid w:val="0B205B2B"/>
    <w:rsid w:val="0B782559"/>
    <w:rsid w:val="0BF40511"/>
    <w:rsid w:val="0BFA331E"/>
    <w:rsid w:val="0D566BC9"/>
    <w:rsid w:val="0E180322"/>
    <w:rsid w:val="0E63372C"/>
    <w:rsid w:val="0E8C4995"/>
    <w:rsid w:val="0EF27BFB"/>
    <w:rsid w:val="0FBC50EF"/>
    <w:rsid w:val="10645539"/>
    <w:rsid w:val="115F3FD7"/>
    <w:rsid w:val="11A259DD"/>
    <w:rsid w:val="120474A0"/>
    <w:rsid w:val="13102ABE"/>
    <w:rsid w:val="167D280D"/>
    <w:rsid w:val="17047766"/>
    <w:rsid w:val="17935895"/>
    <w:rsid w:val="17F52C18"/>
    <w:rsid w:val="184530EF"/>
    <w:rsid w:val="186603A0"/>
    <w:rsid w:val="188B3505"/>
    <w:rsid w:val="19227A4B"/>
    <w:rsid w:val="19250A5C"/>
    <w:rsid w:val="1A8D59CC"/>
    <w:rsid w:val="1B3E182A"/>
    <w:rsid w:val="1B4B5195"/>
    <w:rsid w:val="1B904FED"/>
    <w:rsid w:val="1BF61BD8"/>
    <w:rsid w:val="1C174C6F"/>
    <w:rsid w:val="1C7C020D"/>
    <w:rsid w:val="1C8F78BA"/>
    <w:rsid w:val="1C9B0D84"/>
    <w:rsid w:val="1CDD3F3B"/>
    <w:rsid w:val="1D4D6869"/>
    <w:rsid w:val="21247E1F"/>
    <w:rsid w:val="21760101"/>
    <w:rsid w:val="22B25284"/>
    <w:rsid w:val="22C07D9F"/>
    <w:rsid w:val="23056CBA"/>
    <w:rsid w:val="234C1E42"/>
    <w:rsid w:val="23C6059E"/>
    <w:rsid w:val="23C95079"/>
    <w:rsid w:val="24031A53"/>
    <w:rsid w:val="24307C26"/>
    <w:rsid w:val="248E5D4C"/>
    <w:rsid w:val="24C47897"/>
    <w:rsid w:val="24E337F8"/>
    <w:rsid w:val="257305BB"/>
    <w:rsid w:val="258D3B57"/>
    <w:rsid w:val="262336EE"/>
    <w:rsid w:val="269E4C0C"/>
    <w:rsid w:val="27024D1A"/>
    <w:rsid w:val="280478D6"/>
    <w:rsid w:val="2AD85037"/>
    <w:rsid w:val="2B564164"/>
    <w:rsid w:val="2BD0253B"/>
    <w:rsid w:val="2C444480"/>
    <w:rsid w:val="2C564DC3"/>
    <w:rsid w:val="2D6C141D"/>
    <w:rsid w:val="2EB64B4B"/>
    <w:rsid w:val="2EDB590A"/>
    <w:rsid w:val="2F0A29E3"/>
    <w:rsid w:val="2F3F4F8A"/>
    <w:rsid w:val="2FAB6FA5"/>
    <w:rsid w:val="300A370D"/>
    <w:rsid w:val="300F40E7"/>
    <w:rsid w:val="30817D6A"/>
    <w:rsid w:val="3157114E"/>
    <w:rsid w:val="31EA4F71"/>
    <w:rsid w:val="31F2037F"/>
    <w:rsid w:val="329B11F6"/>
    <w:rsid w:val="336E087E"/>
    <w:rsid w:val="33C3087D"/>
    <w:rsid w:val="35961B12"/>
    <w:rsid w:val="364523AD"/>
    <w:rsid w:val="36700D38"/>
    <w:rsid w:val="36BA2801"/>
    <w:rsid w:val="36C4673D"/>
    <w:rsid w:val="36DB4593"/>
    <w:rsid w:val="37B10B63"/>
    <w:rsid w:val="37D17C49"/>
    <w:rsid w:val="38082E33"/>
    <w:rsid w:val="38D72F79"/>
    <w:rsid w:val="390721D7"/>
    <w:rsid w:val="393B510C"/>
    <w:rsid w:val="393F4767"/>
    <w:rsid w:val="39A97E97"/>
    <w:rsid w:val="3A260C29"/>
    <w:rsid w:val="3B57268D"/>
    <w:rsid w:val="3B6176CE"/>
    <w:rsid w:val="3BDA2B5B"/>
    <w:rsid w:val="3BF9504C"/>
    <w:rsid w:val="3C5C5193"/>
    <w:rsid w:val="3CF11603"/>
    <w:rsid w:val="3D7507FB"/>
    <w:rsid w:val="3DDA6AD1"/>
    <w:rsid w:val="3EB5127A"/>
    <w:rsid w:val="3F503E5E"/>
    <w:rsid w:val="3FC16214"/>
    <w:rsid w:val="40D84160"/>
    <w:rsid w:val="41576FF8"/>
    <w:rsid w:val="41D9164E"/>
    <w:rsid w:val="41DD521D"/>
    <w:rsid w:val="423B7022"/>
    <w:rsid w:val="429C4B67"/>
    <w:rsid w:val="4389060E"/>
    <w:rsid w:val="43C8028A"/>
    <w:rsid w:val="43D51667"/>
    <w:rsid w:val="44032F1B"/>
    <w:rsid w:val="443B2C25"/>
    <w:rsid w:val="448421F1"/>
    <w:rsid w:val="45A04342"/>
    <w:rsid w:val="45D37D9B"/>
    <w:rsid w:val="46BD4A69"/>
    <w:rsid w:val="46DE6A3B"/>
    <w:rsid w:val="473905DB"/>
    <w:rsid w:val="47936CBB"/>
    <w:rsid w:val="48194FD5"/>
    <w:rsid w:val="484514CB"/>
    <w:rsid w:val="48C86EE1"/>
    <w:rsid w:val="49FA6EF8"/>
    <w:rsid w:val="4A784961"/>
    <w:rsid w:val="4ACF3A3C"/>
    <w:rsid w:val="4B117A90"/>
    <w:rsid w:val="4B1700DF"/>
    <w:rsid w:val="4B725997"/>
    <w:rsid w:val="4D73233C"/>
    <w:rsid w:val="4F0F6A19"/>
    <w:rsid w:val="4F1B2C8C"/>
    <w:rsid w:val="500A0449"/>
    <w:rsid w:val="510F41C1"/>
    <w:rsid w:val="51D10A66"/>
    <w:rsid w:val="528A390F"/>
    <w:rsid w:val="528C6991"/>
    <w:rsid w:val="53542C94"/>
    <w:rsid w:val="54054633"/>
    <w:rsid w:val="540605E4"/>
    <w:rsid w:val="54715AEA"/>
    <w:rsid w:val="547F0032"/>
    <w:rsid w:val="54A02A20"/>
    <w:rsid w:val="55C87B3E"/>
    <w:rsid w:val="567F40CA"/>
    <w:rsid w:val="58D67D8C"/>
    <w:rsid w:val="58E10577"/>
    <w:rsid w:val="59165EF7"/>
    <w:rsid w:val="59702A12"/>
    <w:rsid w:val="5AED2A9C"/>
    <w:rsid w:val="5BC746C9"/>
    <w:rsid w:val="5CC61F72"/>
    <w:rsid w:val="5CF206F7"/>
    <w:rsid w:val="5EA0340D"/>
    <w:rsid w:val="5ED66C3C"/>
    <w:rsid w:val="5FDD643B"/>
    <w:rsid w:val="5FF31ACB"/>
    <w:rsid w:val="60BA3E42"/>
    <w:rsid w:val="614407C1"/>
    <w:rsid w:val="6194383B"/>
    <w:rsid w:val="61A14A39"/>
    <w:rsid w:val="61CB5375"/>
    <w:rsid w:val="623348CA"/>
    <w:rsid w:val="62B273A8"/>
    <w:rsid w:val="63AE655B"/>
    <w:rsid w:val="64716B97"/>
    <w:rsid w:val="65CA685B"/>
    <w:rsid w:val="65CF34A7"/>
    <w:rsid w:val="65F660EF"/>
    <w:rsid w:val="6673798C"/>
    <w:rsid w:val="66875BA8"/>
    <w:rsid w:val="673905B6"/>
    <w:rsid w:val="681C3942"/>
    <w:rsid w:val="68460AAC"/>
    <w:rsid w:val="68AC1CFE"/>
    <w:rsid w:val="69F71D30"/>
    <w:rsid w:val="6BCD1DE6"/>
    <w:rsid w:val="6C505023"/>
    <w:rsid w:val="6C8741BB"/>
    <w:rsid w:val="6D14299F"/>
    <w:rsid w:val="6D672A1E"/>
    <w:rsid w:val="6DC237D1"/>
    <w:rsid w:val="6F40725E"/>
    <w:rsid w:val="711172CF"/>
    <w:rsid w:val="71FD54DD"/>
    <w:rsid w:val="72CC6117"/>
    <w:rsid w:val="73A029BE"/>
    <w:rsid w:val="73F833D8"/>
    <w:rsid w:val="7410294D"/>
    <w:rsid w:val="75C25018"/>
    <w:rsid w:val="76D71644"/>
    <w:rsid w:val="776C2FB6"/>
    <w:rsid w:val="78864D0C"/>
    <w:rsid w:val="79962288"/>
    <w:rsid w:val="79982284"/>
    <w:rsid w:val="7998662D"/>
    <w:rsid w:val="7A8C5878"/>
    <w:rsid w:val="7B471854"/>
    <w:rsid w:val="7C3D0056"/>
    <w:rsid w:val="7C552333"/>
    <w:rsid w:val="7CA86C55"/>
    <w:rsid w:val="7CD51F65"/>
    <w:rsid w:val="7CF019C1"/>
    <w:rsid w:val="7D461CAD"/>
    <w:rsid w:val="7E28286A"/>
    <w:rsid w:val="7E4515FE"/>
    <w:rsid w:val="7E5D7D7C"/>
    <w:rsid w:val="7EAD59B2"/>
    <w:rsid w:val="7ECC1B0D"/>
    <w:rsid w:val="7F91273C"/>
    <w:rsid w:val="7FB83A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60"/>
    <w:qFormat/>
    <w:uiPriority w:val="0"/>
    <w:pPr>
      <w:spacing w:before="460" w:after="450" w:line="360" w:lineRule="auto"/>
      <w:jc w:val="center"/>
      <w:outlineLvl w:val="0"/>
    </w:pPr>
    <w:rPr>
      <w:rFonts w:eastAsiaTheme="minorEastAsia"/>
      <w:bCs w:val="0"/>
      <w:kern w:val="44"/>
      <w:sz w:val="44"/>
      <w:szCs w:val="28"/>
    </w:rPr>
  </w:style>
  <w:style w:type="paragraph" w:styleId="4">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3">
    <w:name w:val="heading 3"/>
    <w:basedOn w:val="1"/>
    <w:next w:val="1"/>
    <w:link w:val="59"/>
    <w:qFormat/>
    <w:uiPriority w:val="0"/>
    <w:pPr>
      <w:keepNext/>
      <w:keepLines/>
      <w:spacing w:before="260" w:after="260" w:line="416" w:lineRule="auto"/>
      <w:jc w:val="left"/>
      <w:outlineLvl w:val="2"/>
    </w:pPr>
    <w:rPr>
      <w:b/>
      <w:bCs/>
      <w:sz w:val="24"/>
      <w:szCs w:val="32"/>
    </w:rPr>
  </w:style>
  <w:style w:type="paragraph" w:styleId="5">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4"/>
    <w:qFormat/>
    <w:uiPriority w:val="0"/>
    <w:pPr>
      <w:keepNext/>
      <w:keepLines/>
      <w:numPr>
        <w:ilvl w:val="4"/>
        <w:numId w:val="1"/>
      </w:numPr>
      <w:tabs>
        <w:tab w:val="left" w:pos="371"/>
      </w:tabs>
      <w:spacing w:before="280" w:after="290" w:line="374" w:lineRule="auto"/>
      <w:outlineLvl w:val="4"/>
    </w:pPr>
    <w:rPr>
      <w:b/>
      <w:sz w:val="28"/>
    </w:rPr>
  </w:style>
  <w:style w:type="paragraph" w:styleId="8">
    <w:name w:val="heading 6"/>
    <w:basedOn w:val="1"/>
    <w:next w:val="7"/>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9">
    <w:name w:val="heading 7"/>
    <w:basedOn w:val="1"/>
    <w:next w:val="7"/>
    <w:link w:val="66"/>
    <w:qFormat/>
    <w:uiPriority w:val="9"/>
    <w:pPr>
      <w:keepNext/>
      <w:keepLines/>
      <w:numPr>
        <w:ilvl w:val="6"/>
        <w:numId w:val="1"/>
      </w:numPr>
      <w:spacing w:before="240" w:after="64" w:line="319" w:lineRule="auto"/>
      <w:outlineLvl w:val="6"/>
    </w:pPr>
    <w:rPr>
      <w:b/>
      <w:sz w:val="24"/>
    </w:rPr>
  </w:style>
  <w:style w:type="paragraph" w:styleId="10">
    <w:name w:val="heading 8"/>
    <w:basedOn w:val="1"/>
    <w:next w:val="7"/>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1">
    <w:name w:val="heading 9"/>
    <w:basedOn w:val="1"/>
    <w:next w:val="7"/>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semiHidden/>
    <w:unhideWhenUsed/>
    <w:uiPriority w:val="1"/>
  </w:style>
  <w:style w:type="table" w:default="1" w:styleId="50">
    <w:name w:val="Normal Table"/>
    <w:semiHidden/>
    <w:unhideWhenUsed/>
    <w:uiPriority w:val="99"/>
    <w:tblPr>
      <w:tblCellMar>
        <w:top w:w="0" w:type="dxa"/>
        <w:left w:w="108" w:type="dxa"/>
        <w:bottom w:w="0" w:type="dxa"/>
        <w:right w:w="108" w:type="dxa"/>
      </w:tblCellMar>
    </w:tblPr>
  </w:style>
  <w:style w:type="paragraph" w:styleId="7">
    <w:name w:val="Normal Indent"/>
    <w:basedOn w:val="1"/>
    <w:link w:val="63"/>
    <w:qFormat/>
    <w:uiPriority w:val="0"/>
    <w:pPr>
      <w:ind w:firstLine="420" w:firstLineChars="200"/>
    </w:pPr>
  </w:style>
  <w:style w:type="paragraph" w:styleId="12">
    <w:name w:val="toc 7"/>
    <w:basedOn w:val="1"/>
    <w:next w:val="1"/>
    <w:qFormat/>
    <w:uiPriority w:val="0"/>
    <w:pPr>
      <w:ind w:left="1260"/>
      <w:jc w:val="left"/>
    </w:pPr>
    <w:rPr>
      <w:szCs w:val="21"/>
    </w:rPr>
  </w:style>
  <w:style w:type="paragraph" w:styleId="13">
    <w:name w:val="List Number 2"/>
    <w:basedOn w:val="1"/>
    <w:qFormat/>
    <w:uiPriority w:val="0"/>
    <w:pPr>
      <w:tabs>
        <w:tab w:val="left" w:pos="780"/>
      </w:tabs>
      <w:ind w:left="780" w:hanging="360"/>
    </w:pPr>
    <w:rPr>
      <w:szCs w:val="20"/>
    </w:rPr>
  </w:style>
  <w:style w:type="paragraph" w:styleId="14">
    <w:name w:val="List Bullet 4"/>
    <w:basedOn w:val="1"/>
    <w:qFormat/>
    <w:uiPriority w:val="0"/>
    <w:pPr>
      <w:tabs>
        <w:tab w:val="left" w:pos="425"/>
        <w:tab w:val="left" w:pos="1620"/>
      </w:tabs>
      <w:ind w:left="425" w:hanging="425"/>
    </w:pPr>
    <w:rPr>
      <w:szCs w:val="20"/>
    </w:rPr>
  </w:style>
  <w:style w:type="paragraph" w:styleId="15">
    <w:name w:val="caption"/>
    <w:basedOn w:val="1"/>
    <w:next w:val="1"/>
    <w:link w:val="297"/>
    <w:qFormat/>
    <w:uiPriority w:val="0"/>
    <w:rPr>
      <w:rFonts w:ascii="Cambria" w:hAnsi="Cambria" w:eastAsia="黑体"/>
    </w:rPr>
  </w:style>
  <w:style w:type="paragraph" w:styleId="16">
    <w:name w:val="List Bullet"/>
    <w:basedOn w:val="1"/>
    <w:qFormat/>
    <w:uiPriority w:val="0"/>
    <w:pPr>
      <w:numPr>
        <w:ilvl w:val="0"/>
        <w:numId w:val="1"/>
      </w:numPr>
      <w:tabs>
        <w:tab w:val="left" w:pos="360"/>
        <w:tab w:val="clear" w:pos="371"/>
      </w:tabs>
    </w:pPr>
    <w:rPr>
      <w:szCs w:val="20"/>
    </w:rPr>
  </w:style>
  <w:style w:type="paragraph" w:styleId="17">
    <w:name w:val="Document Map"/>
    <w:basedOn w:val="1"/>
    <w:link w:val="73"/>
    <w:qFormat/>
    <w:uiPriority w:val="0"/>
    <w:pPr>
      <w:shd w:val="clear" w:color="auto" w:fill="000080"/>
    </w:pPr>
  </w:style>
  <w:style w:type="paragraph" w:styleId="18">
    <w:name w:val="annotation text"/>
    <w:basedOn w:val="1"/>
    <w:link w:val="69"/>
    <w:qFormat/>
    <w:uiPriority w:val="0"/>
    <w:pPr>
      <w:jc w:val="left"/>
    </w:pPr>
  </w:style>
  <w:style w:type="paragraph" w:styleId="19">
    <w:name w:val="Body Text 3"/>
    <w:basedOn w:val="1"/>
    <w:link w:val="458"/>
    <w:unhideWhenUsed/>
    <w:qFormat/>
    <w:uiPriority w:val="0"/>
    <w:pPr>
      <w:spacing w:after="120"/>
    </w:pPr>
    <w:rPr>
      <w:sz w:val="16"/>
      <w:szCs w:val="16"/>
    </w:rPr>
  </w:style>
  <w:style w:type="paragraph" w:styleId="20">
    <w:name w:val="Body Text"/>
    <w:basedOn w:val="1"/>
    <w:link w:val="71"/>
    <w:qFormat/>
    <w:uiPriority w:val="0"/>
    <w:pPr>
      <w:spacing w:after="120"/>
    </w:pPr>
  </w:style>
  <w:style w:type="paragraph" w:styleId="21">
    <w:name w:val="Body Text Indent"/>
    <w:basedOn w:val="1"/>
    <w:link w:val="74"/>
    <w:qFormat/>
    <w:uiPriority w:val="0"/>
    <w:pPr>
      <w:spacing w:after="120"/>
      <w:ind w:left="420" w:leftChars="200"/>
    </w:pPr>
  </w:style>
  <w:style w:type="paragraph" w:styleId="22">
    <w:name w:val="Block Text"/>
    <w:basedOn w:val="1"/>
    <w:qFormat/>
    <w:uiPriority w:val="0"/>
    <w:pPr>
      <w:spacing w:after="120"/>
      <w:ind w:left="1440" w:leftChars="700" w:right="1440" w:rightChars="700"/>
    </w:pPr>
  </w:style>
  <w:style w:type="paragraph" w:styleId="23">
    <w:name w:val="List Bullet 2"/>
    <w:basedOn w:val="1"/>
    <w:qFormat/>
    <w:uiPriority w:val="0"/>
    <w:pPr>
      <w:numPr>
        <w:ilvl w:val="0"/>
        <w:numId w:val="2"/>
      </w:numPr>
      <w:tabs>
        <w:tab w:val="left" w:pos="780"/>
      </w:tabs>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ind w:left="420"/>
      <w:jc w:val="left"/>
    </w:pPr>
    <w:rPr>
      <w:iCs/>
    </w:rPr>
  </w:style>
  <w:style w:type="paragraph" w:styleId="26">
    <w:name w:val="Plain Text"/>
    <w:basedOn w:val="1"/>
    <w:link w:val="75"/>
    <w:qFormat/>
    <w:uiPriority w:val="0"/>
    <w:rPr>
      <w:rFonts w:ascii="宋体" w:hAnsi="Courier New"/>
      <w:szCs w:val="20"/>
    </w:rPr>
  </w:style>
  <w:style w:type="paragraph" w:styleId="27">
    <w:name w:val="toc 8"/>
    <w:basedOn w:val="1"/>
    <w:next w:val="1"/>
    <w:qFormat/>
    <w:uiPriority w:val="0"/>
    <w:pPr>
      <w:ind w:left="1470"/>
      <w:jc w:val="left"/>
    </w:pPr>
    <w:rPr>
      <w:szCs w:val="21"/>
    </w:rPr>
  </w:style>
  <w:style w:type="paragraph" w:styleId="28">
    <w:name w:val="Date"/>
    <w:basedOn w:val="1"/>
    <w:next w:val="1"/>
    <w:link w:val="316"/>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qFormat/>
    <w:uiPriority w:val="0"/>
    <w:pPr>
      <w:spacing w:after="120" w:line="480" w:lineRule="auto"/>
      <w:ind w:left="420" w:leftChars="200"/>
    </w:p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qFormat/>
    <w:uiPriority w:val="0"/>
    <w:pPr>
      <w:ind w:left="4320"/>
    </w:pPr>
    <w:rPr>
      <w:rFonts w:eastAsia="楷体_GB2312"/>
      <w:szCs w:val="20"/>
    </w:rPr>
  </w:style>
  <w:style w:type="paragraph" w:styleId="34">
    <w:name w:val="toc 1"/>
    <w:basedOn w:val="1"/>
    <w:next w:val="1"/>
    <w:qFormat/>
    <w:uiPriority w:val="39"/>
    <w:pPr>
      <w:spacing w:before="120" w:after="120"/>
      <w:jc w:val="left"/>
    </w:pPr>
    <w:rPr>
      <w:b/>
      <w:bCs/>
      <w:caps/>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footnote text"/>
    <w:basedOn w:val="1"/>
    <w:link w:val="463"/>
    <w:qFormat/>
    <w:uiPriority w:val="0"/>
    <w:pPr>
      <w:snapToGrid w:val="0"/>
      <w:jc w:val="left"/>
    </w:pPr>
    <w:rPr>
      <w:sz w:val="18"/>
      <w:szCs w:val="18"/>
    </w:rPr>
  </w:style>
  <w:style w:type="paragraph" w:styleId="39">
    <w:name w:val="toc 6"/>
    <w:basedOn w:val="1"/>
    <w:next w:val="1"/>
    <w:qFormat/>
    <w:uiPriority w:val="0"/>
    <w:pPr>
      <w:ind w:left="1050"/>
      <w:jc w:val="left"/>
    </w:pPr>
    <w:rPr>
      <w:szCs w:val="21"/>
    </w:rPr>
  </w:style>
  <w:style w:type="paragraph" w:styleId="40">
    <w:name w:val="Body Text Indent 3"/>
    <w:basedOn w:val="1"/>
    <w:link w:val="313"/>
    <w:qFormat/>
    <w:uiPriority w:val="0"/>
    <w:pPr>
      <w:ind w:firstLine="426"/>
    </w:pPr>
    <w:rPr>
      <w:szCs w:val="20"/>
    </w:rPr>
  </w:style>
  <w:style w:type="paragraph" w:styleId="41">
    <w:name w:val="toc 2"/>
    <w:basedOn w:val="1"/>
    <w:next w:val="1"/>
    <w:qFormat/>
    <w:uiPriority w:val="39"/>
    <w:pPr>
      <w:ind w:left="210"/>
      <w:jc w:val="left"/>
    </w:pPr>
    <w:rPr>
      <w:smallCaps/>
    </w:rPr>
  </w:style>
  <w:style w:type="paragraph" w:styleId="42">
    <w:name w:val="toc 9"/>
    <w:basedOn w:val="1"/>
    <w:next w:val="1"/>
    <w:qFormat/>
    <w:uiPriority w:val="0"/>
    <w:pPr>
      <w:ind w:left="1680"/>
      <w:jc w:val="left"/>
    </w:pPr>
    <w:rPr>
      <w:szCs w:val="21"/>
    </w:rPr>
  </w:style>
  <w:style w:type="paragraph" w:styleId="43">
    <w:name w:val="Body Text 2"/>
    <w:basedOn w:val="1"/>
    <w:link w:val="306"/>
    <w:qFormat/>
    <w:uiPriority w:val="0"/>
    <w:rPr>
      <w:sz w:val="28"/>
      <w:szCs w:val="20"/>
    </w:rPr>
  </w:style>
  <w:style w:type="paragraph" w:styleId="44">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99"/>
    <w:pPr>
      <w:widowControl/>
      <w:spacing w:before="100" w:beforeAutospacing="1" w:after="100" w:afterAutospacing="1"/>
      <w:jc w:val="left"/>
    </w:pPr>
    <w:rPr>
      <w:kern w:val="0"/>
      <w:sz w:val="24"/>
    </w:rPr>
  </w:style>
  <w:style w:type="paragraph" w:styleId="46">
    <w:name w:val="Title"/>
    <w:basedOn w:val="1"/>
    <w:link w:val="81"/>
    <w:qFormat/>
    <w:uiPriority w:val="0"/>
    <w:pPr>
      <w:spacing w:before="240" w:after="60"/>
      <w:jc w:val="center"/>
      <w:outlineLvl w:val="0"/>
    </w:pPr>
    <w:rPr>
      <w:rFonts w:ascii="Arial" w:hAnsi="Arial" w:eastAsia="隶书"/>
      <w:b/>
      <w:bCs/>
      <w:sz w:val="32"/>
      <w:szCs w:val="32"/>
    </w:rPr>
  </w:style>
  <w:style w:type="paragraph" w:styleId="47">
    <w:name w:val="annotation subject"/>
    <w:basedOn w:val="18"/>
    <w:next w:val="18"/>
    <w:link w:val="70"/>
    <w:qFormat/>
    <w:uiPriority w:val="0"/>
    <w:rPr>
      <w:b/>
      <w:bCs/>
    </w:rPr>
  </w:style>
  <w:style w:type="paragraph" w:styleId="48">
    <w:name w:val="Body Text First Indent"/>
    <w:basedOn w:val="20"/>
    <w:link w:val="72"/>
    <w:qFormat/>
    <w:uiPriority w:val="0"/>
    <w:pPr>
      <w:ind w:firstLine="420" w:firstLineChars="100"/>
    </w:pPr>
  </w:style>
  <w:style w:type="paragraph" w:styleId="49">
    <w:name w:val="Body Text First Indent 2"/>
    <w:basedOn w:val="21"/>
    <w:link w:val="292"/>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qFormat/>
    <w:uiPriority w:val="0"/>
    <w:rPr>
      <w:sz w:val="21"/>
      <w:szCs w:val="21"/>
    </w:rPr>
  </w:style>
  <w:style w:type="character" w:customStyle="1" w:styleId="59">
    <w:name w:val="标题 3 字符"/>
    <w:basedOn w:val="52"/>
    <w:link w:val="3"/>
    <w:qFormat/>
    <w:uiPriority w:val="0"/>
    <w:rPr>
      <w:b/>
      <w:bCs/>
      <w:kern w:val="2"/>
      <w:sz w:val="24"/>
      <w:szCs w:val="32"/>
    </w:rPr>
  </w:style>
  <w:style w:type="character" w:customStyle="1" w:styleId="60">
    <w:name w:val="标题 1 字符"/>
    <w:basedOn w:val="52"/>
    <w:link w:val="2"/>
    <w:qFormat/>
    <w:uiPriority w:val="0"/>
    <w:rPr>
      <w:rFonts w:eastAsiaTheme="minorEastAsia"/>
      <w:b/>
      <w:kern w:val="44"/>
      <w:sz w:val="44"/>
      <w:szCs w:val="28"/>
    </w:rPr>
  </w:style>
  <w:style w:type="character" w:customStyle="1" w:styleId="61">
    <w:name w:val="标题 2 字符"/>
    <w:basedOn w:val="52"/>
    <w:link w:val="4"/>
    <w:qFormat/>
    <w:uiPriority w:val="0"/>
    <w:rPr>
      <w:rFonts w:ascii="Arial" w:hAnsi="Arial" w:eastAsiaTheme="minorEastAsia"/>
      <w:b/>
      <w:bCs/>
      <w:kern w:val="2"/>
      <w:sz w:val="28"/>
      <w:szCs w:val="32"/>
    </w:rPr>
  </w:style>
  <w:style w:type="character" w:customStyle="1" w:styleId="62">
    <w:name w:val="标题 4 字符"/>
    <w:basedOn w:val="52"/>
    <w:link w:val="5"/>
    <w:qFormat/>
    <w:uiPriority w:val="99"/>
    <w:rPr>
      <w:rFonts w:ascii="Arial" w:hAnsi="Arial" w:eastAsia="黑体"/>
      <w:b/>
      <w:bCs/>
      <w:kern w:val="2"/>
      <w:sz w:val="28"/>
      <w:szCs w:val="28"/>
    </w:rPr>
  </w:style>
  <w:style w:type="character" w:customStyle="1" w:styleId="63">
    <w:name w:val="正文缩进 字符"/>
    <w:link w:val="7"/>
    <w:qFormat/>
    <w:uiPriority w:val="0"/>
    <w:rPr>
      <w:rFonts w:eastAsia="宋体"/>
      <w:kern w:val="2"/>
      <w:sz w:val="21"/>
      <w:szCs w:val="24"/>
      <w:lang w:val="en-US" w:eastAsia="zh-CN" w:bidi="ar-SA"/>
    </w:rPr>
  </w:style>
  <w:style w:type="character" w:customStyle="1" w:styleId="64">
    <w:name w:val="标题 5 字符"/>
    <w:basedOn w:val="52"/>
    <w:link w:val="6"/>
    <w:qFormat/>
    <w:uiPriority w:val="0"/>
    <w:rPr>
      <w:b/>
      <w:kern w:val="2"/>
      <w:sz w:val="28"/>
      <w:szCs w:val="24"/>
    </w:rPr>
  </w:style>
  <w:style w:type="character" w:customStyle="1" w:styleId="65">
    <w:name w:val="标题 6 字符"/>
    <w:basedOn w:val="52"/>
    <w:link w:val="8"/>
    <w:qFormat/>
    <w:uiPriority w:val="9"/>
    <w:rPr>
      <w:rFonts w:ascii="Arial" w:hAnsi="Arial" w:eastAsia="黑体"/>
      <w:b/>
      <w:kern w:val="2"/>
      <w:sz w:val="24"/>
      <w:szCs w:val="24"/>
    </w:rPr>
  </w:style>
  <w:style w:type="character" w:customStyle="1" w:styleId="66">
    <w:name w:val="标题 7 字符"/>
    <w:basedOn w:val="52"/>
    <w:link w:val="9"/>
    <w:qFormat/>
    <w:uiPriority w:val="9"/>
    <w:rPr>
      <w:b/>
      <w:kern w:val="2"/>
      <w:sz w:val="24"/>
      <w:szCs w:val="24"/>
    </w:rPr>
  </w:style>
  <w:style w:type="character" w:customStyle="1" w:styleId="67">
    <w:name w:val="标题 8 字符"/>
    <w:basedOn w:val="52"/>
    <w:link w:val="10"/>
    <w:qFormat/>
    <w:uiPriority w:val="9"/>
    <w:rPr>
      <w:rFonts w:ascii="Arial" w:hAnsi="Arial" w:eastAsia="黑体"/>
      <w:kern w:val="2"/>
      <w:sz w:val="24"/>
      <w:szCs w:val="24"/>
    </w:rPr>
  </w:style>
  <w:style w:type="character" w:customStyle="1" w:styleId="68">
    <w:name w:val="标题 9 字符"/>
    <w:basedOn w:val="52"/>
    <w:link w:val="11"/>
    <w:qFormat/>
    <w:uiPriority w:val="0"/>
    <w:rPr>
      <w:rFonts w:ascii="Arial" w:hAnsi="Arial" w:eastAsia="黑体"/>
      <w:kern w:val="2"/>
      <w:sz w:val="21"/>
      <w:szCs w:val="24"/>
    </w:rPr>
  </w:style>
  <w:style w:type="character" w:customStyle="1" w:styleId="69">
    <w:name w:val="批注文字 字符1"/>
    <w:link w:val="18"/>
    <w:qFormat/>
    <w:uiPriority w:val="0"/>
    <w:rPr>
      <w:kern w:val="2"/>
      <w:sz w:val="21"/>
      <w:szCs w:val="24"/>
    </w:rPr>
  </w:style>
  <w:style w:type="character" w:customStyle="1" w:styleId="70">
    <w:name w:val="批注主题 字符"/>
    <w:basedOn w:val="69"/>
    <w:link w:val="47"/>
    <w:qFormat/>
    <w:uiPriority w:val="0"/>
    <w:rPr>
      <w:b/>
      <w:bCs/>
      <w:kern w:val="2"/>
      <w:sz w:val="21"/>
      <w:szCs w:val="24"/>
    </w:rPr>
  </w:style>
  <w:style w:type="character" w:customStyle="1" w:styleId="71">
    <w:name w:val="正文文本 字符1"/>
    <w:basedOn w:val="52"/>
    <w:link w:val="20"/>
    <w:qFormat/>
    <w:uiPriority w:val="0"/>
    <w:rPr>
      <w:kern w:val="2"/>
      <w:sz w:val="21"/>
      <w:szCs w:val="24"/>
    </w:rPr>
  </w:style>
  <w:style w:type="character" w:customStyle="1" w:styleId="72">
    <w:name w:val="正文文本首行缩进 字符"/>
    <w:link w:val="48"/>
    <w:qFormat/>
    <w:uiPriority w:val="0"/>
    <w:rPr>
      <w:rFonts w:eastAsia="宋体"/>
      <w:kern w:val="2"/>
      <w:sz w:val="21"/>
      <w:szCs w:val="24"/>
      <w:lang w:val="en-US" w:eastAsia="zh-CN" w:bidi="ar-SA"/>
    </w:rPr>
  </w:style>
  <w:style w:type="character" w:customStyle="1" w:styleId="73">
    <w:name w:val="文档结构图 字符"/>
    <w:basedOn w:val="52"/>
    <w:link w:val="17"/>
    <w:qFormat/>
    <w:uiPriority w:val="0"/>
    <w:rPr>
      <w:kern w:val="2"/>
      <w:sz w:val="21"/>
      <w:szCs w:val="24"/>
      <w:shd w:val="clear" w:color="auto" w:fill="000080"/>
    </w:rPr>
  </w:style>
  <w:style w:type="character" w:customStyle="1" w:styleId="74">
    <w:name w:val="正文文本缩进 字符1"/>
    <w:basedOn w:val="52"/>
    <w:link w:val="21"/>
    <w:qFormat/>
    <w:uiPriority w:val="0"/>
    <w:rPr>
      <w:kern w:val="2"/>
      <w:sz w:val="21"/>
      <w:szCs w:val="24"/>
    </w:rPr>
  </w:style>
  <w:style w:type="character" w:customStyle="1" w:styleId="75">
    <w:name w:val="纯文本 字符"/>
    <w:link w:val="26"/>
    <w:qFormat/>
    <w:uiPriority w:val="0"/>
    <w:rPr>
      <w:rFonts w:ascii="宋体" w:hAnsi="Courier New" w:eastAsia="宋体"/>
      <w:kern w:val="2"/>
      <w:sz w:val="21"/>
      <w:lang w:val="en-US" w:eastAsia="zh-CN" w:bidi="ar-SA"/>
    </w:rPr>
  </w:style>
  <w:style w:type="character" w:customStyle="1" w:styleId="76">
    <w:name w:val="正文文本缩进 2 字符"/>
    <w:link w:val="29"/>
    <w:qFormat/>
    <w:uiPriority w:val="0"/>
    <w:rPr>
      <w:kern w:val="2"/>
      <w:sz w:val="21"/>
      <w:szCs w:val="24"/>
    </w:rPr>
  </w:style>
  <w:style w:type="character" w:customStyle="1" w:styleId="77">
    <w:name w:val="批注框文本 字符"/>
    <w:basedOn w:val="52"/>
    <w:link w:val="30"/>
    <w:qFormat/>
    <w:uiPriority w:val="99"/>
    <w:rPr>
      <w:kern w:val="2"/>
      <w:sz w:val="18"/>
      <w:szCs w:val="18"/>
    </w:rPr>
  </w:style>
  <w:style w:type="character" w:customStyle="1" w:styleId="78">
    <w:name w:val="页脚 字符"/>
    <w:basedOn w:val="52"/>
    <w:link w:val="31"/>
    <w:qFormat/>
    <w:uiPriority w:val="99"/>
    <w:rPr>
      <w:kern w:val="2"/>
      <w:sz w:val="18"/>
      <w:szCs w:val="18"/>
    </w:rPr>
  </w:style>
  <w:style w:type="character" w:customStyle="1" w:styleId="79">
    <w:name w:val="页眉 字符"/>
    <w:link w:val="32"/>
    <w:qFormat/>
    <w:uiPriority w:val="99"/>
    <w:rPr>
      <w:kern w:val="2"/>
      <w:sz w:val="18"/>
      <w:szCs w:val="18"/>
    </w:rPr>
  </w:style>
  <w:style w:type="character" w:customStyle="1" w:styleId="80">
    <w:name w:val="HTML 预设格式 字符"/>
    <w:link w:val="44"/>
    <w:qFormat/>
    <w:uiPriority w:val="0"/>
    <w:rPr>
      <w:rFonts w:ascii="宋体" w:hAnsi="宋体" w:cs="宋体"/>
      <w:sz w:val="24"/>
      <w:szCs w:val="24"/>
    </w:rPr>
  </w:style>
  <w:style w:type="character" w:customStyle="1" w:styleId="81">
    <w:name w:val="标题 字符"/>
    <w:link w:val="46"/>
    <w:qFormat/>
    <w:uiPriority w:val="0"/>
    <w:rPr>
      <w:rFonts w:ascii="Arial" w:hAnsi="Arial" w:eastAsia="隶书" w:cs="Arial"/>
      <w:b/>
      <w:bCs/>
      <w:kern w:val="2"/>
      <w:sz w:val="32"/>
      <w:szCs w:val="32"/>
    </w:rPr>
  </w:style>
  <w:style w:type="paragraph" w:customStyle="1" w:styleId="8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qFormat/>
    <w:uiPriority w:val="0"/>
    <w:pPr>
      <w:spacing w:line="360" w:lineRule="auto"/>
      <w:ind w:firstLine="516" w:firstLineChars="215"/>
    </w:pPr>
    <w:rPr>
      <w:sz w:val="24"/>
      <w:szCs w:val="20"/>
    </w:rPr>
  </w:style>
  <w:style w:type="character" w:customStyle="1" w:styleId="84">
    <w:name w:val="样式1 Char Char Char"/>
    <w:link w:val="83"/>
    <w:qFormat/>
    <w:uiPriority w:val="0"/>
    <w:rPr>
      <w:rFonts w:eastAsia="宋体"/>
      <w:kern w:val="2"/>
      <w:sz w:val="24"/>
      <w:lang w:val="en-US" w:eastAsia="zh-CN" w:bidi="ar-SA"/>
    </w:rPr>
  </w:style>
  <w:style w:type="paragraph" w:customStyle="1" w:styleId="85">
    <w:name w:val="样式1"/>
    <w:basedOn w:val="46"/>
    <w:link w:val="86"/>
    <w:qFormat/>
    <w:uiPriority w:val="0"/>
    <w:pPr>
      <w:spacing w:before="120" w:after="120"/>
    </w:pPr>
    <w:rPr>
      <w:rFonts w:eastAsia="黑体" w:cs="Arial"/>
      <w:b w:val="0"/>
      <w:sz w:val="30"/>
      <w:szCs w:val="21"/>
    </w:rPr>
  </w:style>
  <w:style w:type="character" w:customStyle="1" w:styleId="86">
    <w:name w:val="样式1 Char"/>
    <w:link w:val="85"/>
    <w:qFormat/>
    <w:uiPriority w:val="0"/>
    <w:rPr>
      <w:rFonts w:ascii="Arial" w:hAnsi="Arial" w:eastAsia="黑体" w:cs="Arial"/>
      <w:bCs/>
      <w:kern w:val="2"/>
      <w:sz w:val="30"/>
      <w:szCs w:val="21"/>
      <w:lang w:val="en-US" w:eastAsia="zh-CN" w:bidi="ar-SA"/>
    </w:rPr>
  </w:style>
  <w:style w:type="paragraph" w:customStyle="1" w:styleId="8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qFormat/>
    <w:uiPriority w:val="0"/>
    <w:rPr>
      <w:rFonts w:ascii="仿宋_GB2312" w:eastAsia="仿宋_GB2312"/>
      <w:b/>
      <w:sz w:val="32"/>
      <w:szCs w:val="32"/>
    </w:rPr>
  </w:style>
  <w:style w:type="character" w:customStyle="1" w:styleId="91">
    <w:name w:val="tpc_title1"/>
    <w:qFormat/>
    <w:uiPriority w:val="0"/>
    <w:rPr>
      <w:b/>
      <w:bCs/>
      <w:sz w:val="18"/>
      <w:szCs w:val="18"/>
    </w:rPr>
  </w:style>
  <w:style w:type="character" w:customStyle="1" w:styleId="92">
    <w:name w:val="tpc_content1"/>
    <w:qFormat/>
    <w:uiPriority w:val="0"/>
    <w:rPr>
      <w:sz w:val="20"/>
      <w:szCs w:val="20"/>
    </w:r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qFormat/>
    <w:uiPriority w:val="0"/>
    <w:pPr>
      <w:ind w:firstLine="420" w:firstLineChars="200"/>
    </w:pPr>
  </w:style>
  <w:style w:type="character" w:customStyle="1" w:styleId="95">
    <w:name w:val="列表段落 字符"/>
    <w:link w:val="94"/>
    <w:qFormat/>
    <w:uiPriority w:val="34"/>
    <w:rPr>
      <w:kern w:val="2"/>
      <w:sz w:val="21"/>
      <w:szCs w:val="24"/>
    </w:rPr>
  </w:style>
  <w:style w:type="paragraph" w:customStyle="1" w:styleId="96">
    <w:name w:val="正文1"/>
    <w:basedOn w:val="1"/>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8">
    <w:name w:val="缩进正文"/>
    <w:basedOn w:val="1"/>
    <w:link w:val="99"/>
    <w:qFormat/>
    <w:uiPriority w:val="0"/>
    <w:pPr>
      <w:ind w:firstLine="560" w:firstLineChars="200"/>
    </w:pPr>
    <w:rPr>
      <w:rFonts w:eastAsia="仿宋_GB2312" w:cs="宋体"/>
      <w:sz w:val="28"/>
      <w:szCs w:val="20"/>
    </w:rPr>
  </w:style>
  <w:style w:type="character" w:customStyle="1" w:styleId="99">
    <w:name w:val="缩进正文 Char"/>
    <w:link w:val="98"/>
    <w:qFormat/>
    <w:uiPriority w:val="0"/>
    <w:rPr>
      <w:rFonts w:eastAsia="仿宋_GB2312" w:cs="宋体"/>
      <w:kern w:val="2"/>
      <w:sz w:val="28"/>
      <w:lang w:val="en-US" w:eastAsia="zh-CN" w:bidi="ar-SA"/>
    </w:rPr>
  </w:style>
  <w:style w:type="character" w:customStyle="1" w:styleId="100">
    <w:name w:val="访问过的超链接1"/>
    <w:qFormat/>
    <w:uiPriority w:val="0"/>
    <w:rPr>
      <w:color w:val="800080"/>
      <w:u w:val="single"/>
    </w:rPr>
  </w:style>
  <w:style w:type="paragraph" w:customStyle="1" w:styleId="101">
    <w:name w:val="Char Char Char Char Char Char Char"/>
    <w:basedOn w:val="1"/>
    <w:qFormat/>
    <w:uiPriority w:val="0"/>
    <w:pPr>
      <w:widowControl/>
      <w:adjustRightInd w:val="0"/>
      <w:spacing w:after="160" w:line="240" w:lineRule="exact"/>
      <w:jc w:val="left"/>
      <w:textAlignment w:val="baseline"/>
    </w:pPr>
  </w:style>
  <w:style w:type="character" w:customStyle="1" w:styleId="102">
    <w:name w:val="正文缩进 Char1"/>
    <w:qFormat/>
    <w:uiPriority w:val="0"/>
    <w:rPr>
      <w:rFonts w:eastAsia="宋体"/>
      <w:kern w:val="2"/>
      <w:sz w:val="21"/>
      <w:lang w:val="en-US" w:eastAsia="zh-CN" w:bidi="ar-SA"/>
    </w:rPr>
  </w:style>
  <w:style w:type="paragraph" w:customStyle="1" w:styleId="10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unhideWhenUsed/>
    <w:qFormat/>
    <w:uiPriority w:val="34"/>
    <w:pPr>
      <w:ind w:firstLine="420" w:firstLineChars="200"/>
    </w:pPr>
  </w:style>
  <w:style w:type="paragraph" w:customStyle="1" w:styleId="105">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6">
    <w:name w:val="font11"/>
    <w:basedOn w:val="52"/>
    <w:qFormat/>
    <w:uiPriority w:val="0"/>
    <w:rPr>
      <w:rFonts w:hint="eastAsia" w:ascii="宋体" w:hAnsi="宋体" w:eastAsia="宋体" w:cs="宋体"/>
      <w:b/>
      <w:color w:val="000000"/>
      <w:sz w:val="21"/>
      <w:szCs w:val="21"/>
      <w:u w:val="none"/>
    </w:rPr>
  </w:style>
  <w:style w:type="character" w:customStyle="1" w:styleId="107">
    <w:name w:val="批注文字 Char1"/>
    <w:qFormat/>
    <w:locked/>
    <w:uiPriority w:val="0"/>
    <w:rPr>
      <w:rFonts w:ascii="Calibri" w:hAnsi="Calibri" w:eastAsia="宋体" w:cs="Calibri"/>
      <w:szCs w:val="21"/>
    </w:rPr>
  </w:style>
  <w:style w:type="character" w:customStyle="1" w:styleId="108">
    <w:name w:val="title1"/>
    <w:qFormat/>
    <w:uiPriority w:val="0"/>
    <w:rPr>
      <w:rFonts w:hint="eastAsia" w:ascii="微软雅黑" w:hAnsi="微软雅黑" w:eastAsia="微软雅黑"/>
      <w:sz w:val="21"/>
      <w:szCs w:val="21"/>
    </w:rPr>
  </w:style>
  <w:style w:type="character" w:customStyle="1" w:styleId="109">
    <w:name w:val="sect2title1"/>
    <w:qFormat/>
    <w:uiPriority w:val="0"/>
    <w:rPr>
      <w:rFonts w:hint="eastAsia" w:ascii="微软雅黑" w:hAnsi="微软雅黑" w:eastAsia="微软雅黑"/>
      <w:b/>
      <w:bCs/>
      <w:sz w:val="21"/>
      <w:szCs w:val="21"/>
    </w:rPr>
  </w:style>
  <w:style w:type="paragraph" w:customStyle="1" w:styleId="110">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qFormat/>
    <w:uiPriority w:val="0"/>
    <w:rPr>
      <w:rFonts w:ascii="Tahoma" w:hAnsi="Tahoma" w:eastAsia="Tahoma" w:cs="Tahoma"/>
      <w:color w:val="000000"/>
      <w:sz w:val="20"/>
      <w:szCs w:val="20"/>
      <w:u w:val="none"/>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qFormat/>
    <w:uiPriority w:val="0"/>
    <w:rPr>
      <w:rFonts w:hint="eastAsia" w:ascii="仿宋_GB2312" w:eastAsia="仿宋_GB2312" w:cs="仿宋_GB2312"/>
      <w:color w:val="000000"/>
      <w:sz w:val="20"/>
      <w:szCs w:val="20"/>
      <w:u w:val="none"/>
    </w:rPr>
  </w:style>
  <w:style w:type="character" w:customStyle="1" w:styleId="167">
    <w:name w:val="font31"/>
    <w:basedOn w:val="52"/>
    <w:qFormat/>
    <w:uiPriority w:val="0"/>
    <w:rPr>
      <w:rFonts w:hint="default" w:ascii="Symbol" w:hAnsi="Symbol" w:cs="Symbol"/>
      <w:color w:val="000000"/>
      <w:sz w:val="20"/>
      <w:szCs w:val="20"/>
      <w:u w:val="none"/>
    </w:rPr>
  </w:style>
  <w:style w:type="character" w:customStyle="1" w:styleId="168">
    <w:name w:val="font71"/>
    <w:basedOn w:val="52"/>
    <w:qFormat/>
    <w:uiPriority w:val="0"/>
    <w:rPr>
      <w:rFonts w:ascii="Arial" w:hAnsi="Arial" w:cs="Arial"/>
      <w:color w:val="000000"/>
      <w:sz w:val="20"/>
      <w:szCs w:val="20"/>
      <w:u w:val="none"/>
    </w:rPr>
  </w:style>
  <w:style w:type="character" w:customStyle="1" w:styleId="169">
    <w:name w:val="font21"/>
    <w:basedOn w:val="52"/>
    <w:qFormat/>
    <w:uiPriority w:val="0"/>
    <w:rPr>
      <w:rFonts w:hint="default" w:ascii="Symbol" w:hAnsi="Symbol" w:cs="Symbol"/>
      <w:color w:val="000000"/>
      <w:sz w:val="20"/>
      <w:szCs w:val="20"/>
      <w:u w:val="none"/>
    </w:rPr>
  </w:style>
  <w:style w:type="character" w:customStyle="1" w:styleId="170">
    <w:name w:val="font91"/>
    <w:basedOn w:val="52"/>
    <w:qFormat/>
    <w:uiPriority w:val="0"/>
    <w:rPr>
      <w:rFonts w:ascii="Arial" w:hAnsi="Arial" w:cs="Arial"/>
      <w:color w:val="000000"/>
      <w:sz w:val="20"/>
      <w:szCs w:val="20"/>
      <w:u w:val="none"/>
    </w:rPr>
  </w:style>
  <w:style w:type="character" w:customStyle="1" w:styleId="171">
    <w:name w:val="font51"/>
    <w:basedOn w:val="52"/>
    <w:qFormat/>
    <w:uiPriority w:val="0"/>
    <w:rPr>
      <w:rFonts w:ascii="仿宋" w:hAnsi="仿宋" w:eastAsia="仿宋" w:cs="仿宋"/>
      <w:color w:val="000000"/>
      <w:sz w:val="21"/>
      <w:szCs w:val="21"/>
      <w:u w:val="none"/>
    </w:rPr>
  </w:style>
  <w:style w:type="character" w:customStyle="1" w:styleId="172">
    <w:name w:val="font101"/>
    <w:basedOn w:val="52"/>
    <w:qFormat/>
    <w:uiPriority w:val="0"/>
    <w:rPr>
      <w:rFonts w:hint="eastAsia" w:ascii="仿宋_GB2312" w:eastAsia="仿宋_GB2312" w:cs="仿宋_GB2312"/>
      <w:color w:val="000000"/>
      <w:sz w:val="20"/>
      <w:szCs w:val="20"/>
      <w:u w:val="none"/>
    </w:rPr>
  </w:style>
  <w:style w:type="character" w:customStyle="1" w:styleId="173">
    <w:name w:val="font61"/>
    <w:basedOn w:val="52"/>
    <w:qFormat/>
    <w:uiPriority w:val="0"/>
    <w:rPr>
      <w:rFonts w:hint="eastAsia" w:ascii="宋体" w:hAnsi="宋体" w:eastAsia="宋体" w:cs="宋体"/>
      <w:color w:val="000000"/>
      <w:sz w:val="20"/>
      <w:szCs w:val="20"/>
      <w:u w:val="none"/>
    </w:rPr>
  </w:style>
  <w:style w:type="character" w:customStyle="1" w:styleId="174">
    <w:name w:val="font81"/>
    <w:basedOn w:val="52"/>
    <w:qFormat/>
    <w:uiPriority w:val="0"/>
    <w:rPr>
      <w:rFonts w:hint="eastAsia" w:ascii="仿宋" w:hAnsi="仿宋" w:eastAsia="仿宋" w:cs="仿宋"/>
      <w:color w:val="000000"/>
      <w:sz w:val="21"/>
      <w:szCs w:val="21"/>
      <w:u w:val="none"/>
    </w:rPr>
  </w:style>
  <w:style w:type="character" w:customStyle="1" w:styleId="175">
    <w:name w:val="font111"/>
    <w:basedOn w:val="52"/>
    <w:qFormat/>
    <w:uiPriority w:val="0"/>
    <w:rPr>
      <w:rFonts w:hint="eastAsia" w:ascii="仿宋_GB2312" w:eastAsia="仿宋_GB2312" w:cs="仿宋_GB2312"/>
      <w:color w:val="000000"/>
      <w:sz w:val="21"/>
      <w:szCs w:val="21"/>
      <w:u w:val="none"/>
    </w:rPr>
  </w:style>
  <w:style w:type="character" w:customStyle="1" w:styleId="176">
    <w:name w:val="font121"/>
    <w:basedOn w:val="52"/>
    <w:qFormat/>
    <w:uiPriority w:val="0"/>
    <w:rPr>
      <w:rFonts w:ascii="Arial" w:hAnsi="Arial" w:cs="Arial"/>
      <w:color w:val="000000"/>
      <w:sz w:val="20"/>
      <w:szCs w:val="20"/>
      <w:u w:val="none"/>
    </w:rPr>
  </w:style>
  <w:style w:type="character" w:customStyle="1" w:styleId="177">
    <w:name w:val="font112"/>
    <w:basedOn w:val="52"/>
    <w:qFormat/>
    <w:uiPriority w:val="0"/>
    <w:rPr>
      <w:rFonts w:hint="eastAsia" w:ascii="仿宋_GB2312" w:eastAsia="仿宋_GB2312" w:cs="仿宋_GB2312"/>
      <w:color w:val="000000"/>
      <w:sz w:val="21"/>
      <w:szCs w:val="21"/>
      <w:u w:val="none"/>
    </w:rPr>
  </w:style>
  <w:style w:type="paragraph" w:customStyle="1" w:styleId="178">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qFormat/>
    <w:uiPriority w:val="0"/>
    <w:pPr>
      <w:spacing w:beforeLines="50"/>
      <w:ind w:firstLine="200" w:firstLineChars="200"/>
    </w:pPr>
    <w:rPr>
      <w:rFonts w:ascii="Calibri" w:hAnsi="Calibri" w:eastAsia="华文仿宋"/>
      <w:szCs w:val="22"/>
    </w:rPr>
  </w:style>
  <w:style w:type="paragraph" w:customStyle="1" w:styleId="256">
    <w:name w:val="正文A缩进"/>
    <w:basedOn w:val="1"/>
    <w:qFormat/>
    <w:uiPriority w:val="0"/>
    <w:pPr>
      <w:spacing w:line="360" w:lineRule="auto"/>
      <w:ind w:firstLine="200" w:firstLineChars="200"/>
    </w:pPr>
    <w:rPr>
      <w:kern w:val="0"/>
      <w:sz w:val="28"/>
      <w:szCs w:val="20"/>
    </w:rPr>
  </w:style>
  <w:style w:type="paragraph" w:customStyle="1" w:styleId="257">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qFormat/>
    <w:uiPriority w:val="0"/>
    <w:rPr>
      <w:b/>
      <w:bCs/>
      <w:kern w:val="2"/>
      <w:sz w:val="28"/>
      <w:szCs w:val="28"/>
    </w:rPr>
  </w:style>
  <w:style w:type="character" w:customStyle="1" w:styleId="259">
    <w:name w:val="标题 6 Char"/>
    <w:basedOn w:val="52"/>
    <w:qFormat/>
    <w:uiPriority w:val="9"/>
    <w:rPr>
      <w:rFonts w:asciiTheme="majorHAnsi" w:hAnsiTheme="majorHAnsi" w:eastAsiaTheme="majorEastAsia" w:cstheme="majorBidi"/>
      <w:b/>
      <w:bCs/>
      <w:kern w:val="2"/>
      <w:sz w:val="24"/>
      <w:szCs w:val="24"/>
    </w:rPr>
  </w:style>
  <w:style w:type="character" w:customStyle="1" w:styleId="260">
    <w:name w:val="标题 7 Char"/>
    <w:basedOn w:val="52"/>
    <w:qFormat/>
    <w:uiPriority w:val="9"/>
    <w:rPr>
      <w:b/>
      <w:bCs/>
      <w:kern w:val="2"/>
      <w:sz w:val="24"/>
      <w:szCs w:val="24"/>
    </w:rPr>
  </w:style>
  <w:style w:type="character" w:customStyle="1" w:styleId="261">
    <w:name w:val="标题 8 Char"/>
    <w:basedOn w:val="52"/>
    <w:qFormat/>
    <w:uiPriority w:val="9"/>
    <w:rPr>
      <w:rFonts w:asciiTheme="majorHAnsi" w:hAnsiTheme="majorHAnsi" w:eastAsiaTheme="majorEastAsia" w:cstheme="majorBidi"/>
      <w:kern w:val="2"/>
      <w:sz w:val="24"/>
      <w:szCs w:val="24"/>
    </w:rPr>
  </w:style>
  <w:style w:type="character" w:customStyle="1" w:styleId="262">
    <w:name w:val="标题 9 Char"/>
    <w:basedOn w:val="52"/>
    <w:qFormat/>
    <w:uiPriority w:val="0"/>
    <w:rPr>
      <w:rFonts w:asciiTheme="majorHAnsi" w:hAnsiTheme="majorHAnsi" w:eastAsiaTheme="majorEastAsia" w:cstheme="majorBidi"/>
      <w:kern w:val="2"/>
      <w:sz w:val="21"/>
      <w:szCs w:val="21"/>
    </w:rPr>
  </w:style>
  <w:style w:type="paragraph" w:customStyle="1" w:styleId="263">
    <w:name w:val="！表格内容"/>
    <w:basedOn w:val="1"/>
    <w:qFormat/>
    <w:uiPriority w:val="0"/>
    <w:pPr>
      <w:spacing w:line="320" w:lineRule="atLeast"/>
    </w:pPr>
  </w:style>
  <w:style w:type="character" w:customStyle="1" w:styleId="264">
    <w:name w:val="页眉 Char2"/>
    <w:basedOn w:val="52"/>
    <w:qFormat/>
    <w:uiPriority w:val="99"/>
    <w:rPr>
      <w:rFonts w:ascii="Times New Roman" w:hAnsi="Times New Roman" w:eastAsia="宋体" w:cs="Times New Roman"/>
      <w:sz w:val="18"/>
      <w:szCs w:val="18"/>
    </w:rPr>
  </w:style>
  <w:style w:type="character" w:customStyle="1" w:styleId="265">
    <w:name w:val="页脚 Char1"/>
    <w:basedOn w:val="52"/>
    <w:qFormat/>
    <w:uiPriority w:val="99"/>
    <w:rPr>
      <w:rFonts w:ascii="Times New Roman" w:hAnsi="Times New Roman" w:eastAsia="宋体" w:cs="Times New Roman"/>
      <w:sz w:val="18"/>
      <w:szCs w:val="18"/>
    </w:rPr>
  </w:style>
  <w:style w:type="paragraph" w:customStyle="1" w:styleId="266">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qFormat/>
    <w:uiPriority w:val="99"/>
    <w:rPr>
      <w:rFonts w:ascii="Times New Roman" w:hAnsi="Times New Roman" w:eastAsia="宋体" w:cs="Times New Roman"/>
      <w:szCs w:val="24"/>
    </w:rPr>
  </w:style>
  <w:style w:type="character" w:customStyle="1" w:styleId="268">
    <w:name w:val="文档结构图 Char1"/>
    <w:basedOn w:val="52"/>
    <w:qFormat/>
    <w:uiPriority w:val="0"/>
    <w:rPr>
      <w:rFonts w:ascii="宋体" w:hAnsi="Times New Roman" w:eastAsia="宋体" w:cs="Times New Roman"/>
      <w:sz w:val="18"/>
      <w:szCs w:val="18"/>
    </w:rPr>
  </w:style>
  <w:style w:type="character" w:customStyle="1" w:styleId="269">
    <w:name w:val="批注主题 Char1"/>
    <w:basedOn w:val="107"/>
    <w:qFormat/>
    <w:uiPriority w:val="0"/>
    <w:rPr>
      <w:rFonts w:ascii="Times New Roman" w:hAnsi="Times New Roman" w:eastAsia="宋体" w:cs="Times New Roman"/>
      <w:b/>
      <w:bCs/>
      <w:szCs w:val="24"/>
    </w:rPr>
  </w:style>
  <w:style w:type="character" w:customStyle="1" w:styleId="270">
    <w:name w:val="批注框文本 Char1"/>
    <w:basedOn w:val="52"/>
    <w:qFormat/>
    <w:uiPriority w:val="0"/>
    <w:rPr>
      <w:rFonts w:ascii="Times New Roman" w:hAnsi="Times New Roman" w:eastAsia="宋体" w:cs="Times New Roman"/>
      <w:sz w:val="18"/>
      <w:szCs w:val="18"/>
    </w:rPr>
  </w:style>
  <w:style w:type="character" w:customStyle="1" w:styleId="271">
    <w:name w:val="标题 1 Char1"/>
    <w:basedOn w:val="52"/>
    <w:qFormat/>
    <w:uiPriority w:val="0"/>
    <w:rPr>
      <w:b/>
      <w:bCs/>
      <w:kern w:val="44"/>
      <w:sz w:val="44"/>
      <w:szCs w:val="44"/>
    </w:rPr>
  </w:style>
  <w:style w:type="character" w:customStyle="1" w:styleId="272">
    <w:name w:val="标题 2 Char1"/>
    <w:basedOn w:val="52"/>
    <w:qFormat/>
    <w:uiPriority w:val="0"/>
    <w:rPr>
      <w:rFonts w:asciiTheme="majorHAnsi" w:hAnsiTheme="majorHAnsi" w:eastAsiaTheme="majorEastAsia" w:cstheme="majorBidi"/>
      <w:b/>
      <w:bCs/>
      <w:kern w:val="2"/>
      <w:sz w:val="32"/>
      <w:szCs w:val="32"/>
    </w:rPr>
  </w:style>
  <w:style w:type="character" w:customStyle="1" w:styleId="273">
    <w:name w:val="标题 3 Char1"/>
    <w:basedOn w:val="52"/>
    <w:qFormat/>
    <w:uiPriority w:val="99"/>
    <w:rPr>
      <w:rFonts w:ascii="宋体" w:hAnsi="Arial"/>
      <w:b/>
      <w:kern w:val="2"/>
      <w:sz w:val="28"/>
    </w:rPr>
  </w:style>
  <w:style w:type="character" w:customStyle="1" w:styleId="274">
    <w:name w:val="Char Char3"/>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qFormat/>
    <w:uiPriority w:val="0"/>
    <w:rPr>
      <w:rFonts w:eastAsia="Times New Roman"/>
      <w:sz w:val="24"/>
      <w:szCs w:val="24"/>
    </w:rPr>
  </w:style>
  <w:style w:type="paragraph" w:customStyle="1" w:styleId="276">
    <w:name w:val="正文－段落"/>
    <w:link w:val="275"/>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qFormat/>
    <w:uiPriority w:val="0"/>
    <w:rPr>
      <w:rFonts w:ascii="宋体" w:hAnsi="Courier New"/>
      <w:spacing w:val="-8"/>
      <w:kern w:val="2"/>
      <w:sz w:val="24"/>
    </w:rPr>
  </w:style>
  <w:style w:type="character" w:customStyle="1" w:styleId="278">
    <w:name w:val="日期 Char"/>
    <w:qFormat/>
    <w:uiPriority w:val="0"/>
    <w:rPr>
      <w:rFonts w:ascii="宋体" w:hAnsi="宋体"/>
      <w:sz w:val="24"/>
    </w:rPr>
  </w:style>
  <w:style w:type="character" w:customStyle="1" w:styleId="279">
    <w:name w:val="Char Char9"/>
    <w:qFormat/>
    <w:uiPriority w:val="0"/>
    <w:rPr>
      <w:rFonts w:hint="default" w:ascii="Calibri" w:hAnsi="Calibri" w:eastAsia="宋体"/>
      <w:sz w:val="18"/>
      <w:szCs w:val="18"/>
      <w:lang w:bidi="ar-SA"/>
    </w:rPr>
  </w:style>
  <w:style w:type="character" w:customStyle="1" w:styleId="280">
    <w:name w:val="Char Char17"/>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qFormat/>
    <w:uiPriority w:val="0"/>
    <w:rPr>
      <w:rFonts w:ascii="黑体" w:hAnsi="Courier New" w:eastAsia="黑体" w:cs="Courier New"/>
    </w:rPr>
  </w:style>
  <w:style w:type="character" w:customStyle="1" w:styleId="282">
    <w:name w:val="1.5倍行距 Char Char"/>
    <w:link w:val="283"/>
    <w:qFormat/>
    <w:uiPriority w:val="0"/>
    <w:rPr>
      <w:kern w:val="2"/>
      <w:sz w:val="21"/>
      <w:szCs w:val="24"/>
    </w:rPr>
  </w:style>
  <w:style w:type="paragraph" w:customStyle="1" w:styleId="283">
    <w:name w:val="1.5倍行距"/>
    <w:basedOn w:val="1"/>
    <w:link w:val="282"/>
    <w:qFormat/>
    <w:uiPriority w:val="0"/>
    <w:pPr>
      <w:spacing w:line="360" w:lineRule="auto"/>
      <w:ind w:firstLine="420"/>
    </w:pPr>
  </w:style>
  <w:style w:type="character" w:customStyle="1" w:styleId="284">
    <w:name w:val="H2 Char1"/>
    <w:qFormat/>
    <w:uiPriority w:val="0"/>
    <w:rPr>
      <w:rFonts w:ascii="Cambria" w:hAnsi="Cambria"/>
      <w:b/>
      <w:bCs/>
      <w:sz w:val="32"/>
      <w:szCs w:val="32"/>
    </w:rPr>
  </w:style>
  <w:style w:type="character" w:customStyle="1" w:styleId="285">
    <w:name w:val="Char Char4"/>
    <w:qFormat/>
    <w:uiPriority w:val="0"/>
    <w:rPr>
      <w:rFonts w:hint="default" w:ascii="Calibri" w:hAnsi="Calibri" w:eastAsia="宋体"/>
      <w:kern w:val="2"/>
      <w:sz w:val="21"/>
      <w:szCs w:val="22"/>
      <w:lang w:val="en-US" w:eastAsia="zh-CN" w:bidi="ar-SA"/>
    </w:rPr>
  </w:style>
  <w:style w:type="character" w:customStyle="1" w:styleId="286">
    <w:name w:val="正文文本缩进 2 Char"/>
    <w:qFormat/>
    <w:uiPriority w:val="0"/>
    <w:rPr>
      <w:kern w:val="2"/>
      <w:sz w:val="21"/>
    </w:rPr>
  </w:style>
  <w:style w:type="character" w:customStyle="1" w:styleId="287">
    <w:name w:val="签名 字符"/>
    <w:link w:val="33"/>
    <w:qFormat/>
    <w:uiPriority w:val="0"/>
    <w:rPr>
      <w:rFonts w:eastAsia="楷体_GB2312"/>
      <w:kern w:val="2"/>
      <w:sz w:val="21"/>
    </w:rPr>
  </w:style>
  <w:style w:type="character" w:customStyle="1" w:styleId="288">
    <w:name w:val="标题2 Char"/>
    <w:link w:val="289"/>
    <w:qFormat/>
    <w:uiPriority w:val="0"/>
    <w:rPr>
      <w:rFonts w:ascii="仿宋" w:hAnsi="仿宋" w:eastAsia="仿宋"/>
      <w:b/>
      <w:bCs/>
      <w:color w:val="000000"/>
      <w:kern w:val="2"/>
      <w:sz w:val="24"/>
      <w:szCs w:val="24"/>
    </w:rPr>
  </w:style>
  <w:style w:type="paragraph" w:customStyle="1" w:styleId="289">
    <w:name w:val="标题2"/>
    <w:basedOn w:val="290"/>
    <w:link w:val="288"/>
    <w:qFormat/>
    <w:uiPriority w:val="0"/>
    <w:pPr>
      <w:tabs>
        <w:tab w:val="left" w:pos="425"/>
        <w:tab w:val="left" w:pos="709"/>
        <w:tab w:val="left" w:pos="851"/>
        <w:tab w:val="left" w:pos="1419"/>
      </w:tabs>
    </w:pPr>
    <w:rPr>
      <w:szCs w:val="24"/>
    </w:rPr>
  </w:style>
  <w:style w:type="paragraph" w:customStyle="1" w:styleId="290">
    <w:name w:val="三级"/>
    <w:basedOn w:val="3"/>
    <w:link w:val="291"/>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qFormat/>
    <w:uiPriority w:val="0"/>
    <w:rPr>
      <w:rFonts w:ascii="仿宋" w:hAnsi="仿宋" w:eastAsia="仿宋"/>
      <w:b/>
      <w:bCs/>
      <w:color w:val="000000"/>
      <w:kern w:val="2"/>
      <w:sz w:val="32"/>
      <w:szCs w:val="32"/>
    </w:rPr>
  </w:style>
  <w:style w:type="character" w:customStyle="1" w:styleId="292">
    <w:name w:val="正文文本首行缩进 2 字符"/>
    <w:link w:val="49"/>
    <w:qFormat/>
    <w:uiPriority w:val="0"/>
    <w:rPr>
      <w:sz w:val="24"/>
      <w:szCs w:val="24"/>
    </w:rPr>
  </w:style>
  <w:style w:type="character" w:customStyle="1" w:styleId="293">
    <w:name w:val="正文首行缩进 Char Char Char1"/>
    <w:qFormat/>
    <w:uiPriority w:val="0"/>
    <w:rPr>
      <w:rFonts w:ascii="Times New Roman" w:hAnsi="Times New Roman"/>
      <w:kern w:val="2"/>
      <w:sz w:val="24"/>
      <w:szCs w:val="24"/>
    </w:rPr>
  </w:style>
  <w:style w:type="character" w:customStyle="1" w:styleId="294">
    <w:name w:val="标题 Char1"/>
    <w:qFormat/>
    <w:uiPriority w:val="0"/>
    <w:rPr>
      <w:rFonts w:ascii="Arial" w:hAnsi="Arial"/>
      <w:b/>
      <w:kern w:val="2"/>
      <w:sz w:val="36"/>
      <w:szCs w:val="24"/>
    </w:rPr>
  </w:style>
  <w:style w:type="character" w:customStyle="1" w:styleId="295">
    <w:name w:val="正文文本 字符"/>
    <w:qFormat/>
    <w:uiPriority w:val="0"/>
    <w:rPr>
      <w:rFonts w:eastAsia="宋体"/>
      <w:kern w:val="2"/>
      <w:sz w:val="21"/>
      <w:szCs w:val="24"/>
      <w:lang w:bidi="ar-SA"/>
    </w:rPr>
  </w:style>
  <w:style w:type="character" w:customStyle="1" w:styleId="296">
    <w:name w:val="正文文本缩进 Char"/>
    <w:qFormat/>
    <w:uiPriority w:val="0"/>
    <w:rPr>
      <w:kern w:val="2"/>
      <w:sz w:val="24"/>
    </w:rPr>
  </w:style>
  <w:style w:type="character" w:customStyle="1" w:styleId="297">
    <w:name w:val="题注 字符"/>
    <w:link w:val="15"/>
    <w:qFormat/>
    <w:uiPriority w:val="0"/>
    <w:rPr>
      <w:rFonts w:ascii="Cambria" w:hAnsi="Cambria" w:eastAsia="黑体"/>
      <w:kern w:val="2"/>
      <w:sz w:val="21"/>
      <w:szCs w:val="24"/>
    </w:rPr>
  </w:style>
  <w:style w:type="character" w:customStyle="1" w:styleId="298">
    <w:name w:val="bt Char1"/>
    <w:qFormat/>
    <w:uiPriority w:val="0"/>
    <w:rPr>
      <w:rFonts w:ascii="Times New Roman" w:hAnsi="Times New Roman"/>
      <w:kern w:val="2"/>
      <w:sz w:val="24"/>
      <w:szCs w:val="24"/>
    </w:rPr>
  </w:style>
  <w:style w:type="character" w:customStyle="1" w:styleId="299">
    <w:name w:val="Char Char18"/>
    <w:qFormat/>
    <w:uiPriority w:val="0"/>
    <w:rPr>
      <w:rFonts w:hint="default" w:ascii="Cambria" w:hAnsi="Cambria" w:eastAsia="宋体"/>
      <w:b/>
      <w:bCs/>
      <w:sz w:val="32"/>
      <w:szCs w:val="32"/>
      <w:lang w:bidi="ar-SA"/>
    </w:rPr>
  </w:style>
  <w:style w:type="character" w:customStyle="1" w:styleId="300">
    <w:name w:val="四级 Char"/>
    <w:link w:val="301"/>
    <w:qFormat/>
    <w:uiPriority w:val="0"/>
    <w:rPr>
      <w:rFonts w:ascii="仿宋" w:hAnsi="仿宋" w:eastAsia="仿宋"/>
      <w:bCs/>
      <w:kern w:val="2"/>
      <w:sz w:val="32"/>
      <w:szCs w:val="32"/>
    </w:rPr>
  </w:style>
  <w:style w:type="paragraph" w:customStyle="1" w:styleId="301">
    <w:name w:val="四级"/>
    <w:basedOn w:val="5"/>
    <w:link w:val="300"/>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qFormat/>
    <w:uiPriority w:val="0"/>
    <w:rPr>
      <w:sz w:val="21"/>
      <w:szCs w:val="21"/>
    </w:rPr>
  </w:style>
  <w:style w:type="character" w:customStyle="1" w:styleId="304">
    <w:name w:val="正文文本缩进 3 Char"/>
    <w:qFormat/>
    <w:uiPriority w:val="0"/>
    <w:rPr>
      <w:kern w:val="2"/>
      <w:sz w:val="21"/>
    </w:rPr>
  </w:style>
  <w:style w:type="character" w:customStyle="1" w:styleId="305">
    <w:name w:val="Char Char13"/>
    <w:qFormat/>
    <w:uiPriority w:val="0"/>
    <w:rPr>
      <w:rFonts w:ascii="Cambria" w:hAnsi="Cambria" w:eastAsia="宋体"/>
      <w:sz w:val="24"/>
      <w:szCs w:val="24"/>
      <w:lang w:bidi="ar-SA"/>
    </w:rPr>
  </w:style>
  <w:style w:type="character" w:customStyle="1" w:styleId="306">
    <w:name w:val="正文文本 2 字符"/>
    <w:link w:val="43"/>
    <w:qFormat/>
    <w:uiPriority w:val="0"/>
    <w:rPr>
      <w:kern w:val="2"/>
      <w:sz w:val="28"/>
    </w:rPr>
  </w:style>
  <w:style w:type="character" w:customStyle="1" w:styleId="307">
    <w:name w:val="Char Char5"/>
    <w:qFormat/>
    <w:uiPriority w:val="0"/>
    <w:rPr>
      <w:rFonts w:ascii="宋体" w:hAnsi="宋体" w:eastAsia="宋体"/>
      <w:b/>
      <w:bCs/>
      <w:szCs w:val="24"/>
      <w:lang w:bidi="ar-SA"/>
    </w:rPr>
  </w:style>
  <w:style w:type="character" w:customStyle="1" w:styleId="308">
    <w:name w:val="正文文本 2 Char"/>
    <w:qFormat/>
    <w:uiPriority w:val="0"/>
    <w:rPr>
      <w:kern w:val="2"/>
      <w:sz w:val="28"/>
    </w:rPr>
  </w:style>
  <w:style w:type="character" w:customStyle="1" w:styleId="309">
    <w:name w:val="Char Char6"/>
    <w:qFormat/>
    <w:uiPriority w:val="0"/>
    <w:rPr>
      <w:rFonts w:ascii="宋体" w:hAnsi="宋体" w:eastAsia="宋体"/>
      <w:szCs w:val="24"/>
      <w:lang w:bidi="ar-SA"/>
    </w:rPr>
  </w:style>
  <w:style w:type="character" w:customStyle="1" w:styleId="310">
    <w:name w:val="Char Char15"/>
    <w:qFormat/>
    <w:uiPriority w:val="0"/>
    <w:rPr>
      <w:rFonts w:hint="default" w:ascii="Cambria" w:hAnsi="Cambria" w:eastAsia="宋体"/>
      <w:b/>
      <w:bCs/>
      <w:sz w:val="24"/>
      <w:szCs w:val="24"/>
      <w:lang w:bidi="ar-SA"/>
    </w:rPr>
  </w:style>
  <w:style w:type="character" w:customStyle="1" w:styleId="311">
    <w:name w:val="H4 Char"/>
    <w:qFormat/>
    <w:uiPriority w:val="0"/>
    <w:rPr>
      <w:rFonts w:ascii="Cambria" w:hAnsi="Cambria" w:eastAsia="仿宋_GB2312"/>
      <w:b/>
      <w:bCs/>
      <w:sz w:val="32"/>
      <w:szCs w:val="28"/>
    </w:rPr>
  </w:style>
  <w:style w:type="character" w:customStyle="1" w:styleId="312">
    <w:name w:val="Char Char20"/>
    <w:qFormat/>
    <w:uiPriority w:val="0"/>
    <w:rPr>
      <w:rFonts w:eastAsia="宋体"/>
      <w:b/>
      <w:kern w:val="2"/>
      <w:sz w:val="28"/>
      <w:lang w:bidi="ar-SA"/>
    </w:rPr>
  </w:style>
  <w:style w:type="character" w:customStyle="1" w:styleId="313">
    <w:name w:val="正文文本缩进 3 字符"/>
    <w:link w:val="40"/>
    <w:qFormat/>
    <w:uiPriority w:val="0"/>
    <w:rPr>
      <w:kern w:val="2"/>
      <w:sz w:val="21"/>
    </w:rPr>
  </w:style>
  <w:style w:type="character" w:customStyle="1" w:styleId="314">
    <w:name w:val="Char Char16"/>
    <w:qFormat/>
    <w:uiPriority w:val="0"/>
    <w:rPr>
      <w:rFonts w:hint="eastAsia" w:ascii="仿宋_GB2313" w:hAnsi="仿宋_GB2313" w:eastAsia="仿宋_GB2312"/>
      <w:b/>
      <w:bCs/>
      <w:sz w:val="32"/>
      <w:szCs w:val="28"/>
      <w:lang w:bidi="ar-SA"/>
    </w:rPr>
  </w:style>
  <w:style w:type="character" w:customStyle="1" w:styleId="315">
    <w:name w:val="Char Char7"/>
    <w:qFormat/>
    <w:uiPriority w:val="0"/>
    <w:rPr>
      <w:rFonts w:ascii="宋体" w:hAnsi="宋体" w:eastAsia="宋体"/>
      <w:sz w:val="24"/>
      <w:szCs w:val="24"/>
      <w:lang w:bidi="ar-SA"/>
    </w:rPr>
  </w:style>
  <w:style w:type="character" w:customStyle="1" w:styleId="316">
    <w:name w:val="日期 字符"/>
    <w:link w:val="28"/>
    <w:qFormat/>
    <w:uiPriority w:val="0"/>
    <w:rPr>
      <w:rFonts w:ascii="宋体" w:hAnsi="宋体"/>
      <w:kern w:val="2"/>
      <w:sz w:val="24"/>
      <w:szCs w:val="24"/>
    </w:rPr>
  </w:style>
  <w:style w:type="character" w:customStyle="1" w:styleId="317">
    <w:name w:val="Char Char12"/>
    <w:qFormat/>
    <w:uiPriority w:val="0"/>
    <w:rPr>
      <w:rFonts w:hint="default" w:ascii="Cambria" w:hAnsi="Cambria" w:eastAsia="宋体"/>
      <w:szCs w:val="21"/>
      <w:lang w:bidi="ar-SA"/>
    </w:rPr>
  </w:style>
  <w:style w:type="character" w:customStyle="1" w:styleId="318">
    <w:name w:val="标题 4 Char"/>
    <w:qFormat/>
    <w:uiPriority w:val="0"/>
    <w:rPr>
      <w:rFonts w:ascii="Arial" w:hAnsi="Arial" w:eastAsia="黑体"/>
      <w:b/>
      <w:kern w:val="2"/>
      <w:sz w:val="24"/>
    </w:rPr>
  </w:style>
  <w:style w:type="character" w:customStyle="1" w:styleId="319">
    <w:name w:val="Char Char2"/>
    <w:qFormat/>
    <w:uiPriority w:val="0"/>
    <w:rPr>
      <w:rFonts w:ascii="宋体" w:hAnsi="宋体" w:eastAsia="宋体"/>
      <w:kern w:val="2"/>
      <w:sz w:val="24"/>
      <w:szCs w:val="24"/>
      <w:lang w:val="en-US" w:eastAsia="zh-CN" w:bidi="ar-SA"/>
    </w:rPr>
  </w:style>
  <w:style w:type="character" w:customStyle="1" w:styleId="320">
    <w:name w:val="*正文 Char"/>
    <w:link w:val="321"/>
    <w:qFormat/>
    <w:uiPriority w:val="0"/>
    <w:rPr>
      <w:rFonts w:ascii="宋体" w:hAnsi="宋体"/>
      <w:sz w:val="24"/>
      <w:szCs w:val="24"/>
    </w:rPr>
  </w:style>
  <w:style w:type="paragraph" w:customStyle="1" w:styleId="321">
    <w:name w:val="*正文"/>
    <w:basedOn w:val="1"/>
    <w:link w:val="320"/>
    <w:qFormat/>
    <w:uiPriority w:val="0"/>
    <w:pPr>
      <w:spacing w:line="360" w:lineRule="auto"/>
      <w:ind w:firstLine="200" w:firstLineChars="200"/>
    </w:pPr>
    <w:rPr>
      <w:rFonts w:ascii="宋体" w:hAnsi="宋体"/>
      <w:kern w:val="0"/>
      <w:sz w:val="24"/>
    </w:rPr>
  </w:style>
  <w:style w:type="character" w:customStyle="1" w:styleId="322">
    <w:name w:val="页脚 字符1"/>
    <w:qFormat/>
    <w:uiPriority w:val="0"/>
    <w:rPr>
      <w:rFonts w:eastAsia="宋体"/>
      <w:kern w:val="2"/>
      <w:sz w:val="18"/>
      <w:lang w:bidi="ar-SA"/>
    </w:rPr>
  </w:style>
  <w:style w:type="character" w:customStyle="1" w:styleId="323">
    <w:name w:val="GP正文[858D7CFB-ED40-4347-BF05-701D383B685F]"/>
    <w:link w:val="324"/>
    <w:qFormat/>
    <w:uiPriority w:val="0"/>
    <w:rPr>
      <w:rFonts w:ascii="宋体" w:hAnsi="宋体"/>
      <w:kern w:val="2"/>
      <w:sz w:val="24"/>
      <w:szCs w:val="24"/>
    </w:rPr>
  </w:style>
  <w:style w:type="paragraph" w:customStyle="1" w:styleId="324">
    <w:name w:val="GP正文"/>
    <w:basedOn w:val="1"/>
    <w:link w:val="323"/>
    <w:qFormat/>
    <w:uiPriority w:val="0"/>
    <w:pPr>
      <w:spacing w:line="360" w:lineRule="auto"/>
      <w:ind w:firstLine="200" w:firstLineChars="200"/>
      <w:jc w:val="left"/>
    </w:pPr>
    <w:rPr>
      <w:rFonts w:ascii="宋体" w:hAnsi="宋体"/>
      <w:sz w:val="24"/>
    </w:rPr>
  </w:style>
  <w:style w:type="character" w:customStyle="1" w:styleId="325">
    <w:name w:val="Char Char14"/>
    <w:qFormat/>
    <w:uiPriority w:val="0"/>
    <w:rPr>
      <w:rFonts w:ascii="Calibri" w:hAnsi="Calibri" w:eastAsia="宋体"/>
      <w:b/>
      <w:bCs/>
      <w:sz w:val="24"/>
      <w:szCs w:val="24"/>
      <w:lang w:bidi="ar-SA"/>
    </w:rPr>
  </w:style>
  <w:style w:type="character" w:customStyle="1" w:styleId="326">
    <w:name w:val="Char Char19"/>
    <w:qFormat/>
    <w:uiPriority w:val="0"/>
    <w:rPr>
      <w:rFonts w:ascii="Arial" w:hAnsi="Arial" w:eastAsia="黑体"/>
      <w:b/>
      <w:kern w:val="2"/>
      <w:sz w:val="24"/>
      <w:lang w:bidi="ar-SA"/>
    </w:rPr>
  </w:style>
  <w:style w:type="character" w:customStyle="1" w:styleId="327">
    <w:name w:val="正文文本 Char1"/>
    <w:qFormat/>
    <w:uiPriority w:val="0"/>
    <w:rPr>
      <w:kern w:val="2"/>
      <w:sz w:val="21"/>
      <w:szCs w:val="24"/>
    </w:rPr>
  </w:style>
  <w:style w:type="character" w:customStyle="1" w:styleId="328">
    <w:name w:val="二级 Char"/>
    <w:link w:val="329"/>
    <w:qFormat/>
    <w:uiPriority w:val="0"/>
    <w:rPr>
      <w:rFonts w:ascii="仿宋" w:hAnsi="仿宋" w:eastAsia="仿宋"/>
      <w:b/>
      <w:bCs/>
      <w:spacing w:val="24"/>
      <w:kern w:val="2"/>
      <w:sz w:val="32"/>
      <w:szCs w:val="32"/>
    </w:rPr>
  </w:style>
  <w:style w:type="paragraph" w:customStyle="1" w:styleId="329">
    <w:name w:val="二级"/>
    <w:basedOn w:val="4"/>
    <w:link w:val="328"/>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qFormat/>
    <w:uiPriority w:val="0"/>
    <w:rPr>
      <w:rFonts w:eastAsia="楷体_GB2312"/>
      <w:kern w:val="2"/>
      <w:sz w:val="21"/>
    </w:rPr>
  </w:style>
  <w:style w:type="character" w:customStyle="1" w:styleId="331">
    <w:name w:val="Char Char"/>
    <w:qFormat/>
    <w:uiPriority w:val="0"/>
    <w:rPr>
      <w:rFonts w:hint="eastAsia" w:ascii="宋体" w:hAnsi="Courier New" w:eastAsia="宋体"/>
      <w:spacing w:val="-8"/>
      <w:kern w:val="2"/>
      <w:sz w:val="24"/>
      <w:lang w:val="en-US" w:eastAsia="zh-CN" w:bidi="ar-SA"/>
    </w:rPr>
  </w:style>
  <w:style w:type="character" w:customStyle="1" w:styleId="332">
    <w:name w:val="Char Char11"/>
    <w:qFormat/>
    <w:uiPriority w:val="0"/>
    <w:rPr>
      <w:rFonts w:hint="default" w:ascii="Calibri" w:hAnsi="Calibri" w:eastAsia="宋体"/>
      <w:sz w:val="18"/>
      <w:szCs w:val="18"/>
      <w:lang w:bidi="ar-SA"/>
    </w:rPr>
  </w:style>
  <w:style w:type="character" w:customStyle="1" w:styleId="333">
    <w:name w:val="页眉 字符1"/>
    <w:qFormat/>
    <w:uiPriority w:val="0"/>
    <w:rPr>
      <w:rFonts w:eastAsia="宋体"/>
      <w:kern w:val="2"/>
      <w:sz w:val="18"/>
      <w:szCs w:val="18"/>
      <w:lang w:bidi="ar-SA"/>
    </w:rPr>
  </w:style>
  <w:style w:type="character" w:customStyle="1" w:styleId="334">
    <w:name w:val="正文首行缩进 Char1"/>
    <w:qFormat/>
    <w:uiPriority w:val="0"/>
    <w:rPr>
      <w:kern w:val="2"/>
      <w:sz w:val="21"/>
    </w:rPr>
  </w:style>
  <w:style w:type="character" w:customStyle="1" w:styleId="335">
    <w:name w:val="页眉 Char1"/>
    <w:qFormat/>
    <w:uiPriority w:val="0"/>
    <w:rPr>
      <w:rFonts w:eastAsia="宋体"/>
      <w:kern w:val="2"/>
      <w:sz w:val="18"/>
      <w:szCs w:val="18"/>
      <w:lang w:val="en-US" w:eastAsia="zh-CN" w:bidi="ar-SA"/>
    </w:rPr>
  </w:style>
  <w:style w:type="character" w:customStyle="1" w:styleId="336">
    <w:name w:val="题注 Char"/>
    <w:qFormat/>
    <w:uiPriority w:val="0"/>
    <w:rPr>
      <w:rFonts w:ascii="Cambria" w:hAnsi="Cambria" w:eastAsia="黑体"/>
      <w:kern w:val="2"/>
      <w:lang w:bidi="ar-SA"/>
    </w:rPr>
  </w:style>
  <w:style w:type="character" w:customStyle="1" w:styleId="337">
    <w:name w:val="样式 标题 3 + 小四 Char"/>
    <w:qFormat/>
    <w:uiPriority w:val="0"/>
    <w:rPr>
      <w:rFonts w:ascii="宋体" w:hAnsi="宋体" w:cs="Arial"/>
      <w:b/>
      <w:bCs/>
      <w:smallCaps/>
      <w:sz w:val="24"/>
      <w:lang w:val="en-US" w:eastAsia="zh-CN"/>
    </w:rPr>
  </w:style>
  <w:style w:type="character" w:customStyle="1" w:styleId="338">
    <w:name w:val="unnamed21"/>
    <w:qFormat/>
    <w:uiPriority w:val="0"/>
    <w:rPr>
      <w:color w:val="CC6633"/>
      <w:u w:val="none"/>
    </w:rPr>
  </w:style>
  <w:style w:type="character" w:customStyle="1" w:styleId="339">
    <w:name w:val="16"/>
    <w:qFormat/>
    <w:uiPriority w:val="0"/>
    <w:rPr>
      <w:rFonts w:hint="eastAsia" w:ascii="宋体" w:hAnsi="宋体" w:eastAsia="宋体" w:cs="Arial"/>
      <w:b/>
      <w:bCs/>
      <w:smallCaps/>
      <w:kern w:val="2"/>
      <w:sz w:val="24"/>
      <w:szCs w:val="24"/>
    </w:rPr>
  </w:style>
  <w:style w:type="character" w:customStyle="1" w:styleId="340">
    <w:name w:val="正文文本缩进 字符"/>
    <w:qFormat/>
    <w:uiPriority w:val="0"/>
    <w:rPr>
      <w:rFonts w:eastAsia="宋体"/>
      <w:kern w:val="2"/>
      <w:sz w:val="24"/>
      <w:lang w:bidi="ar-SA"/>
    </w:rPr>
  </w:style>
  <w:style w:type="character" w:customStyle="1" w:styleId="341">
    <w:name w:val="Char Char8"/>
    <w:qFormat/>
    <w:uiPriority w:val="0"/>
    <w:rPr>
      <w:rFonts w:hint="default" w:ascii="Calibri" w:hAnsi="Calibri" w:eastAsia="宋体"/>
      <w:kern w:val="2"/>
      <w:sz w:val="21"/>
      <w:szCs w:val="22"/>
      <w:lang w:val="en-US" w:eastAsia="zh-CN" w:bidi="ar-SA"/>
    </w:rPr>
  </w:style>
  <w:style w:type="character" w:customStyle="1" w:styleId="342">
    <w:name w:val="H3 Char1"/>
    <w:qFormat/>
    <w:uiPriority w:val="0"/>
    <w:rPr>
      <w:rFonts w:ascii="仿宋_GB2312" w:eastAsia="仿宋_GB2312"/>
      <w:b/>
      <w:bCs/>
      <w:color w:val="000000"/>
      <w:kern w:val="2"/>
      <w:sz w:val="32"/>
      <w:szCs w:val="32"/>
    </w:rPr>
  </w:style>
  <w:style w:type="character" w:customStyle="1" w:styleId="343">
    <w:name w:val="Char Char1"/>
    <w:qFormat/>
    <w:uiPriority w:val="0"/>
    <w:rPr>
      <w:rFonts w:hint="eastAsia" w:ascii="宋体" w:hAnsi="宋体" w:eastAsia="宋体"/>
      <w:kern w:val="2"/>
      <w:sz w:val="21"/>
      <w:szCs w:val="24"/>
      <w:lang w:val="en-US" w:eastAsia="zh-CN" w:bidi="ar-SA"/>
    </w:rPr>
  </w:style>
  <w:style w:type="character" w:customStyle="1" w:styleId="344">
    <w:name w:val="Char Char10"/>
    <w:qFormat/>
    <w:uiPriority w:val="0"/>
    <w:rPr>
      <w:rFonts w:eastAsia="宋体"/>
      <w:kern w:val="2"/>
      <w:sz w:val="18"/>
      <w:szCs w:val="18"/>
      <w:lang w:val="en-US" w:eastAsia="zh-CN" w:bidi="ar-SA"/>
    </w:rPr>
  </w:style>
  <w:style w:type="character" w:customStyle="1" w:styleId="345">
    <w:name w:val="文档正文 Char"/>
    <w:link w:val="346"/>
    <w:qFormat/>
    <w:uiPriority w:val="0"/>
    <w:rPr>
      <w:rFonts w:ascii="Arial" w:hAnsi="Arial" w:cs="Arial"/>
      <w:bCs/>
      <w:kern w:val="2"/>
      <w:sz w:val="24"/>
      <w:szCs w:val="24"/>
    </w:rPr>
  </w:style>
  <w:style w:type="paragraph" w:customStyle="1" w:styleId="346">
    <w:name w:val="文档正文"/>
    <w:basedOn w:val="1"/>
    <w:link w:val="345"/>
    <w:qFormat/>
    <w:uiPriority w:val="0"/>
    <w:rPr>
      <w:rFonts w:ascii="Arial" w:hAnsi="Arial" w:cs="Arial"/>
      <w:bCs/>
      <w:sz w:val="24"/>
    </w:rPr>
  </w:style>
  <w:style w:type="character" w:customStyle="1" w:styleId="347">
    <w:name w:val="正文文本 2 Char2"/>
    <w:basedOn w:val="52"/>
    <w:semiHidden/>
    <w:qFormat/>
    <w:uiPriority w:val="0"/>
    <w:rPr>
      <w:kern w:val="2"/>
      <w:sz w:val="21"/>
      <w:szCs w:val="24"/>
    </w:rPr>
  </w:style>
  <w:style w:type="character" w:customStyle="1" w:styleId="348">
    <w:name w:val="标题 字符1"/>
    <w:basedOn w:val="52"/>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qFormat/>
    <w:uiPriority w:val="0"/>
    <w:rPr>
      <w:kern w:val="2"/>
      <w:sz w:val="21"/>
      <w:szCs w:val="24"/>
    </w:rPr>
  </w:style>
  <w:style w:type="character" w:customStyle="1" w:styleId="350">
    <w:name w:val="签名 Char2"/>
    <w:basedOn w:val="52"/>
    <w:semiHidden/>
    <w:qFormat/>
    <w:uiPriority w:val="0"/>
    <w:rPr>
      <w:kern w:val="2"/>
      <w:sz w:val="21"/>
      <w:szCs w:val="24"/>
    </w:rPr>
  </w:style>
  <w:style w:type="character" w:customStyle="1" w:styleId="351">
    <w:name w:val="正文文本缩进 3 Char2"/>
    <w:basedOn w:val="52"/>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qFormat/>
    <w:uiPriority w:val="0"/>
    <w:pPr>
      <w:widowControl/>
      <w:jc w:val="center"/>
    </w:pPr>
    <w:rPr>
      <w:rFonts w:ascii="Arial" w:hAnsi="Arial"/>
      <w:b/>
      <w:kern w:val="0"/>
      <w:sz w:val="18"/>
      <w:szCs w:val="20"/>
    </w:rPr>
  </w:style>
  <w:style w:type="paragraph" w:customStyle="1" w:styleId="359">
    <w:name w:val="4"/>
    <w:basedOn w:val="1"/>
    <w:next w:val="1"/>
    <w:qFormat/>
    <w:uiPriority w:val="0"/>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qFormat/>
    <w:uiPriority w:val="0"/>
    <w:pPr>
      <w:spacing w:line="360" w:lineRule="auto"/>
      <w:ind w:firstLine="200" w:firstLineChars="200"/>
    </w:pPr>
    <w:rPr>
      <w:szCs w:val="20"/>
    </w:rPr>
  </w:style>
  <w:style w:type="paragraph" w:customStyle="1" w:styleId="362">
    <w:name w:val="样式 标题 5H5dashdsddh5PIM 5口一heading 5Titre5Table label...3"/>
    <w:basedOn w:val="6"/>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qFormat/>
    <w:uiPriority w:val="0"/>
    <w:pPr>
      <w:tabs>
        <w:tab w:val="right" w:leader="dot" w:pos="9458"/>
      </w:tabs>
    </w:pPr>
    <w:rPr>
      <w:rFonts w:ascii="Arial" w:cs="Arial"/>
      <w:i/>
    </w:rPr>
  </w:style>
  <w:style w:type="paragraph" w:customStyle="1" w:styleId="36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qFormat/>
    <w:uiPriority w:val="0"/>
    <w:pPr>
      <w:keepLines/>
      <w:widowControl/>
      <w:spacing w:beforeLines="50" w:afterLines="50" w:line="300" w:lineRule="auto"/>
    </w:pPr>
    <w:rPr>
      <w:rFonts w:ascii="Arial" w:hAnsi="Arial"/>
      <w:bCs/>
    </w:rPr>
  </w:style>
  <w:style w:type="paragraph" w:customStyle="1" w:styleId="367">
    <w:name w:val="样式5"/>
    <w:basedOn w:val="368"/>
    <w:next w:val="368"/>
    <w:qFormat/>
    <w:uiPriority w:val="0"/>
    <w:pPr>
      <w:tabs>
        <w:tab w:val="right" w:leader="dot" w:pos="9458"/>
      </w:tabs>
    </w:pPr>
  </w:style>
  <w:style w:type="paragraph" w:customStyle="1" w:styleId="368">
    <w:name w:val="样式4"/>
    <w:basedOn w:val="34"/>
    <w:qFormat/>
    <w:uiPriority w:val="0"/>
    <w:pPr>
      <w:tabs>
        <w:tab w:val="right" w:leader="dot" w:pos="9458"/>
      </w:tabs>
    </w:pPr>
    <w:rPr>
      <w:b w:val="0"/>
    </w:rPr>
  </w:style>
  <w:style w:type="paragraph" w:customStyle="1" w:styleId="369">
    <w:name w:val="TOC 标题1"/>
    <w:basedOn w:val="2"/>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qFormat/>
    <w:uiPriority w:val="0"/>
    <w:pPr>
      <w:widowControl/>
      <w:jc w:val="center"/>
    </w:pPr>
    <w:rPr>
      <w:rFonts w:ascii="Arial" w:hAnsi="Arial"/>
      <w:snapToGrid w:val="0"/>
      <w:kern w:val="0"/>
      <w:sz w:val="18"/>
      <w:szCs w:val="20"/>
    </w:rPr>
  </w:style>
  <w:style w:type="paragraph" w:customStyle="1" w:styleId="3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qFormat/>
    <w:uiPriority w:val="0"/>
    <w:pPr>
      <w:ind w:firstLine="567"/>
    </w:pPr>
    <w:rPr>
      <w:spacing w:val="20"/>
      <w:sz w:val="24"/>
      <w:szCs w:val="20"/>
    </w:rPr>
  </w:style>
  <w:style w:type="paragraph" w:customStyle="1" w:styleId="385">
    <w:name w:val="_正文"/>
    <w:basedOn w:val="1"/>
    <w:qFormat/>
    <w:uiPriority w:val="99"/>
    <w:pPr>
      <w:spacing w:line="360" w:lineRule="auto"/>
      <w:ind w:firstLine="200" w:firstLineChars="200"/>
    </w:pPr>
    <w:rPr>
      <w:rFonts w:ascii="宋体" w:hAnsi="宋体"/>
      <w:sz w:val="24"/>
    </w:rPr>
  </w:style>
  <w:style w:type="paragraph" w:customStyle="1" w:styleId="386">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qFormat/>
    <w:uiPriority w:val="0"/>
    <w:pPr>
      <w:ind w:firstLine="420" w:firstLineChars="200"/>
    </w:pPr>
    <w:rPr>
      <w:rFonts w:ascii="仿宋_GB2312" w:eastAsia="仿宋_GB2312" w:cs="宋体"/>
      <w:spacing w:val="6"/>
      <w:sz w:val="30"/>
      <w:szCs w:val="30"/>
    </w:rPr>
  </w:style>
  <w:style w:type="paragraph" w:customStyle="1" w:styleId="388">
    <w:name w:val="_Style 15"/>
    <w:basedOn w:val="1"/>
    <w:qFormat/>
    <w:uiPriority w:val="0"/>
  </w:style>
  <w:style w:type="paragraph" w:customStyle="1" w:styleId="38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5"/>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qFormat/>
    <w:uiPriority w:val="0"/>
    <w:pPr>
      <w:ind w:left="572" w:right="32" w:firstLine="478"/>
    </w:pPr>
    <w:rPr>
      <w:szCs w:val="21"/>
    </w:rPr>
  </w:style>
  <w:style w:type="paragraph" w:customStyle="1" w:styleId="397">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qFormat/>
    <w:uiPriority w:val="0"/>
    <w:pPr>
      <w:spacing w:line="360" w:lineRule="auto"/>
      <w:ind w:hanging="420"/>
      <w:jc w:val="center"/>
    </w:pPr>
    <w:rPr>
      <w:sz w:val="24"/>
      <w:szCs w:val="20"/>
    </w:rPr>
  </w:style>
  <w:style w:type="paragraph" w:customStyle="1" w:styleId="40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qFormat/>
    <w:uiPriority w:val="0"/>
  </w:style>
  <w:style w:type="paragraph" w:customStyle="1" w:styleId="4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qFormat/>
    <w:uiPriority w:val="0"/>
  </w:style>
  <w:style w:type="paragraph" w:customStyle="1" w:styleId="4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qFormat/>
    <w:uiPriority w:val="0"/>
    <w:pPr>
      <w:tabs>
        <w:tab w:val="right" w:leader="dot" w:pos="9458"/>
      </w:tabs>
    </w:pPr>
    <w:rPr>
      <w:i/>
    </w:rPr>
  </w:style>
  <w:style w:type="paragraph" w:customStyle="1" w:styleId="407">
    <w:name w:val="msolistparagraph"/>
    <w:basedOn w:val="1"/>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qFormat/>
    <w:uiPriority w:val="0"/>
    <w:rPr>
      <w:rFonts w:ascii="Arial" w:hAnsi="Arial"/>
      <w:spacing w:val="-12"/>
      <w:szCs w:val="20"/>
    </w:rPr>
  </w:style>
  <w:style w:type="paragraph" w:customStyle="1" w:styleId="4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qFormat/>
    <w:uiPriority w:val="0"/>
    <w:rPr>
      <w:rFonts w:ascii="Times New Roman" w:hAnsi="Times New Roman" w:eastAsia="宋体" w:cs="Times New Roman"/>
      <w:lang w:val="en-US" w:eastAsia="zh-CN" w:bidi="ar-SA"/>
    </w:rPr>
  </w:style>
  <w:style w:type="paragraph" w:customStyle="1" w:styleId="41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qFormat/>
    <w:uiPriority w:val="0"/>
  </w:style>
  <w:style w:type="paragraph" w:customStyle="1" w:styleId="41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qFormat/>
    <w:uiPriority w:val="0"/>
    <w:pPr>
      <w:spacing w:before="120" w:after="120"/>
    </w:pPr>
    <w:rPr>
      <w:rFonts w:ascii="宋体"/>
      <w:b/>
      <w:sz w:val="28"/>
    </w:rPr>
  </w:style>
  <w:style w:type="paragraph" w:customStyle="1" w:styleId="42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表段落 字符1"/>
    <w:link w:val="455"/>
    <w:qFormat/>
    <w:uiPriority w:val="34"/>
    <w:rPr>
      <w:kern w:val="2"/>
      <w:sz w:val="21"/>
      <w:szCs w:val="24"/>
    </w:rPr>
  </w:style>
  <w:style w:type="paragraph" w:styleId="455">
    <w:name w:val="List Paragraph"/>
    <w:basedOn w:val="1"/>
    <w:link w:val="454"/>
    <w:qFormat/>
    <w:uiPriority w:val="34"/>
    <w:pPr>
      <w:ind w:firstLine="420" w:firstLineChars="200"/>
    </w:pPr>
  </w:style>
  <w:style w:type="paragraph" w:customStyle="1" w:styleId="456">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字符"/>
    <w:basedOn w:val="52"/>
    <w:link w:val="19"/>
    <w:qFormat/>
    <w:uiPriority w:val="0"/>
    <w:rPr>
      <w:kern w:val="2"/>
      <w:sz w:val="16"/>
      <w:szCs w:val="16"/>
    </w:rPr>
  </w:style>
  <w:style w:type="character" w:customStyle="1" w:styleId="459">
    <w:name w:val="content"/>
    <w:basedOn w:val="52"/>
    <w:qFormat/>
    <w:uiPriority w:val="0"/>
  </w:style>
  <w:style w:type="character" w:customStyle="1" w:styleId="460">
    <w:name w:val="ca-3"/>
    <w:basedOn w:val="52"/>
    <w:qFormat/>
    <w:uiPriority w:val="0"/>
  </w:style>
  <w:style w:type="character" w:customStyle="1" w:styleId="461">
    <w:name w:val="textcontents1"/>
    <w:qFormat/>
    <w:uiPriority w:val="0"/>
    <w:rPr>
      <w:rFonts w:hint="default" w:ascii="ˎ̥" w:hAnsi="ˎ̥"/>
      <w:sz w:val="21"/>
      <w:szCs w:val="21"/>
    </w:rPr>
  </w:style>
  <w:style w:type="character" w:customStyle="1" w:styleId="462">
    <w:name w:val="脚注文本 Char1"/>
    <w:qFormat/>
    <w:uiPriority w:val="0"/>
    <w:rPr>
      <w:kern w:val="2"/>
      <w:sz w:val="18"/>
      <w:szCs w:val="18"/>
    </w:rPr>
  </w:style>
  <w:style w:type="character" w:customStyle="1" w:styleId="463">
    <w:name w:val="脚注文本 字符"/>
    <w:link w:val="38"/>
    <w:qFormat/>
    <w:uiPriority w:val="0"/>
    <w:rPr>
      <w:kern w:val="2"/>
      <w:sz w:val="18"/>
      <w:szCs w:val="18"/>
    </w:rPr>
  </w:style>
  <w:style w:type="character" w:customStyle="1" w:styleId="464">
    <w:name w:val="正文首行缩进（绿盟科技） Char"/>
    <w:link w:val="465"/>
    <w:qFormat/>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qFormat/>
    <w:uiPriority w:val="0"/>
  </w:style>
  <w:style w:type="character" w:customStyle="1" w:styleId="470">
    <w:name w:val="apple-style-span"/>
    <w:basedOn w:val="52"/>
    <w:qFormat/>
    <w:uiPriority w:val="0"/>
  </w:style>
  <w:style w:type="paragraph" w:customStyle="1" w:styleId="471">
    <w:name w:val="缺省文本"/>
    <w:basedOn w:val="1"/>
    <w:qFormat/>
    <w:uiPriority w:val="0"/>
    <w:pPr>
      <w:autoSpaceDE w:val="0"/>
      <w:autoSpaceDN w:val="0"/>
      <w:adjustRightInd w:val="0"/>
      <w:jc w:val="left"/>
    </w:pPr>
    <w:rPr>
      <w:kern w:val="0"/>
      <w:sz w:val="24"/>
    </w:rPr>
  </w:style>
  <w:style w:type="paragraph" w:customStyle="1" w:styleId="472">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qFormat/>
    <w:uiPriority w:val="0"/>
    <w:rPr>
      <w:rFonts w:ascii="宋体" w:hAnsi="Courier New"/>
      <w:szCs w:val="20"/>
    </w:rPr>
  </w:style>
  <w:style w:type="paragraph" w:customStyle="1" w:styleId="474">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qFormat/>
    <w:uiPriority w:val="0"/>
    <w:pPr>
      <w:widowControl/>
      <w:spacing w:after="160" w:line="240" w:lineRule="exact"/>
      <w:jc w:val="left"/>
    </w:pPr>
  </w:style>
  <w:style w:type="paragraph" w:customStyle="1" w:styleId="476">
    <w:name w:val="USE 1"/>
    <w:basedOn w:val="1"/>
    <w:qFormat/>
    <w:uiPriority w:val="0"/>
    <w:pPr>
      <w:spacing w:line="200" w:lineRule="atLeast"/>
      <w:jc w:val="left"/>
    </w:pPr>
    <w:rPr>
      <w:rFonts w:ascii="宋体" w:hAnsi="宋体"/>
      <w:b/>
      <w:sz w:val="24"/>
      <w:szCs w:val="28"/>
    </w:rPr>
  </w:style>
  <w:style w:type="paragraph" w:customStyle="1" w:styleId="47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qFormat/>
    <w:uiPriority w:val="0"/>
    <w:rPr>
      <w:rFonts w:ascii="宋体" w:hAnsi="Courier New"/>
      <w:szCs w:val="20"/>
    </w:rPr>
  </w:style>
  <w:style w:type="character" w:customStyle="1" w:styleId="481">
    <w:name w:val="脚注文本 Char2"/>
    <w:basedOn w:val="52"/>
    <w:semiHidden/>
    <w:qFormat/>
    <w:uiPriority w:val="0"/>
    <w:rPr>
      <w:kern w:val="2"/>
      <w:sz w:val="18"/>
      <w:szCs w:val="18"/>
    </w:rPr>
  </w:style>
  <w:style w:type="paragraph" w:customStyle="1" w:styleId="482">
    <w:name w:val="_Style 56"/>
    <w:basedOn w:val="1"/>
    <w:next w:val="26"/>
    <w:qFormat/>
    <w:uiPriority w:val="0"/>
    <w:rPr>
      <w:rFonts w:ascii="宋体" w:hAnsi="Courier New"/>
      <w:szCs w:val="20"/>
    </w:rPr>
  </w:style>
  <w:style w:type="paragraph" w:customStyle="1" w:styleId="483">
    <w:name w:val="Char Char Char Char2"/>
    <w:basedOn w:val="1"/>
    <w:qFormat/>
    <w:uiPriority w:val="0"/>
    <w:pPr>
      <w:widowControl/>
      <w:spacing w:after="160" w:line="240" w:lineRule="exact"/>
      <w:jc w:val="center"/>
    </w:pPr>
  </w:style>
  <w:style w:type="paragraph" w:customStyle="1" w:styleId="484">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qFormat/>
    <w:uiPriority w:val="0"/>
    <w:pPr>
      <w:widowControl/>
      <w:spacing w:after="160" w:line="240" w:lineRule="exact"/>
      <w:jc w:val="left"/>
    </w:pPr>
  </w:style>
  <w:style w:type="paragraph" w:customStyle="1" w:styleId="490">
    <w:name w:val="_Style 50"/>
    <w:basedOn w:val="1"/>
    <w:next w:val="29"/>
    <w:qFormat/>
    <w:uiPriority w:val="0"/>
    <w:pPr>
      <w:adjustRightInd w:val="0"/>
      <w:snapToGrid w:val="0"/>
      <w:spacing w:line="300" w:lineRule="auto"/>
      <w:ind w:firstLine="630" w:firstLineChars="300"/>
    </w:pPr>
    <w:rPr>
      <w:snapToGrid w:val="0"/>
      <w:kern w:val="0"/>
    </w:rPr>
  </w:style>
  <w:style w:type="paragraph" w:customStyle="1" w:styleId="49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qFormat/>
    <w:uiPriority w:val="0"/>
    <w:rPr>
      <w:rFonts w:ascii="宋体" w:hAnsi="Courier New"/>
      <w:szCs w:val="20"/>
    </w:rPr>
  </w:style>
  <w:style w:type="paragraph" w:customStyle="1" w:styleId="495">
    <w:name w:val="Char Char Char"/>
    <w:basedOn w:val="1"/>
    <w:qFormat/>
    <w:uiPriority w:val="0"/>
    <w:rPr>
      <w:szCs w:val="20"/>
    </w:rPr>
  </w:style>
  <w:style w:type="paragraph" w:customStyle="1" w:styleId="496">
    <w:name w:val="Char2"/>
    <w:basedOn w:val="1"/>
    <w:qFormat/>
    <w:uiPriority w:val="0"/>
    <w:rPr>
      <w:rFonts w:ascii="Tahoma" w:hAnsi="Tahoma"/>
      <w:sz w:val="24"/>
      <w:szCs w:val="20"/>
    </w:rPr>
  </w:style>
  <w:style w:type="paragraph" w:customStyle="1" w:styleId="4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qFormat/>
    <w:uiPriority w:val="0"/>
    <w:rPr>
      <w:rFonts w:ascii="宋体" w:hAnsi="Courier New"/>
      <w:szCs w:val="20"/>
    </w:rPr>
  </w:style>
  <w:style w:type="paragraph" w:customStyle="1" w:styleId="501">
    <w:name w:val="2"/>
    <w:basedOn w:val="1"/>
    <w:next w:val="45"/>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qFormat/>
    <w:uiPriority w:val="0"/>
    <w:pPr>
      <w:adjustRightInd w:val="0"/>
      <w:snapToGrid w:val="0"/>
      <w:spacing w:line="300" w:lineRule="auto"/>
      <w:ind w:firstLine="630" w:firstLineChars="300"/>
    </w:pPr>
    <w:rPr>
      <w:snapToGrid w:val="0"/>
      <w:kern w:val="0"/>
    </w:rPr>
  </w:style>
  <w:style w:type="paragraph" w:customStyle="1" w:styleId="503">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rPr>
  </w:style>
  <w:style w:type="character" w:customStyle="1" w:styleId="505">
    <w:name w:val="纯文本 Char2"/>
    <w:qFormat/>
    <w:uiPriority w:val="99"/>
    <w:rPr>
      <w:rFonts w:ascii="宋体" w:hAnsi="Courier New"/>
      <w:kern w:val="2"/>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67"/>
    <customShpInfo spid="_x0000_s2066"/>
    <customShpInfo spid="_x0000_s2065"/>
    <customShpInfo spid="_x0000_s2064"/>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72"/>
    <customShpInfo spid="_x0000_s2071"/>
    <customShpInfo spid="_x0000_s2069"/>
    <customShpInfo spid="_x0000_s207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8BCD1B-78EE-472E-A951-CFD20B0D986D}">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74</Pages>
  <Words>7797</Words>
  <Characters>44447</Characters>
  <Lines>370</Lines>
  <Paragraphs>104</Paragraphs>
  <TotalTime>1</TotalTime>
  <ScaleCrop>false</ScaleCrop>
  <LinksUpToDate>false</LinksUpToDate>
  <CharactersWithSpaces>52140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2019-11-08T01:16:00Z</dcterms:created>
  <dc:creator>微软用户</dc:creator>
  <cp:lastModifiedBy>罗敏仪</cp:lastModifiedBy>
  <cp:lastPrinted>2020-05-26T01:03:00Z</cp:lastPrinted>
  <dcterms:modified xsi:type="dcterms:W3CDTF">2021-11-09T08:31:14Z</dcterms:modified>
  <dc:title>招标编号：UHO2010-G0029</dc:title>
  <cp:revision>477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2E0205EA57674834AC161845DC4178E1</vt:lpwstr>
  </property>
</Properties>
</file>