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F1" w:rsidRPr="00EE36CF" w:rsidRDefault="003019F1" w:rsidP="003019F1">
      <w:pPr>
        <w:pStyle w:val="1"/>
        <w:rPr>
          <w:rFonts w:asciiTheme="minorEastAsia" w:eastAsiaTheme="minorEastAsia" w:hAnsiTheme="minorEastAsia"/>
        </w:rPr>
      </w:pPr>
      <w:r w:rsidRPr="00EE36CF">
        <w:rPr>
          <w:rFonts w:asciiTheme="minorEastAsia" w:eastAsiaTheme="minorEastAsia" w:hAnsiTheme="minorEastAsia" w:hint="eastAsia"/>
        </w:rPr>
        <w:t>第二章  项目需求</w:t>
      </w:r>
    </w:p>
    <w:p w:rsidR="003019F1" w:rsidRPr="00EE36CF" w:rsidRDefault="003019F1" w:rsidP="003019F1">
      <w:pPr>
        <w:autoSpaceDE w:val="0"/>
        <w:autoSpaceDN w:val="0"/>
        <w:spacing w:line="360" w:lineRule="auto"/>
        <w:ind w:firstLineChars="200" w:firstLine="480"/>
        <w:rPr>
          <w:rFonts w:asciiTheme="minorEastAsia" w:eastAsiaTheme="minorEastAsia" w:hAnsiTheme="minorEastAsia"/>
          <w:sz w:val="24"/>
        </w:rPr>
      </w:pPr>
      <w:r w:rsidRPr="00EE36CF">
        <w:rPr>
          <w:rFonts w:asciiTheme="minorEastAsia" w:eastAsiaTheme="minorEastAsia" w:hAnsiTheme="minorEastAsia" w:hint="eastAsia"/>
          <w:sz w:val="24"/>
        </w:rPr>
        <w:t>本章项目需求中所出现的工艺、材料、设备或参照的品牌仅为方便描述而没有限制性，供应商可以在其提供的文件资料中选用替代标准，但这些替代标准要优于或相当于技术规格中要求的标准。</w:t>
      </w:r>
    </w:p>
    <w:p w:rsidR="003019F1" w:rsidRPr="00EE36CF" w:rsidRDefault="003019F1" w:rsidP="003019F1">
      <w:pPr>
        <w:autoSpaceDE w:val="0"/>
        <w:autoSpaceDN w:val="0"/>
        <w:spacing w:line="360" w:lineRule="auto"/>
        <w:ind w:firstLineChars="200" w:firstLine="480"/>
        <w:rPr>
          <w:rFonts w:asciiTheme="minorEastAsia" w:eastAsiaTheme="minorEastAsia" w:hAnsiTheme="minorEastAsia"/>
          <w:bCs/>
          <w:szCs w:val="21"/>
        </w:rPr>
      </w:pPr>
      <w:r w:rsidRPr="00EE36CF">
        <w:rPr>
          <w:rFonts w:asciiTheme="minorEastAsia" w:eastAsiaTheme="minorEastAsia" w:hAnsiTheme="minorEastAsia" w:hint="eastAsia"/>
          <w:sz w:val="24"/>
        </w:rPr>
        <w:t>注：加注“★”的条款为不可偏离条款，如不满足或负偏离将视为无效投标。</w:t>
      </w:r>
    </w:p>
    <w:p w:rsidR="003019F1" w:rsidRPr="00EE36CF" w:rsidRDefault="003019F1" w:rsidP="003019F1">
      <w:pPr>
        <w:autoSpaceDE w:val="0"/>
        <w:autoSpaceDN w:val="0"/>
        <w:spacing w:line="360" w:lineRule="auto"/>
        <w:ind w:firstLineChars="350" w:firstLine="840"/>
        <w:rPr>
          <w:rFonts w:asciiTheme="minorEastAsia" w:eastAsiaTheme="minorEastAsia" w:hAnsiTheme="minorEastAsia"/>
          <w:sz w:val="24"/>
        </w:rPr>
      </w:pPr>
      <w:r w:rsidRPr="00EE36CF">
        <w:rPr>
          <w:rFonts w:asciiTheme="minorEastAsia" w:eastAsiaTheme="minorEastAsia" w:hAnsiTheme="minorEastAsia" w:hint="eastAsia"/>
          <w:sz w:val="24"/>
        </w:rPr>
        <w:t>加注“▲”的条款为重要条款要求，如不满足将按照第四章“评标标准”进行扣分。</w:t>
      </w:r>
    </w:p>
    <w:p w:rsidR="003019F1" w:rsidRPr="00EE36CF" w:rsidRDefault="003019F1" w:rsidP="003019F1">
      <w:pPr>
        <w:spacing w:line="360" w:lineRule="auto"/>
        <w:ind w:left="510"/>
        <w:rPr>
          <w:rFonts w:asciiTheme="minorEastAsia" w:eastAsiaTheme="minorEastAsia" w:hAnsiTheme="minorEastAsia"/>
          <w:bCs/>
          <w:snapToGrid w:val="0"/>
          <w:sz w:val="24"/>
        </w:rPr>
      </w:pPr>
    </w:p>
    <w:p w:rsidR="003019F1" w:rsidRPr="00EE36CF" w:rsidRDefault="003019F1" w:rsidP="003019F1">
      <w:pPr>
        <w:spacing w:line="360" w:lineRule="auto"/>
        <w:ind w:left="2"/>
        <w:rPr>
          <w:rFonts w:asciiTheme="minorEastAsia" w:eastAsiaTheme="minorEastAsia" w:hAnsiTheme="minorEastAsia"/>
          <w:b/>
          <w:sz w:val="24"/>
        </w:rPr>
      </w:pPr>
      <w:r w:rsidRPr="00EE36CF">
        <w:rPr>
          <w:rFonts w:asciiTheme="minorEastAsia" w:eastAsiaTheme="minorEastAsia" w:hAnsiTheme="minorEastAsia" w:hint="eastAsia"/>
          <w:bCs/>
          <w:snapToGrid w:val="0"/>
          <w:sz w:val="24"/>
        </w:rPr>
        <w:t>一、</w:t>
      </w:r>
      <w:r w:rsidRPr="00EE36CF">
        <w:rPr>
          <w:rFonts w:asciiTheme="minorEastAsia" w:eastAsiaTheme="minorEastAsia" w:hAnsiTheme="minorEastAsia" w:hint="eastAsia"/>
          <w:b/>
          <w:sz w:val="24"/>
        </w:rPr>
        <w:t>采购清单</w:t>
      </w:r>
    </w:p>
    <w:p w:rsidR="003019F1" w:rsidRPr="00EE36CF" w:rsidRDefault="003019F1" w:rsidP="003019F1">
      <w:pPr>
        <w:pStyle w:val="a5"/>
        <w:rPr>
          <w:rFonts w:asciiTheme="minorEastAsia" w:eastAsiaTheme="minorEastAsia" w:hAnsiTheme="minorEastAsia"/>
          <w:b/>
          <w:bCs/>
          <w:snapToGrid w:val="0"/>
          <w:kern w:val="0"/>
        </w:rPr>
      </w:pPr>
      <w:r w:rsidRPr="00EE36CF">
        <w:rPr>
          <w:rFonts w:asciiTheme="minorEastAsia" w:eastAsiaTheme="minorEastAsia" w:hAnsiTheme="minorEastAsia" w:hint="eastAsia"/>
          <w:b/>
          <w:bCs/>
          <w:snapToGrid w:val="0"/>
          <w:kern w:val="0"/>
        </w:rPr>
        <w:t>1、采购总清单</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3119"/>
        <w:gridCol w:w="850"/>
        <w:gridCol w:w="993"/>
        <w:gridCol w:w="1701"/>
        <w:gridCol w:w="1701"/>
        <w:gridCol w:w="1417"/>
      </w:tblGrid>
      <w:tr w:rsidR="003019F1" w:rsidRPr="00EE36CF" w:rsidTr="00FC6AB8">
        <w:trPr>
          <w:trHeight w:val="59"/>
          <w:jc w:val="center"/>
        </w:trPr>
        <w:tc>
          <w:tcPr>
            <w:tcW w:w="851"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序号</w:t>
            </w:r>
          </w:p>
        </w:tc>
        <w:tc>
          <w:tcPr>
            <w:tcW w:w="3119"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货物名称</w:t>
            </w:r>
          </w:p>
        </w:tc>
        <w:tc>
          <w:tcPr>
            <w:tcW w:w="850" w:type="dxa"/>
            <w:tcMar>
              <w:top w:w="0" w:type="dxa"/>
              <w:left w:w="108" w:type="dxa"/>
              <w:bottom w:w="0" w:type="dxa"/>
              <w:right w:w="108" w:type="dxa"/>
            </w:tcMar>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数量</w:t>
            </w:r>
          </w:p>
        </w:tc>
        <w:tc>
          <w:tcPr>
            <w:tcW w:w="993"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单位</w:t>
            </w:r>
          </w:p>
        </w:tc>
        <w:tc>
          <w:tcPr>
            <w:tcW w:w="1701" w:type="dxa"/>
            <w:vAlign w:val="center"/>
          </w:tcPr>
          <w:p w:rsidR="003019F1" w:rsidRPr="00EE36CF" w:rsidRDefault="003019F1" w:rsidP="00FC6AB8">
            <w:pPr>
              <w:spacing w:line="360" w:lineRule="auto"/>
              <w:jc w:val="center"/>
              <w:rPr>
                <w:rFonts w:asciiTheme="minorEastAsia" w:eastAsiaTheme="minorEastAsia" w:hAnsiTheme="minorEastAsia"/>
              </w:rPr>
            </w:pPr>
            <w:r w:rsidRPr="00EE36CF">
              <w:rPr>
                <w:rFonts w:asciiTheme="minorEastAsia" w:eastAsiaTheme="minorEastAsia" w:hAnsiTheme="minorEastAsia" w:cs="宋体" w:hint="eastAsia"/>
                <w:b/>
                <w:szCs w:val="21"/>
              </w:rPr>
              <w:t>核心产品</w:t>
            </w:r>
          </w:p>
        </w:tc>
        <w:tc>
          <w:tcPr>
            <w:tcW w:w="1701"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采购控制金额</w:t>
            </w:r>
          </w:p>
          <w:p w:rsidR="003019F1" w:rsidRPr="00EE36CF" w:rsidRDefault="003019F1" w:rsidP="00FC6AB8">
            <w:pPr>
              <w:spacing w:line="360" w:lineRule="auto"/>
              <w:jc w:val="center"/>
              <w:rPr>
                <w:rFonts w:asciiTheme="minorEastAsia" w:eastAsiaTheme="minorEastAsia" w:hAnsiTheme="minorEastAsia" w:cs="宋体"/>
                <w:bCs/>
                <w:szCs w:val="21"/>
              </w:rPr>
            </w:pPr>
            <w:r w:rsidRPr="00EE36CF">
              <w:rPr>
                <w:rFonts w:asciiTheme="minorEastAsia" w:eastAsiaTheme="minorEastAsia" w:hAnsiTheme="minorEastAsia" w:cs="宋体" w:hint="eastAsia"/>
                <w:b/>
                <w:szCs w:val="21"/>
              </w:rPr>
              <w:t>（万元）</w:t>
            </w:r>
          </w:p>
        </w:tc>
        <w:tc>
          <w:tcPr>
            <w:tcW w:w="1417"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备注</w:t>
            </w:r>
          </w:p>
        </w:tc>
      </w:tr>
      <w:tr w:rsidR="003019F1" w:rsidRPr="00EE36CF" w:rsidTr="00FC6AB8">
        <w:trPr>
          <w:trHeight w:val="605"/>
          <w:jc w:val="center"/>
        </w:trPr>
        <w:tc>
          <w:tcPr>
            <w:tcW w:w="851"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3119"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bCs/>
                <w:szCs w:val="21"/>
                <w:lang w:bidi="zh-CN"/>
              </w:rPr>
              <w:t>理化色谱分析耗材采购项目</w:t>
            </w:r>
          </w:p>
        </w:tc>
        <w:tc>
          <w:tcPr>
            <w:tcW w:w="850" w:type="dxa"/>
            <w:tcMar>
              <w:top w:w="0" w:type="dxa"/>
              <w:left w:w="108" w:type="dxa"/>
              <w:bottom w:w="0" w:type="dxa"/>
              <w:right w:w="108" w:type="dxa"/>
            </w:tcMar>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93"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项</w:t>
            </w:r>
          </w:p>
        </w:tc>
        <w:tc>
          <w:tcPr>
            <w:tcW w:w="1701" w:type="dxa"/>
            <w:vAlign w:val="center"/>
          </w:tcPr>
          <w:p w:rsidR="003019F1" w:rsidRPr="00EE36CF" w:rsidRDefault="003019F1" w:rsidP="00FC6AB8">
            <w:pPr>
              <w:jc w:val="center"/>
              <w:rPr>
                <w:rFonts w:asciiTheme="minorEastAsia" w:eastAsiaTheme="minorEastAsia" w:hAnsiTheme="minorEastAsia" w:cs="宋体"/>
                <w:bCs/>
                <w:szCs w:val="21"/>
              </w:rPr>
            </w:pPr>
            <w:r w:rsidRPr="00EE36CF">
              <w:rPr>
                <w:rFonts w:asciiTheme="minorEastAsia" w:eastAsiaTheme="minorEastAsia" w:hAnsiTheme="minorEastAsia" w:cs="宋体" w:hint="eastAsia"/>
                <w:bCs/>
                <w:szCs w:val="21"/>
                <w:lang w:bidi="zh-CN"/>
              </w:rPr>
              <w:t xml:space="preserve"> Phenyl Colμmm</w:t>
            </w:r>
          </w:p>
        </w:tc>
        <w:tc>
          <w:tcPr>
            <w:tcW w:w="1701" w:type="dxa"/>
            <w:vAlign w:val="center"/>
          </w:tcPr>
          <w:p w:rsidR="003019F1" w:rsidRPr="00EE36CF" w:rsidRDefault="003019F1" w:rsidP="00FC6AB8">
            <w:pPr>
              <w:jc w:val="center"/>
              <w:rPr>
                <w:rFonts w:asciiTheme="minorEastAsia" w:eastAsiaTheme="minorEastAsia" w:hAnsiTheme="minorEastAsia" w:cs="宋体"/>
                <w:bCs/>
                <w:szCs w:val="21"/>
              </w:rPr>
            </w:pPr>
            <w:r w:rsidRPr="00EE36CF">
              <w:rPr>
                <w:rFonts w:asciiTheme="minorEastAsia" w:eastAsiaTheme="minorEastAsia" w:hAnsiTheme="minorEastAsia" w:cs="宋体" w:hint="eastAsia"/>
                <w:bCs/>
                <w:szCs w:val="21"/>
              </w:rPr>
              <w:t>61</w:t>
            </w:r>
          </w:p>
        </w:tc>
        <w:tc>
          <w:tcPr>
            <w:tcW w:w="14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接受进口</w:t>
            </w:r>
          </w:p>
        </w:tc>
      </w:tr>
    </w:tbl>
    <w:p w:rsidR="003019F1" w:rsidRPr="00EE36CF" w:rsidRDefault="003019F1" w:rsidP="003019F1">
      <w:pPr>
        <w:spacing w:line="360" w:lineRule="auto"/>
        <w:rPr>
          <w:rFonts w:asciiTheme="minorEastAsia" w:eastAsiaTheme="minorEastAsia" w:hAnsiTheme="minorEastAsia"/>
          <w:bCs/>
          <w:snapToGrid w:val="0"/>
          <w:szCs w:val="21"/>
        </w:rPr>
      </w:pPr>
      <w:r w:rsidRPr="00EE36CF">
        <w:rPr>
          <w:rFonts w:asciiTheme="minorEastAsia" w:eastAsiaTheme="minorEastAsia" w:hAnsiTheme="minorEastAsia" w:hint="eastAsia"/>
          <w:bCs/>
          <w:snapToGrid w:val="0"/>
          <w:szCs w:val="21"/>
        </w:rPr>
        <w:t>注：（1）如同时有两家或两家以上（均为制造商的合法代理商）通过资格审查及符合性审查的合格供应商</w:t>
      </w:r>
      <w:r w:rsidRPr="00EE36CF">
        <w:rPr>
          <w:rFonts w:asciiTheme="minorEastAsia" w:eastAsiaTheme="minorEastAsia" w:hAnsiTheme="minorEastAsia" w:hint="eastAsia"/>
          <w:b/>
          <w:bCs/>
          <w:snapToGrid w:val="0"/>
          <w:szCs w:val="21"/>
        </w:rPr>
        <w:t>所投核心产品（</w:t>
      </w:r>
      <w:r w:rsidRPr="00EE36CF">
        <w:rPr>
          <w:rFonts w:asciiTheme="minorEastAsia" w:eastAsiaTheme="minorEastAsia" w:hAnsiTheme="minorEastAsia" w:cs="宋体" w:hint="eastAsia"/>
          <w:bCs/>
          <w:szCs w:val="21"/>
          <w:lang w:bidi="zh-CN"/>
        </w:rPr>
        <w:t>Phenyl Colμmm</w:t>
      </w:r>
      <w:r w:rsidRPr="00EE36CF">
        <w:rPr>
          <w:rFonts w:asciiTheme="minorEastAsia" w:eastAsiaTheme="minorEastAsia" w:hAnsiTheme="minorEastAsia" w:hint="eastAsia"/>
          <w:b/>
          <w:bCs/>
          <w:snapToGrid w:val="0"/>
          <w:szCs w:val="21"/>
        </w:rPr>
        <w:t>）为相同品牌的，按一家供应商计算</w:t>
      </w:r>
      <w:r w:rsidRPr="00EE36CF">
        <w:rPr>
          <w:rFonts w:asciiTheme="minorEastAsia" w:eastAsiaTheme="minorEastAsia" w:hAnsiTheme="minorEastAsia" w:hint="eastAsia"/>
          <w:bCs/>
          <w:snapToGrid w:val="0"/>
          <w:szCs w:val="21"/>
        </w:rPr>
        <w:t>，在此种情况下，评审后得分最高的供应商获得中标人推荐资格；评审得分相同的由报价相对最低的获得中标人推荐资格；评审得分及报价均相同的由技术标评分相对最高的获得中标人推荐资格；</w:t>
      </w:r>
      <w:r w:rsidRPr="00EE36CF">
        <w:rPr>
          <w:rFonts w:asciiTheme="minorEastAsia" w:eastAsiaTheme="minorEastAsia" w:hAnsiTheme="minorEastAsia" w:hint="eastAsia"/>
          <w:snapToGrid w:val="0"/>
        </w:rPr>
        <w:t>以上均相同的由评标委员会采取随机抽取方式确定</w:t>
      </w:r>
      <w:r w:rsidRPr="00EE36CF">
        <w:rPr>
          <w:rFonts w:asciiTheme="minorEastAsia" w:eastAsiaTheme="minorEastAsia" w:hAnsiTheme="minorEastAsia" w:hint="eastAsia"/>
          <w:bCs/>
          <w:snapToGrid w:val="0"/>
          <w:szCs w:val="21"/>
        </w:rPr>
        <w:t>，其他同品牌供应商不作为中标候选人</w:t>
      </w:r>
      <w:r w:rsidRPr="00EE36CF">
        <w:rPr>
          <w:rFonts w:asciiTheme="minorEastAsia" w:eastAsiaTheme="minorEastAsia" w:hAnsiTheme="minorEastAsia" w:hint="eastAsia"/>
          <w:b/>
          <w:bCs/>
          <w:snapToGrid w:val="0"/>
          <w:szCs w:val="21"/>
        </w:rPr>
        <w:t>。</w:t>
      </w:r>
    </w:p>
    <w:p w:rsidR="003019F1" w:rsidRPr="00EE36CF" w:rsidRDefault="003019F1" w:rsidP="003019F1">
      <w:pPr>
        <w:spacing w:line="360" w:lineRule="auto"/>
        <w:ind w:firstLineChars="150" w:firstLine="330"/>
        <w:rPr>
          <w:rFonts w:asciiTheme="minorEastAsia" w:eastAsiaTheme="minorEastAsia" w:hAnsiTheme="minorEastAsia"/>
          <w:b/>
          <w:bCs/>
          <w:snapToGrid w:val="0"/>
          <w:szCs w:val="21"/>
        </w:rPr>
      </w:pPr>
      <w:r w:rsidRPr="00EE36CF">
        <w:rPr>
          <w:rFonts w:asciiTheme="minorEastAsia" w:eastAsiaTheme="minorEastAsia" w:hAnsiTheme="minorEastAsia" w:hint="eastAsia"/>
          <w:bCs/>
          <w:snapToGrid w:val="0"/>
          <w:szCs w:val="21"/>
        </w:rPr>
        <w:t>（2）</w:t>
      </w:r>
      <w:r w:rsidRPr="00EE36CF">
        <w:rPr>
          <w:rFonts w:asciiTheme="minorEastAsia" w:eastAsiaTheme="minorEastAsia" w:hAnsiTheme="minorEastAsia" w:hint="eastAsia"/>
          <w:szCs w:val="21"/>
        </w:rPr>
        <w:t>根据《中华人民共和国财政部令第</w:t>
      </w:r>
      <w:r w:rsidRPr="00EE36CF">
        <w:rPr>
          <w:rFonts w:asciiTheme="minorEastAsia" w:eastAsiaTheme="minorEastAsia" w:hAnsiTheme="minorEastAsia"/>
          <w:szCs w:val="21"/>
        </w:rPr>
        <w:t>87</w:t>
      </w:r>
      <w:r w:rsidRPr="00EE36CF">
        <w:rPr>
          <w:rFonts w:asciiTheme="minorEastAsia" w:eastAsiaTheme="minorEastAsia" w:hAnsiTheme="minorEastAsia" w:hint="eastAsia"/>
          <w:szCs w:val="21"/>
        </w:rPr>
        <w:t>号</w:t>
      </w:r>
      <w:r w:rsidRPr="00EE36CF">
        <w:rPr>
          <w:rFonts w:asciiTheme="minorEastAsia" w:eastAsiaTheme="minorEastAsia" w:hAnsiTheme="minorEastAsia"/>
          <w:szCs w:val="21"/>
        </w:rPr>
        <w:t>-</w:t>
      </w:r>
      <w:r w:rsidRPr="00EE36CF">
        <w:rPr>
          <w:rFonts w:asciiTheme="minorEastAsia" w:eastAsiaTheme="minorEastAsia" w:hAnsiTheme="minorEastAsia" w:hint="eastAsia"/>
          <w:szCs w:val="21"/>
        </w:rPr>
        <w:t>政府采购货物和服务招标投标管理办法》第六十条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若评标委员会成员对是否须由供应商作出报</w:t>
      </w:r>
      <w:r w:rsidRPr="00EE36CF">
        <w:rPr>
          <w:rFonts w:asciiTheme="minorEastAsia" w:eastAsiaTheme="minorEastAsia" w:hAnsiTheme="minorEastAsia" w:hint="eastAsia"/>
          <w:szCs w:val="21"/>
        </w:rPr>
        <w:lastRenderedPageBreak/>
        <w:t>价合理性说明，以及书面说明是否采纳等判断不一</w:t>
      </w:r>
      <w:r w:rsidRPr="00EE36CF">
        <w:rPr>
          <w:rFonts w:asciiTheme="minorEastAsia" w:eastAsiaTheme="minorEastAsia" w:hAnsiTheme="minorEastAsia" w:hint="eastAsia"/>
          <w:bCs/>
          <w:snapToGrid w:val="0"/>
          <w:szCs w:val="21"/>
        </w:rPr>
        <w:t>致的，按照“少数服从多数”的原则确定评标委员会的意见。</w:t>
      </w:r>
      <w:r w:rsidRPr="00EE36CF">
        <w:rPr>
          <w:rFonts w:asciiTheme="minorEastAsia" w:eastAsiaTheme="minorEastAsia" w:hAnsiTheme="minorEastAsia" w:hint="eastAsia"/>
          <w:b/>
          <w:bCs/>
          <w:snapToGrid w:val="0"/>
          <w:szCs w:val="21"/>
        </w:rPr>
        <w:t>（报价合理性书面说明包括但不限于：</w:t>
      </w:r>
      <w:r w:rsidR="00E40B5E" w:rsidRPr="00EE36CF">
        <w:rPr>
          <w:rFonts w:asciiTheme="minorEastAsia" w:eastAsiaTheme="minorEastAsia" w:hAnsiTheme="minorEastAsia"/>
          <w:b/>
          <w:bCs/>
          <w:snapToGrid w:val="0"/>
          <w:szCs w:val="21"/>
        </w:rPr>
        <w:fldChar w:fldCharType="begin"/>
      </w:r>
      <w:r w:rsidRPr="00EE36CF">
        <w:rPr>
          <w:rFonts w:asciiTheme="minorEastAsia" w:eastAsiaTheme="minorEastAsia" w:hAnsiTheme="minorEastAsia"/>
          <w:b/>
          <w:bCs/>
          <w:snapToGrid w:val="0"/>
          <w:szCs w:val="21"/>
        </w:rPr>
        <w:instrText xml:space="preserve"> </w:instrText>
      </w:r>
      <w:r w:rsidRPr="00EE36CF">
        <w:rPr>
          <w:rFonts w:asciiTheme="minorEastAsia" w:eastAsiaTheme="minorEastAsia" w:hAnsiTheme="minorEastAsia" w:hint="eastAsia"/>
          <w:b/>
          <w:bCs/>
          <w:snapToGrid w:val="0"/>
          <w:szCs w:val="21"/>
        </w:rPr>
        <w:instrText>= 1 \* GB3</w:instrText>
      </w:r>
      <w:r w:rsidRPr="00EE36CF">
        <w:rPr>
          <w:rFonts w:asciiTheme="minorEastAsia" w:eastAsiaTheme="minorEastAsia" w:hAnsiTheme="minorEastAsia"/>
          <w:b/>
          <w:bCs/>
          <w:snapToGrid w:val="0"/>
          <w:szCs w:val="21"/>
        </w:rPr>
        <w:instrText xml:space="preserve"> </w:instrText>
      </w:r>
      <w:r w:rsidR="00E40B5E" w:rsidRPr="00EE36CF">
        <w:rPr>
          <w:rFonts w:asciiTheme="minorEastAsia" w:eastAsiaTheme="minorEastAsia" w:hAnsiTheme="minorEastAsia"/>
          <w:b/>
          <w:bCs/>
          <w:snapToGrid w:val="0"/>
          <w:szCs w:val="21"/>
        </w:rPr>
        <w:fldChar w:fldCharType="separate"/>
      </w:r>
      <w:r w:rsidRPr="00EE36CF">
        <w:rPr>
          <w:rFonts w:asciiTheme="minorEastAsia" w:eastAsiaTheme="minorEastAsia" w:hAnsiTheme="minorEastAsia" w:hint="eastAsia"/>
          <w:b/>
          <w:bCs/>
          <w:snapToGrid w:val="0"/>
          <w:szCs w:val="21"/>
        </w:rPr>
        <w:t>①</w:t>
      </w:r>
      <w:r w:rsidR="00E40B5E" w:rsidRPr="00EE36CF">
        <w:rPr>
          <w:rFonts w:asciiTheme="minorEastAsia" w:eastAsiaTheme="minorEastAsia" w:hAnsiTheme="minorEastAsia"/>
          <w:b/>
          <w:bCs/>
          <w:snapToGrid w:val="0"/>
          <w:szCs w:val="21"/>
        </w:rPr>
        <w:fldChar w:fldCharType="end"/>
      </w:r>
      <w:r w:rsidRPr="00EE36CF">
        <w:rPr>
          <w:rFonts w:asciiTheme="minorEastAsia" w:eastAsiaTheme="minorEastAsia" w:hAnsiTheme="minorEastAsia" w:hint="eastAsia"/>
          <w:b/>
          <w:bCs/>
          <w:snapToGrid w:val="0"/>
          <w:szCs w:val="21"/>
        </w:rPr>
        <w:t>成本构成。包含货物本身成本、人工费用、运输、税收等说明。</w:t>
      </w:r>
      <w:r w:rsidR="00E40B5E" w:rsidRPr="00EE36CF">
        <w:rPr>
          <w:rFonts w:asciiTheme="minorEastAsia" w:eastAsiaTheme="minorEastAsia" w:hAnsiTheme="minorEastAsia"/>
          <w:b/>
          <w:bCs/>
          <w:snapToGrid w:val="0"/>
          <w:szCs w:val="21"/>
        </w:rPr>
        <w:fldChar w:fldCharType="begin"/>
      </w:r>
      <w:r w:rsidRPr="00EE36CF">
        <w:rPr>
          <w:rFonts w:asciiTheme="minorEastAsia" w:eastAsiaTheme="minorEastAsia" w:hAnsiTheme="minorEastAsia"/>
          <w:b/>
          <w:bCs/>
          <w:snapToGrid w:val="0"/>
          <w:szCs w:val="21"/>
        </w:rPr>
        <w:instrText xml:space="preserve"> </w:instrText>
      </w:r>
      <w:r w:rsidRPr="00EE36CF">
        <w:rPr>
          <w:rFonts w:asciiTheme="minorEastAsia" w:eastAsiaTheme="minorEastAsia" w:hAnsiTheme="minorEastAsia" w:hint="eastAsia"/>
          <w:b/>
          <w:bCs/>
          <w:snapToGrid w:val="0"/>
          <w:szCs w:val="21"/>
        </w:rPr>
        <w:instrText>= 2 \* GB3</w:instrText>
      </w:r>
      <w:r w:rsidRPr="00EE36CF">
        <w:rPr>
          <w:rFonts w:asciiTheme="minorEastAsia" w:eastAsiaTheme="minorEastAsia" w:hAnsiTheme="minorEastAsia"/>
          <w:b/>
          <w:bCs/>
          <w:snapToGrid w:val="0"/>
          <w:szCs w:val="21"/>
        </w:rPr>
        <w:instrText xml:space="preserve"> </w:instrText>
      </w:r>
      <w:r w:rsidR="00E40B5E" w:rsidRPr="00EE36CF">
        <w:rPr>
          <w:rFonts w:asciiTheme="minorEastAsia" w:eastAsiaTheme="minorEastAsia" w:hAnsiTheme="minorEastAsia"/>
          <w:b/>
          <w:bCs/>
          <w:snapToGrid w:val="0"/>
          <w:szCs w:val="21"/>
        </w:rPr>
        <w:fldChar w:fldCharType="separate"/>
      </w:r>
      <w:r w:rsidRPr="00EE36CF">
        <w:rPr>
          <w:rFonts w:asciiTheme="minorEastAsia" w:eastAsiaTheme="minorEastAsia" w:hAnsiTheme="minorEastAsia" w:hint="eastAsia"/>
          <w:b/>
          <w:bCs/>
          <w:snapToGrid w:val="0"/>
          <w:szCs w:val="21"/>
        </w:rPr>
        <w:t>②</w:t>
      </w:r>
      <w:r w:rsidR="00E40B5E" w:rsidRPr="00EE36CF">
        <w:rPr>
          <w:rFonts w:asciiTheme="minorEastAsia" w:eastAsiaTheme="minorEastAsia" w:hAnsiTheme="minorEastAsia"/>
          <w:b/>
          <w:bCs/>
          <w:snapToGrid w:val="0"/>
          <w:szCs w:val="21"/>
        </w:rPr>
        <w:fldChar w:fldCharType="end"/>
      </w:r>
      <w:r w:rsidRPr="00EE36CF">
        <w:rPr>
          <w:rFonts w:asciiTheme="minorEastAsia" w:eastAsiaTheme="minorEastAsia" w:hAnsiTheme="minorEastAsia" w:hint="eastAsia"/>
          <w:b/>
          <w:bCs/>
          <w:snapToGrid w:val="0"/>
          <w:szCs w:val="21"/>
        </w:rPr>
        <w:t>较其他供应商且能支撑自己报更低价格的优势说明。）</w:t>
      </w:r>
    </w:p>
    <w:p w:rsidR="003019F1" w:rsidRPr="00EE36CF" w:rsidRDefault="003019F1" w:rsidP="003019F1">
      <w:pPr>
        <w:spacing w:line="360" w:lineRule="auto"/>
        <w:rPr>
          <w:rFonts w:asciiTheme="minorEastAsia" w:eastAsiaTheme="minorEastAsia" w:hAnsiTheme="minorEastAsia"/>
          <w:bCs/>
          <w:snapToGrid w:val="0"/>
          <w:szCs w:val="21"/>
        </w:rPr>
      </w:pPr>
      <w:r w:rsidRPr="00EE36CF">
        <w:rPr>
          <w:rFonts w:asciiTheme="minorEastAsia" w:eastAsiaTheme="minorEastAsia" w:hAnsiTheme="minorEastAsia" w:hint="eastAsia"/>
          <w:bCs/>
          <w:snapToGrid w:val="0"/>
          <w:szCs w:val="21"/>
        </w:rPr>
        <w:t>（3）</w:t>
      </w:r>
      <w:r w:rsidRPr="00EE36CF">
        <w:rPr>
          <w:rFonts w:asciiTheme="minorEastAsia" w:eastAsiaTheme="minorEastAsia" w:hAnsiTheme="minorEastAsia" w:hint="eastAsia"/>
          <w:b/>
          <w:bCs/>
          <w:snapToGrid w:val="0"/>
          <w:szCs w:val="21"/>
        </w:rPr>
        <w:t xml:space="preserve">备注栏注明“拒绝进口”的产品不接受供应商选用进口产品参与投标；注明“接受进口”的产品允许供应商选用进口产品参与投标，但不排斥国内产品。 </w:t>
      </w:r>
    </w:p>
    <w:p w:rsidR="003019F1" w:rsidRPr="00EE36CF" w:rsidRDefault="003019F1" w:rsidP="003019F1">
      <w:pPr>
        <w:spacing w:line="360" w:lineRule="auto"/>
        <w:rPr>
          <w:rFonts w:asciiTheme="minorEastAsia" w:eastAsiaTheme="minorEastAsia" w:hAnsiTheme="minorEastAsia"/>
          <w:bCs/>
          <w:snapToGrid w:val="0"/>
          <w:szCs w:val="21"/>
        </w:rPr>
      </w:pPr>
      <w:r w:rsidRPr="00EE36CF">
        <w:rPr>
          <w:rFonts w:asciiTheme="minorEastAsia" w:eastAsiaTheme="minorEastAsia" w:hAnsiTheme="minorEastAsia" w:hint="eastAsia"/>
          <w:bCs/>
          <w:snapToGrid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3019F1" w:rsidRPr="00EE36CF" w:rsidRDefault="003019F1" w:rsidP="003019F1">
      <w:pPr>
        <w:spacing w:line="360" w:lineRule="auto"/>
        <w:rPr>
          <w:rFonts w:asciiTheme="minorEastAsia" w:eastAsiaTheme="minorEastAsia" w:hAnsiTheme="minorEastAsia"/>
          <w:b/>
          <w:bCs/>
          <w:snapToGrid w:val="0"/>
          <w:szCs w:val="21"/>
        </w:rPr>
      </w:pPr>
    </w:p>
    <w:p w:rsidR="003019F1" w:rsidRPr="00EE36CF" w:rsidRDefault="003019F1" w:rsidP="003019F1">
      <w:pPr>
        <w:spacing w:line="360" w:lineRule="auto"/>
        <w:rPr>
          <w:rFonts w:asciiTheme="minorEastAsia" w:eastAsiaTheme="minorEastAsia" w:hAnsiTheme="minorEastAsia"/>
          <w:b/>
          <w:bCs/>
          <w:snapToGrid w:val="0"/>
          <w:szCs w:val="21"/>
        </w:rPr>
      </w:pPr>
      <w:r w:rsidRPr="00EE36CF">
        <w:rPr>
          <w:rFonts w:asciiTheme="minorEastAsia" w:eastAsiaTheme="minorEastAsia" w:hAnsiTheme="minorEastAsia" w:hint="eastAsia"/>
          <w:b/>
          <w:bCs/>
          <w:snapToGrid w:val="0"/>
          <w:szCs w:val="21"/>
        </w:rPr>
        <w:t>2、货物清单明细</w:t>
      </w:r>
      <w:bookmarkStart w:id="0" w:name="_GoBack"/>
      <w:bookmarkEnd w:id="0"/>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095"/>
        <w:gridCol w:w="1134"/>
        <w:gridCol w:w="948"/>
        <w:gridCol w:w="1275"/>
      </w:tblGrid>
      <w:tr w:rsidR="003019F1" w:rsidRPr="00EE36CF" w:rsidTr="00FC6AB8">
        <w:trPr>
          <w:trHeight w:val="468"/>
          <w:tblHeader/>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序号</w:t>
            </w:r>
          </w:p>
        </w:tc>
        <w:tc>
          <w:tcPr>
            <w:tcW w:w="5095"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名称</w:t>
            </w:r>
          </w:p>
        </w:tc>
        <w:tc>
          <w:tcPr>
            <w:tcW w:w="1134"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数量</w:t>
            </w:r>
          </w:p>
        </w:tc>
        <w:tc>
          <w:tcPr>
            <w:tcW w:w="948"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单位</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b/>
                <w:szCs w:val="21"/>
              </w:rPr>
            </w:pPr>
            <w:r w:rsidRPr="00EE36CF">
              <w:rPr>
                <w:rFonts w:asciiTheme="minorEastAsia" w:eastAsiaTheme="minorEastAsia" w:hAnsiTheme="minorEastAsia" w:cs="宋体" w:hint="eastAsia"/>
                <w:b/>
                <w:szCs w:val="21"/>
              </w:rPr>
              <w:t>备注</w:t>
            </w: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9</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HSS T3</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6</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4</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HILIC Colμmn</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4</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5</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6</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Amide</w:t>
            </w:r>
            <w:r w:rsidRPr="00EE36CF">
              <w:rPr>
                <w:rFonts w:asciiTheme="minorEastAsia" w:eastAsiaTheme="minorEastAsia" w:hAnsiTheme="minorEastAsia" w:hint="eastAsia"/>
                <w:bCs/>
                <w:lang w:bidi="zh-CN"/>
              </w:rPr>
              <w:t>液相色谱柱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6</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7</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7</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8</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Phenyl Colμmm</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9</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VAC QMA cart</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10</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lang w:bidi="zh-CN"/>
              </w:rPr>
              <w:t>离子柱</w:t>
            </w:r>
            <w:r w:rsidRPr="00EE36CF">
              <w:rPr>
                <w:rFonts w:asciiTheme="minorEastAsia" w:eastAsiaTheme="minorEastAsia" w:hAnsiTheme="minorEastAsia" w:cs="宋体" w:hint="eastAsia"/>
                <w:bCs/>
                <w:szCs w:val="21"/>
                <w:lang w:bidi="zh-CN"/>
              </w:rPr>
              <w:t>IonPac AS11-HC</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lastRenderedPageBreak/>
              <w:t>11</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lang w:bidi="zh-CN"/>
              </w:rPr>
              <w:t>离子保护柱</w:t>
            </w:r>
            <w:r w:rsidRPr="00EE36CF">
              <w:rPr>
                <w:rFonts w:asciiTheme="minorEastAsia" w:eastAsiaTheme="minorEastAsia" w:hAnsiTheme="minorEastAsia" w:cs="宋体" w:hint="eastAsia"/>
                <w:bCs/>
                <w:szCs w:val="21"/>
                <w:lang w:bidi="zh-CN"/>
              </w:rPr>
              <w:t>IonPac AG11-HC</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12</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Acclaim Trinity P1  3um </w:t>
            </w:r>
            <w:r w:rsidRPr="00EE36CF">
              <w:rPr>
                <w:rFonts w:asciiTheme="minorEastAsia" w:eastAsiaTheme="minorEastAsia" w:hAnsiTheme="minorEastAsia" w:hint="eastAsia"/>
                <w:bCs/>
                <w:lang w:bidi="zh-CN"/>
              </w:rPr>
              <w:t>分析柱  (2.1 x 100mm)</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13</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ACCUCORE POLAR PREMIUM,2.6UM 100X4.6MM </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14</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lang w:bidi="zh-CN"/>
              </w:rPr>
              <w:t xml:space="preserve"> Accucore RP-MS 色谱柱100x2.1mm 2.6µm</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15</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AS19 </w:t>
            </w:r>
            <w:r w:rsidRPr="00EE36CF">
              <w:rPr>
                <w:rFonts w:asciiTheme="minorEastAsia" w:eastAsiaTheme="minorEastAsia" w:hAnsiTheme="minorEastAsia" w:hint="eastAsia"/>
                <w:bCs/>
                <w:lang w:bidi="zh-CN"/>
              </w:rPr>
              <w:t>阴离子分析柱</w:t>
            </w:r>
            <w:r w:rsidRPr="00EE36CF">
              <w:rPr>
                <w:rFonts w:asciiTheme="minorEastAsia" w:eastAsiaTheme="minorEastAsia" w:hAnsiTheme="minorEastAsia" w:cs="宋体" w:hint="eastAsia"/>
                <w:bCs/>
                <w:szCs w:val="21"/>
                <w:lang w:bidi="zh-CN"/>
              </w:rPr>
              <w:t>,4X250MM</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16</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5um Carbohydrate ES 250×4.6mm</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17</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Carotenoid C30</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18</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AG19 </w:t>
            </w:r>
            <w:r w:rsidRPr="00EE36CF">
              <w:rPr>
                <w:rFonts w:asciiTheme="minorEastAsia" w:eastAsiaTheme="minorEastAsia" w:hAnsiTheme="minorEastAsia" w:hint="eastAsia"/>
                <w:bCs/>
                <w:lang w:bidi="zh-CN"/>
              </w:rPr>
              <w:t>阴离子保护柱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19</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RP-AmideC16 Supelguard™ Cartridge 5 μm particle size, L × I.D. 2 cm × 4 mm, pkg of 2 e</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20</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RP-AmideC16 HPLC Column particle size,</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21</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C18-AQ</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22</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C18-AQ</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23</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NH2</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24</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Velox Biphenyl </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25</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ShimSen VD C30</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26</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lang w:bidi="zh-CN"/>
              </w:rPr>
              <w:t>氘灯</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4</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个</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27</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INERTSIL ODS-4 </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28</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INERTSIL ODS-P </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支</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29</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Atlantis HILIC Silica </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lastRenderedPageBreak/>
              <w:t>30</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Hypercarb</w:t>
            </w:r>
            <w:r w:rsidRPr="00EE36CF">
              <w:rPr>
                <w:rFonts w:asciiTheme="minorEastAsia" w:eastAsiaTheme="minorEastAsia" w:hAnsiTheme="minorEastAsia" w:hint="eastAsia"/>
                <w:bCs/>
                <w:lang w:bidi="zh-CN"/>
              </w:rPr>
              <w:t>多孔石墨碳色谱柱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31</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TR-Pesticide II</w:t>
            </w:r>
            <w:r w:rsidRPr="00EE36CF">
              <w:rPr>
                <w:rFonts w:asciiTheme="minorEastAsia" w:eastAsiaTheme="minorEastAsia" w:hAnsiTheme="minorEastAsia" w:hint="eastAsia"/>
                <w:bCs/>
                <w:lang w:bidi="zh-CN"/>
              </w:rPr>
              <w:t>气相色谱柱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4</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32</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Venusil MP C18</w:t>
            </w:r>
            <w:r w:rsidRPr="00EE36CF">
              <w:rPr>
                <w:rFonts w:asciiTheme="minorEastAsia" w:eastAsiaTheme="minorEastAsia" w:hAnsiTheme="minorEastAsia" w:hint="eastAsia"/>
                <w:bCs/>
                <w:lang w:bidi="zh-CN"/>
              </w:rPr>
              <w:t>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1</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33</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PRP-X100</w:t>
            </w:r>
            <w:r w:rsidRPr="00EE36CF">
              <w:rPr>
                <w:rFonts w:asciiTheme="minorEastAsia" w:eastAsiaTheme="minorEastAsia" w:hAnsiTheme="minorEastAsia" w:hint="eastAsia"/>
                <w:bCs/>
                <w:lang w:bidi="zh-CN"/>
              </w:rPr>
              <w:t>阴离子交换色谱柱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8</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34</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lang w:bidi="zh-CN"/>
              </w:rPr>
              <w:t>PRP-X100</w:t>
            </w:r>
            <w:r w:rsidRPr="00EE36CF">
              <w:rPr>
                <w:rFonts w:asciiTheme="minorEastAsia" w:eastAsiaTheme="minorEastAsia" w:hAnsiTheme="minorEastAsia" w:cs="宋体" w:hint="eastAsia"/>
                <w:bCs/>
                <w:szCs w:val="21"/>
                <w:lang w:bidi="zh-CN"/>
              </w:rPr>
              <w:t>不锈钢保护柱柱芯</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包</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r w:rsidR="003019F1" w:rsidRPr="00EE36CF" w:rsidTr="00FC6AB8">
        <w:trPr>
          <w:trHeight w:val="468"/>
          <w:jc w:val="center"/>
        </w:trPr>
        <w:tc>
          <w:tcPr>
            <w:tcW w:w="817"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35</w:t>
            </w:r>
          </w:p>
        </w:tc>
        <w:tc>
          <w:tcPr>
            <w:tcW w:w="5095"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GL Inertsil NH2氨基柱</w:t>
            </w:r>
          </w:p>
        </w:tc>
        <w:tc>
          <w:tcPr>
            <w:tcW w:w="1134" w:type="dxa"/>
            <w:vAlign w:val="center"/>
          </w:tcPr>
          <w:p w:rsidR="003019F1" w:rsidRPr="00EE36CF" w:rsidRDefault="003019F1" w:rsidP="00FC6AB8">
            <w:pPr>
              <w:jc w:val="center"/>
              <w:textAlignment w:val="center"/>
              <w:rPr>
                <w:rFonts w:asciiTheme="minorEastAsia" w:eastAsiaTheme="minorEastAsia" w:hAnsiTheme="minorEastAsia" w:cs="宋体"/>
                <w:szCs w:val="21"/>
              </w:rPr>
            </w:pPr>
            <w:r w:rsidRPr="00EE36CF">
              <w:rPr>
                <w:rFonts w:asciiTheme="minorEastAsia" w:eastAsiaTheme="minorEastAsia" w:hAnsiTheme="minorEastAsia" w:cs="宋体" w:hint="eastAsia"/>
                <w:szCs w:val="21"/>
              </w:rPr>
              <w:t>2</w:t>
            </w:r>
          </w:p>
        </w:tc>
        <w:tc>
          <w:tcPr>
            <w:tcW w:w="948" w:type="dxa"/>
          </w:tcPr>
          <w:p w:rsidR="003019F1" w:rsidRPr="00EE36CF" w:rsidRDefault="003019F1" w:rsidP="00FC6AB8">
            <w:pPr>
              <w:jc w:val="center"/>
              <w:rPr>
                <w:rFonts w:asciiTheme="minorEastAsia" w:eastAsiaTheme="minorEastAsia" w:hAnsiTheme="minorEastAsia"/>
                <w:szCs w:val="21"/>
              </w:rPr>
            </w:pPr>
            <w:r w:rsidRPr="00EE36CF">
              <w:rPr>
                <w:rFonts w:asciiTheme="minorEastAsia" w:eastAsiaTheme="minorEastAsia" w:hAnsiTheme="minorEastAsia" w:cs="宋体" w:hint="eastAsia"/>
                <w:szCs w:val="21"/>
              </w:rPr>
              <w:t>件</w:t>
            </w:r>
          </w:p>
        </w:tc>
        <w:tc>
          <w:tcPr>
            <w:tcW w:w="1275" w:type="dxa"/>
            <w:vAlign w:val="center"/>
          </w:tcPr>
          <w:p w:rsidR="003019F1" w:rsidRPr="00EE36CF" w:rsidRDefault="003019F1" w:rsidP="00FC6AB8">
            <w:pPr>
              <w:spacing w:line="360" w:lineRule="auto"/>
              <w:jc w:val="center"/>
              <w:rPr>
                <w:rFonts w:asciiTheme="minorEastAsia" w:eastAsiaTheme="minorEastAsia" w:hAnsiTheme="minorEastAsia" w:cs="宋体"/>
                <w:szCs w:val="21"/>
              </w:rPr>
            </w:pPr>
          </w:p>
        </w:tc>
      </w:tr>
    </w:tbl>
    <w:p w:rsidR="003019F1" w:rsidRPr="00EE36CF" w:rsidRDefault="003019F1" w:rsidP="003019F1">
      <w:pPr>
        <w:pStyle w:val="a5"/>
        <w:rPr>
          <w:rFonts w:asciiTheme="minorEastAsia" w:eastAsiaTheme="minorEastAsia" w:hAnsiTheme="minorEastAsia"/>
          <w:bCs/>
          <w:snapToGrid w:val="0"/>
          <w:kern w:val="0"/>
          <w:sz w:val="24"/>
          <w:szCs w:val="24"/>
        </w:rPr>
      </w:pPr>
    </w:p>
    <w:p w:rsidR="003019F1" w:rsidRPr="00EE36CF" w:rsidRDefault="003019F1" w:rsidP="003019F1">
      <w:pPr>
        <w:pStyle w:val="a5"/>
        <w:rPr>
          <w:rFonts w:asciiTheme="minorEastAsia" w:eastAsiaTheme="minorEastAsia" w:hAnsiTheme="minorEastAsia"/>
          <w:b/>
          <w:bCs/>
          <w:snapToGrid w:val="0"/>
          <w:kern w:val="0"/>
          <w:sz w:val="24"/>
          <w:szCs w:val="24"/>
        </w:rPr>
      </w:pPr>
    </w:p>
    <w:p w:rsidR="003019F1" w:rsidRPr="00EE36CF" w:rsidRDefault="003019F1" w:rsidP="003019F1">
      <w:pPr>
        <w:pStyle w:val="a5"/>
        <w:rPr>
          <w:rFonts w:asciiTheme="minorEastAsia" w:eastAsiaTheme="minorEastAsia" w:hAnsiTheme="minorEastAsia"/>
          <w:b/>
          <w:bCs/>
          <w:snapToGrid w:val="0"/>
          <w:kern w:val="0"/>
          <w:sz w:val="24"/>
          <w:szCs w:val="24"/>
        </w:rPr>
      </w:pPr>
      <w:r w:rsidRPr="00EE36CF">
        <w:rPr>
          <w:rFonts w:asciiTheme="minorEastAsia" w:eastAsiaTheme="minorEastAsia" w:hAnsiTheme="minorEastAsia" w:hint="eastAsia"/>
          <w:b/>
          <w:bCs/>
          <w:snapToGrid w:val="0"/>
          <w:kern w:val="0"/>
          <w:sz w:val="24"/>
          <w:szCs w:val="24"/>
        </w:rPr>
        <w:t>二、具体技术要求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1659"/>
        <w:gridCol w:w="446"/>
        <w:gridCol w:w="3089"/>
        <w:gridCol w:w="2636"/>
      </w:tblGrid>
      <w:tr w:rsidR="003019F1" w:rsidRPr="00EE36CF" w:rsidTr="00FC6AB8">
        <w:trPr>
          <w:tblHeader/>
        </w:trPr>
        <w:tc>
          <w:tcPr>
            <w:tcW w:w="653" w:type="dxa"/>
          </w:tcPr>
          <w:p w:rsidR="003019F1" w:rsidRPr="00EE36CF" w:rsidRDefault="003019F1" w:rsidP="00FC6AB8">
            <w:pPr>
              <w:pStyle w:val="a5"/>
              <w:rPr>
                <w:rFonts w:asciiTheme="minorEastAsia" w:eastAsiaTheme="minorEastAsia" w:hAnsiTheme="minorEastAsia"/>
              </w:rPr>
            </w:pPr>
            <w:r w:rsidRPr="00EE36CF">
              <w:rPr>
                <w:rFonts w:asciiTheme="minorEastAsia" w:eastAsiaTheme="minorEastAsia" w:hAnsiTheme="minorEastAsia" w:hint="eastAsia"/>
              </w:rPr>
              <w:t>序号</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
                <w:szCs w:val="21"/>
              </w:rPr>
            </w:pPr>
            <w:r w:rsidRPr="00EE36CF">
              <w:rPr>
                <w:rFonts w:asciiTheme="minorEastAsia" w:eastAsiaTheme="minorEastAsia" w:hAnsiTheme="minorEastAsia" w:cs="宋体" w:hint="eastAsia"/>
                <w:b/>
                <w:bCs/>
                <w:szCs w:val="21"/>
              </w:rPr>
              <w:t>品名</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
                <w:szCs w:val="21"/>
              </w:rPr>
            </w:pPr>
            <w:r w:rsidRPr="00EE36CF">
              <w:rPr>
                <w:rFonts w:asciiTheme="minorEastAsia" w:eastAsiaTheme="minorEastAsia" w:hAnsiTheme="minorEastAsia" w:hint="eastAsia"/>
                <w:snapToGrid w:val="0"/>
              </w:rPr>
              <w:t>★</w:t>
            </w:r>
            <w:r w:rsidRPr="00EE36CF">
              <w:rPr>
                <w:rFonts w:asciiTheme="minorEastAsia" w:eastAsiaTheme="minorEastAsia" w:hAnsiTheme="minorEastAsia" w:cs="宋体" w:hint="eastAsia"/>
                <w:b/>
                <w:bCs/>
                <w:szCs w:val="21"/>
              </w:rPr>
              <w:t>数量</w:t>
            </w:r>
          </w:p>
        </w:tc>
        <w:tc>
          <w:tcPr>
            <w:tcW w:w="3562" w:type="dxa"/>
            <w:vAlign w:val="center"/>
          </w:tcPr>
          <w:p w:rsidR="003019F1" w:rsidRPr="00EE36CF" w:rsidRDefault="003019F1" w:rsidP="00FC6AB8">
            <w:pPr>
              <w:jc w:val="center"/>
              <w:textAlignment w:val="center"/>
              <w:rPr>
                <w:rFonts w:asciiTheme="minorEastAsia" w:eastAsiaTheme="minorEastAsia" w:hAnsiTheme="minorEastAsia" w:cs="宋体"/>
                <w:b/>
                <w:szCs w:val="21"/>
              </w:rPr>
            </w:pPr>
            <w:r w:rsidRPr="00EE36CF">
              <w:rPr>
                <w:rFonts w:asciiTheme="minorEastAsia" w:eastAsiaTheme="minorEastAsia" w:hAnsiTheme="minorEastAsia" w:hint="eastAsia"/>
                <w:snapToGrid w:val="0"/>
              </w:rPr>
              <w:t>★</w:t>
            </w:r>
            <w:r w:rsidRPr="00EE36CF">
              <w:rPr>
                <w:rFonts w:asciiTheme="minorEastAsia" w:eastAsiaTheme="minorEastAsia" w:hAnsiTheme="minorEastAsia" w:cs="宋体" w:hint="eastAsia"/>
                <w:b/>
                <w:bCs/>
                <w:szCs w:val="21"/>
              </w:rPr>
              <w:t>主要技术参数</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
                <w:szCs w:val="21"/>
              </w:rPr>
            </w:pPr>
            <w:r w:rsidRPr="00EE36CF">
              <w:rPr>
                <w:rFonts w:asciiTheme="minorEastAsia" w:eastAsiaTheme="minorEastAsia" w:hAnsiTheme="minorEastAsia" w:cs="宋体" w:hint="eastAsia"/>
                <w:b/>
                <w:bCs/>
                <w:szCs w:val="21"/>
              </w:rPr>
              <w:t>规格（一般技术参数）</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1</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三键键合式烷基（C18）键合相填料，pH耐受范围（1-12)，孔径130 Å，硅烷醇活性低，表面积：185，USP分类：L1，最大压力：18000 psi (1240 Bar)；提供柱效测试报告。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2.1*100mm,1.7μm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2</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9支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三键键合式烷基（C18）键合相填料，pH耐受范围（1-12)，C含量：12%，球形粒子，孔径：130Å，硅烷醇活性高，表面积：185，最大压力：18000 psi (1240 Bar)，分离模式：亲水相互作用（HILIC），USP分类：L68；提供柱效测试报告。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2.1*50mm,1.7μm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3</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HSS T3</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6支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与100%水溶液流动相兼容的C18固定相，保留水溶性的、极性大的小分子有机化合物；提供柱效测试报告。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2.1*150mm,1.8μm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4</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HILIC Colμmn</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使用亚乙基桥杂化颗粒，，pH耐受范围（1-12)；提供柱效测试报告。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3*100mm，1.7μm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lastRenderedPageBreak/>
              <w:t>5</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三键键合式烷基（C18）键合相填料，pH耐受范围（1-12)；提供柱效测试报告。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2.1*150mm,1.7μm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6</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Amide</w:t>
            </w:r>
            <w:r w:rsidRPr="00EE36CF">
              <w:rPr>
                <w:rFonts w:asciiTheme="minorEastAsia" w:eastAsiaTheme="minorEastAsia" w:hAnsiTheme="minorEastAsia" w:hint="eastAsia"/>
                <w:bCs/>
                <w:szCs w:val="21"/>
                <w:lang w:bidi="zh-CN"/>
              </w:rPr>
              <w:t>液相色谱柱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6支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三键键合的酰胺基(Amide)键合相填料，pH耐受范围(2-11)；提供柱效测试报告。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1.7μm 2.1*100mm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7</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UPLC BEH C18</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7支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三键键合式烷基（C18）键合相填料，pH耐受范围（1-12)，孔径130 Å，硅烷醇活性低，表面积：185，USP分类：L1，最大压力：18000 psi (1240 Bar)；提供柱效测试报告。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2.1*100mm,1.7um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szCs w:val="21"/>
              </w:rPr>
              <w:t>8</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Phenyl Colμmm</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三键键合的苯己基配体（Phenyl）键合相填料，pH耐受范围（1-12)；提供柱效测试报告。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130A,1.7um,2.1mm*100mm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9</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VAC QMA cart</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亲水性的强阴离子交换吸附剂，大孔径，粒径37-55微米，离子交换容量：230 µeq/gram，孔径：300Å，PH范围：2-8。提供柱效测试报告。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3CC/500mg 50/BX</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10</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szCs w:val="21"/>
                <w:lang w:bidi="zh-CN"/>
              </w:rPr>
              <w:t>离子柱</w:t>
            </w:r>
            <w:r w:rsidRPr="00EE36CF">
              <w:rPr>
                <w:rFonts w:asciiTheme="minorEastAsia" w:eastAsiaTheme="minorEastAsia" w:hAnsiTheme="minorEastAsia" w:cs="宋体" w:hint="eastAsia"/>
                <w:bCs/>
                <w:szCs w:val="21"/>
                <w:lang w:bidi="zh-CN"/>
              </w:rPr>
              <w:t>IonPac AS11-HC</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IonPac AS11-HC Analytical Column ，季胺基改性孔径2000Å的交联苯乙烯和二乙烯基苯（55%）强阴离子交换树脂，粒径9μm，柱容量72.5，290μeq，乳胶直径70nm，乳胶交联6%，PH范围0-14。提供柱效测试报告。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 x 250 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11</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szCs w:val="21"/>
                <w:lang w:bidi="zh-CN"/>
              </w:rPr>
              <w:t>离子保护柱</w:t>
            </w:r>
            <w:r w:rsidRPr="00EE36CF">
              <w:rPr>
                <w:rFonts w:asciiTheme="minorEastAsia" w:eastAsiaTheme="minorEastAsia" w:hAnsiTheme="minorEastAsia" w:cs="宋体" w:hint="eastAsia"/>
                <w:bCs/>
                <w:szCs w:val="21"/>
                <w:lang w:bidi="zh-CN"/>
              </w:rPr>
              <w:t>IonPac AG11-HC</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保护柱，IonPac AG11-HC Guard Column ，与离子柱IonPac AS11-HC配套使用。</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 x 50 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12</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Acclaim Trinity P1  3um </w:t>
            </w:r>
            <w:r w:rsidRPr="00EE36CF">
              <w:rPr>
                <w:rFonts w:asciiTheme="minorEastAsia" w:eastAsiaTheme="minorEastAsia" w:hAnsiTheme="minorEastAsia" w:hint="eastAsia"/>
                <w:bCs/>
                <w:szCs w:val="21"/>
                <w:lang w:bidi="zh-CN"/>
              </w:rPr>
              <w:t>分析柱  (2.1 x 100mm)</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固定相采用纳米杂化硅聚合物 (NSH) 技术，由包被有带电荷纳米高分子微球的高纯多孔球形 3 μm 硅胶颗粒组成。这种独特的表面化学作用包括经</w:t>
            </w:r>
            <w:r w:rsidRPr="00EE36CF">
              <w:rPr>
                <w:rFonts w:asciiTheme="minorEastAsia" w:eastAsiaTheme="minorEastAsia" w:hAnsiTheme="minorEastAsia" w:cs="宋体" w:hint="eastAsia"/>
                <w:bCs/>
                <w:szCs w:val="21"/>
                <w:lang w:bidi="zh-CN"/>
              </w:rPr>
              <w:lastRenderedPageBreak/>
              <w:t>有机层改性的内部微孔区域，能同时提供反相和阴离子交换特性。相反，外部微孔表面经阳离子交换功能改性，拥有优异的色谱性能。提供柱效测试报告。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lastRenderedPageBreak/>
              <w:t xml:space="preserve"> 3um,2.1 x 100mm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lastRenderedPageBreak/>
              <w:t>13</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 xml:space="preserve">ACCUCORE POLAR PREMIUM,2.6UM 100X4.6MM </w:t>
            </w:r>
            <w:r w:rsidRPr="00EE36CF">
              <w:rPr>
                <w:rStyle w:val="font11"/>
                <w:rFonts w:asciiTheme="minorEastAsia" w:eastAsiaTheme="minorEastAsia" w:hAnsiTheme="minorEastAsia" w:hint="default"/>
                <w:b w:val="0"/>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 xml:space="preserve">可以实现极性和非极性分析物的快速、高分离度分离。 硬质的 2.6 µm 实心核颗粒可在低反压条件下实现快速、高效的分离。 稳健的酰胺包埋 C18 固定相提供与常规 C18 色谱柱互补的独特选择性，在 pH 1.5–10 范围内保持稳定，并且完全兼容高水性流动相。 </w:t>
            </w:r>
            <w:r w:rsidRPr="00EE36CF">
              <w:rPr>
                <w:rFonts w:asciiTheme="minorEastAsia" w:eastAsiaTheme="minorEastAsia" w:hAnsiTheme="minorEastAsia" w:cs="宋体" w:hint="eastAsia"/>
                <w:bCs/>
                <w:szCs w:val="21"/>
                <w:lang w:bidi="zh-CN"/>
              </w:rPr>
              <w:t>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100*4.6μm,2.6μm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14</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Style w:val="font41"/>
                <w:rFonts w:asciiTheme="minorEastAsia" w:eastAsiaTheme="minorEastAsia" w:hAnsiTheme="minorEastAsia" w:cs="宋体" w:hint="default"/>
                <w:sz w:val="21"/>
                <w:szCs w:val="21"/>
              </w:rPr>
              <w:t xml:space="preserve"> Accucore RP-MS </w:t>
            </w:r>
            <w:r w:rsidRPr="00EE36CF">
              <w:rPr>
                <w:rStyle w:val="font51"/>
                <w:rFonts w:asciiTheme="minorEastAsia" w:eastAsiaTheme="minorEastAsia" w:hAnsiTheme="minorEastAsia" w:cs="宋体" w:hint="eastAsia"/>
              </w:rPr>
              <w:t>色谱柱</w:t>
            </w:r>
            <w:r w:rsidRPr="00EE36CF">
              <w:rPr>
                <w:rStyle w:val="font41"/>
                <w:rFonts w:asciiTheme="minorEastAsia" w:eastAsiaTheme="minorEastAsia" w:hAnsiTheme="minorEastAsia" w:cs="宋体" w:hint="default"/>
                <w:sz w:val="21"/>
                <w:szCs w:val="21"/>
              </w:rPr>
              <w:t>100x2.1mm 2.6µm</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3支</w:t>
            </w:r>
          </w:p>
        </w:tc>
        <w:tc>
          <w:tcPr>
            <w:tcW w:w="3562" w:type="dxa"/>
            <w:vAlign w:val="center"/>
          </w:tcPr>
          <w:p w:rsidR="003019F1" w:rsidRPr="00EE36CF" w:rsidRDefault="003019F1" w:rsidP="00FC6AB8">
            <w:pP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LC-MS 分析柱，基于增强核技术的 Accucore 色谱柱可提供快速、高分离度的分离，而无需亚 2 μm 颗粒所需的高反压。提供柱效测试报告。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100x2.1mm 2.6µm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15</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 xml:space="preserve">AS19 </w:t>
            </w:r>
            <w:r w:rsidRPr="00EE36CF">
              <w:rPr>
                <w:rStyle w:val="font11"/>
                <w:rFonts w:asciiTheme="minorEastAsia" w:eastAsiaTheme="minorEastAsia" w:hAnsiTheme="minorEastAsia" w:hint="default"/>
                <w:b w:val="0"/>
              </w:rPr>
              <w:t>阴离子分析柱</w:t>
            </w:r>
            <w:r w:rsidRPr="00EE36CF">
              <w:rPr>
                <w:rFonts w:asciiTheme="minorEastAsia" w:eastAsiaTheme="minorEastAsia" w:hAnsiTheme="minorEastAsia" w:cs="宋体" w:hint="eastAsia"/>
                <w:szCs w:val="21"/>
              </w:rPr>
              <w:t>,4X250MM</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用于测定饮用水、地下水、食品等多种样品基质中的痕量溴酸盐和其他阴离子。该款色谱柱的高容量和选择性可测定饮用水中低至µg/L水平的溴酸盐， AS19 柱符合美国 EPA 方法 300.0 和 300.1 的性能要求。提供柱效测试报告。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4X250MM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16</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5um Carbohydrate ES 250×4.6mm</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填料(JADE-PAK  Carbohydrate ES)，孔径(12A)，PH范围(2-8)。提供柱效测试报告。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5μm 250mm×4.6mm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17</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 xml:space="preserve">Carotenoid C30 </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t>Carotenoid C30填料，硅胶基质上键合了C30功能团的反相色谱柱；</w:t>
            </w:r>
            <w:r w:rsidRPr="00EE36CF">
              <w:rPr>
                <w:rFonts w:asciiTheme="minorEastAsia" w:eastAsiaTheme="minorEastAsia" w:hAnsiTheme="minorEastAsia" w:cs="宋体" w:hint="eastAsia"/>
                <w:szCs w:val="21"/>
              </w:rPr>
              <w:br/>
              <w:t>1. 对于类胡萝卜素等几何异构体的分离十分有效，对于除类胡萝卜素以外的一些在ODS柱上分离困难的化合物，可作为选择性相异的色谱柱进行尝</w:t>
            </w:r>
            <w:r w:rsidRPr="00EE36CF">
              <w:rPr>
                <w:rFonts w:asciiTheme="minorEastAsia" w:eastAsiaTheme="minorEastAsia" w:hAnsiTheme="minorEastAsia" w:cs="宋体" w:hint="eastAsia"/>
                <w:szCs w:val="21"/>
              </w:rPr>
              <w:lastRenderedPageBreak/>
              <w:t>试。</w:t>
            </w:r>
            <w:r w:rsidRPr="00EE36CF">
              <w:rPr>
                <w:rFonts w:asciiTheme="minorEastAsia" w:eastAsiaTheme="minorEastAsia" w:hAnsiTheme="minorEastAsia" w:cs="宋体" w:hint="eastAsia"/>
                <w:szCs w:val="21"/>
              </w:rPr>
              <w:br/>
              <w:t>2. 适于血液样品，食品，天然产物提取物及商业制剂中类胡萝卜素的分离</w:t>
            </w:r>
            <w:r w:rsidRPr="00EE36CF">
              <w:rPr>
                <w:rFonts w:asciiTheme="minorEastAsia" w:eastAsiaTheme="minorEastAsia" w:hAnsiTheme="minorEastAsia" w:cs="宋体" w:hint="eastAsia"/>
                <w:szCs w:val="21"/>
              </w:rPr>
              <w:br/>
              <w:t>3. 可用于LC/MS和制备组分的回收中低水性或非水性流动相的条件。</w:t>
            </w:r>
            <w:r w:rsidRPr="00EE36CF">
              <w:rPr>
                <w:rFonts w:asciiTheme="minorEastAsia" w:eastAsiaTheme="minorEastAsia" w:hAnsiTheme="minorEastAsia" w:cs="宋体" w:hint="eastAsia"/>
                <w:szCs w:val="21"/>
              </w:rPr>
              <w:br/>
              <w:t>4。提供柱效测试报告。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szCs w:val="21"/>
                <w:lang w:bidi="zh-CN"/>
              </w:rPr>
            </w:pPr>
            <w:r w:rsidRPr="00EE36CF">
              <w:rPr>
                <w:rFonts w:asciiTheme="minorEastAsia" w:eastAsiaTheme="minorEastAsia" w:hAnsiTheme="minorEastAsia" w:cs="宋体" w:hint="eastAsia"/>
                <w:szCs w:val="21"/>
              </w:rPr>
              <w:lastRenderedPageBreak/>
              <w:t>5um 250*4.6mm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lastRenderedPageBreak/>
              <w:t>18</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AG19 </w:t>
            </w:r>
            <w:r w:rsidRPr="00EE36CF">
              <w:rPr>
                <w:rFonts w:asciiTheme="minorEastAsia" w:eastAsiaTheme="minorEastAsia" w:hAnsiTheme="minorEastAsia" w:hint="eastAsia"/>
                <w:bCs/>
                <w:szCs w:val="21"/>
                <w:lang w:bidi="zh-CN"/>
              </w:rPr>
              <w:t>阴离子保护柱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适用于阴离子交换，饮用水中痕量溴酸盐的分析，配套AS19色谱柱用保护柱，最大压力：3000 psi (207 bar)，流动相兼容性：pH 0 to 14, 0 to 100% HPLC Solvents，长度（公制）：50毫米。米，直径（公制）：4 mm。</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4X50mm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19</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RP-AmideC16 Supelguard™ Cartridge 5 μm particle size, L × I.D. 2 cm × 4 mm, pkg of 2 e</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RP-AMIDE C16柱芯，保护柱，适用于 4.0mm 内径和 4.6mm 内径的分析柱，可用于化妆品中染发剂的检测。长×内径 2厘米×4毫米，基质活性基团：酰胺，烷基相，粒径5μm，孔径180Å，USP类型L60，特色行业：食品和饮料，反相分离技术。提供柱效测试报告。</w:t>
            </w:r>
          </w:p>
        </w:tc>
        <w:tc>
          <w:tcPr>
            <w:tcW w:w="2526" w:type="dxa"/>
            <w:vAlign w:val="center"/>
          </w:tcPr>
          <w:p w:rsidR="003019F1" w:rsidRPr="00EE36CF" w:rsidRDefault="003019F1" w:rsidP="00FC6AB8">
            <w:pPr>
              <w:jc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4*200mm，5um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20</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 RP-AmideC16 HPLC Column particle size,</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对极性化合物具有出色的保留能力和分离度，与 C18 柱相比具有独特的选择性，柱效高，峰形良好，疏水性比 C18 柱弱，可兼容 100% 的含水流动相，可用于化妆品中染发剂的检测。提供柱效测试报告。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 L × I.D. 25 cm × 4.6 mm,5 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21</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C18-AQ</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填料(十八烷基GIST C18-AQ)，孔径(10nm)，碳载量(13%)PH范围(1-10),耐纯水相。提供柱效测试报告。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3μm, 4.6x150mm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22</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C18-AQ</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填料(十八烷基GIST C18-AQ)，孔径(10nm)，碳载量(13%)PH范围(1-10),耐纯水</w:t>
            </w:r>
            <w:r w:rsidRPr="00EE36CF">
              <w:rPr>
                <w:rFonts w:asciiTheme="minorEastAsia" w:eastAsiaTheme="minorEastAsia" w:hAnsiTheme="minorEastAsia" w:cs="宋体" w:hint="eastAsia"/>
                <w:bCs/>
                <w:szCs w:val="21"/>
                <w:lang w:bidi="zh-CN"/>
              </w:rPr>
              <w:lastRenderedPageBreak/>
              <w:t>相。提供柱效测试报告。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lastRenderedPageBreak/>
              <w:t>5μm, 4.6x150mm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lastRenderedPageBreak/>
              <w:t>23</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GIST NH2</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填料(氨丙基GIST NH2)，孔径(10nm)，碳载量(7%)PH范围(2-7.5)；提供柱效测试报告。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5μm, 4.6x250mm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24</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Velox Biphenyl </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填料(二苯基Velox Biphenyl )，键合相：苯基，孔径：90Å，USP类型L11，比表面积：130㎡/g，含碳量：7%，端基封尾，PH耐受温度：1.5-8.0，极限耐压：60MPa，能够增强含有芳香基团的化合物的保留，适用于生物样品分析中含有偶极作用，不饱和键和配位基团的极性化合物分析。联苯键合相也增强了立体空间结构的选择性，对结构具有微小差异的化合物或者同分异构体也有和那红的分离效果。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2.7μm 2.1x50mm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25</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ShimSen VD C30</w:t>
            </w:r>
            <w:r w:rsidRPr="00EE36CF">
              <w:rPr>
                <w:rFonts w:asciiTheme="minorEastAsia" w:eastAsiaTheme="minorEastAsia" w:hAnsiTheme="minorEastAsia" w:hint="eastAsia"/>
                <w:bCs/>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填料(C30硅烷相)，适用于GB5009.82—2016《食品中维生素A、D、E的测定》，婴幼儿配方奶粉中维生素A、E的检测。提供柱效测试报告。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3μm 4.6x250mm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26</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szCs w:val="21"/>
                <w:lang w:bidi="zh-CN"/>
              </w:rPr>
              <w:t>氘灯</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4个</w:t>
            </w:r>
          </w:p>
        </w:tc>
        <w:tc>
          <w:tcPr>
            <w:tcW w:w="3562" w:type="dxa"/>
            <w:vAlign w:val="center"/>
          </w:tcPr>
          <w:p w:rsidR="003019F1" w:rsidRPr="00EE36CF" w:rsidRDefault="003019F1" w:rsidP="00FC6AB8">
            <w:pP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岛津SPD-M20A检测器用，可追溯产品信息，包括序列号、产品货号和使用情况,氘灯测试的电子记录</w:t>
            </w:r>
          </w:p>
        </w:tc>
        <w:tc>
          <w:tcPr>
            <w:tcW w:w="2526" w:type="dxa"/>
            <w:vAlign w:val="center"/>
          </w:tcPr>
          <w:p w:rsidR="003019F1" w:rsidRPr="00EE36CF" w:rsidRDefault="003019F1" w:rsidP="00FC6AB8">
            <w:pPr>
              <w:jc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27</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INERTSIL ODS-4</w:t>
            </w:r>
            <w:r w:rsidRPr="00EE36CF">
              <w:rPr>
                <w:rFonts w:asciiTheme="minorEastAsia" w:eastAsiaTheme="minorEastAsia" w:hAnsiTheme="minorEastAsia" w:hint="eastAsia"/>
                <w:bCs/>
                <w:lang w:bidi="zh-CN"/>
              </w:rPr>
              <w:t>色谱柱</w:t>
            </w:r>
            <w:r w:rsidRPr="00EE36CF">
              <w:rPr>
                <w:rFonts w:asciiTheme="minorEastAsia" w:eastAsiaTheme="minorEastAsia" w:hAnsiTheme="minorEastAsia" w:cs="宋体" w:hint="eastAsia"/>
                <w:bCs/>
                <w:szCs w:val="21"/>
                <w:lang w:bidi="zh-CN"/>
              </w:rPr>
              <w:t xml:space="preserve"> </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填料(十八烷基ODS-4)，孔径(100A)，碳载量(11%)，PH范围(2-7.5)。提供柱效测试报告。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2μm 3.0X 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28</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INERTSIL ODS-P</w:t>
            </w:r>
            <w:r w:rsidRPr="00EE36CF">
              <w:rPr>
                <w:rFonts w:asciiTheme="minorEastAsia" w:eastAsiaTheme="minorEastAsia" w:hAnsiTheme="minorEastAsia" w:hint="eastAsia"/>
                <w:bCs/>
                <w:lang w:bidi="zh-CN"/>
              </w:rPr>
              <w:t>色谱柱</w:t>
            </w:r>
            <w:r w:rsidRPr="00EE36CF">
              <w:rPr>
                <w:rFonts w:asciiTheme="minorEastAsia" w:eastAsiaTheme="minorEastAsia" w:hAnsiTheme="minorEastAsia" w:cs="宋体" w:hint="eastAsia"/>
                <w:bCs/>
                <w:szCs w:val="21"/>
                <w:lang w:bidi="zh-CN"/>
              </w:rPr>
              <w:t xml:space="preserve"> </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1支</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填料(十八烷基ODS-P )，孔径(100A)，碳载量(29%)，PH范围(2-7.5)。提供柱效测试报告。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5μm 4.6X250mm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29</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 xml:space="preserve">Atlantis HILIC Silica </w:t>
            </w:r>
            <w:r w:rsidRPr="00EE36CF">
              <w:rPr>
                <w:rFonts w:asciiTheme="minorEastAsia" w:eastAsiaTheme="minorEastAsia" w:hAnsiTheme="minorEastAsia" w:hint="eastAsia"/>
                <w:bCs/>
                <w:szCs w:val="21"/>
                <w:lang w:bidi="zh-CN"/>
              </w:rPr>
              <w:lastRenderedPageBreak/>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lastRenderedPageBreak/>
              <w:t>2件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规格2.1*150mm，3μm，孔径100 Å，分离模式：</w:t>
            </w:r>
            <w:r w:rsidRPr="00EE36CF">
              <w:rPr>
                <w:rFonts w:asciiTheme="minorEastAsia" w:eastAsiaTheme="minorEastAsia" w:hAnsiTheme="minorEastAsia" w:cs="宋体" w:hint="eastAsia"/>
                <w:bCs/>
                <w:szCs w:val="21"/>
                <w:lang w:bidi="zh-CN"/>
              </w:rPr>
              <w:lastRenderedPageBreak/>
              <w:t>Hydrophilic Interaction (HILIC)，USP号：L3，PH范围：1-5，最大压力：6000 psi (415 Bar)，表面积：330m²/g，Silica柱，硅烷醇活性高，包装：1/pk。提供柱效测试报告。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lastRenderedPageBreak/>
              <w:t>2.1*150mm，3μm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lastRenderedPageBreak/>
              <w:t>30</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Hypercarb</w:t>
            </w:r>
            <w:r w:rsidRPr="00EE36CF">
              <w:rPr>
                <w:rFonts w:asciiTheme="minorEastAsia" w:eastAsiaTheme="minorEastAsia" w:hAnsiTheme="minorEastAsia" w:hint="eastAsia"/>
                <w:bCs/>
                <w:szCs w:val="21"/>
                <w:lang w:bidi="zh-CN"/>
              </w:rPr>
              <w:t>多孔石墨碳色谱柱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规格2.1*100mm，3μm，色谱柱类型：极性保留 ，包装材料：Spherical, Porous Graphitic Carbon ，碳载量100% ，最大压力5800 psi (400 bar) ，pH0 - 14 ，孔径250 ，表面积120平方米/ g ，温度105°C ，固定相：Hypercarb ，100% 多孔石墨碳可增强分离能力，对极性化合物的保留能力增强，提高了对结构相近化合物的分离能力，在极端 pH 值和高温条件下仍能保持稳定性。提供柱效测试报告。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2.1*100mm，3μm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31</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TR-Pesticide II</w:t>
            </w:r>
            <w:r w:rsidRPr="00EE36CF">
              <w:rPr>
                <w:rFonts w:asciiTheme="minorEastAsia" w:eastAsiaTheme="minorEastAsia" w:hAnsiTheme="minorEastAsia" w:hint="eastAsia"/>
                <w:bCs/>
                <w:szCs w:val="21"/>
                <w:lang w:bidi="zh-CN"/>
              </w:rPr>
              <w:t>气相色谱柱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规格30m*0.25mm*0.25μm，农药用 TRAC GC 色谱柱，适用于（应用）GC ，Product LineTRACE ，Stationary PhaseTR- II农药 ，USP 分类G43 ，最高温度280/300°C ，可高效、灵敏且可重现地鉴别有机磷和有机氯农药。提供柱效测试报告。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30m*0.25mm*0.25μm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32</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Venusil MP C18</w:t>
            </w:r>
            <w:r w:rsidRPr="00EE36CF">
              <w:rPr>
                <w:rFonts w:asciiTheme="minorEastAsia" w:eastAsiaTheme="minorEastAsia" w:hAnsiTheme="minorEastAsia" w:hint="eastAsia"/>
                <w:bCs/>
                <w:szCs w:val="21"/>
                <w:lang w:bidi="zh-CN"/>
              </w:rPr>
              <w:t>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1件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4.6×150mm，5μm，适用甲基汞形态分析仪，碳载量18%，比表面：380m²/g，键合相：C18，硅胶纯度＞99.999%，封端：单封尾，ph使用范围1.5-9.0，利用双层表面处理技术在硅胶表面形成亲水层，降低硅胶酸性，提高硅胶表面纯度，增加表面硅羟基数量，适用于100% 水相。提供柱效测试报告。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4.6×150mm,5μm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lastRenderedPageBreak/>
              <w:t>33</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PRP-X100</w:t>
            </w:r>
            <w:r w:rsidRPr="00EE36CF">
              <w:rPr>
                <w:rFonts w:asciiTheme="minorEastAsia" w:eastAsiaTheme="minorEastAsia" w:hAnsiTheme="minorEastAsia" w:hint="eastAsia"/>
                <w:bCs/>
                <w:szCs w:val="21"/>
                <w:lang w:bidi="zh-CN"/>
              </w:rPr>
              <w:t>阴离子交换色谱柱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8件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规格4.1mmX250mm，10μm，适用无机砷形态分析仪，包装材料类型：PSDVB/Trimethylammonium ，孔径100Å，材料：不锈钢 ，最大压力：5,000 psi ，交换容量：0.19 meq/gm ，交换柱容量：0.304 meq/column ， pH：1-13，可使用0-100%的有机溶剂进行疏水性阴离子的洗脱或清洗柱子， 缓冲强度：0.0-0.5N，最高温度：pH 1-7.9时，最高温度为56℃， pH 8-13时，最高温度为：53℃，适用化合物类型：有机/无机阴离子。提供柱效测试报告。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4.1mm*250mm，10μm</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34</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hint="eastAsia"/>
                <w:bCs/>
                <w:szCs w:val="21"/>
                <w:lang w:bidi="zh-CN"/>
              </w:rPr>
              <w:t>PRP-X100</w:t>
            </w:r>
            <w:r w:rsidRPr="00EE36CF">
              <w:rPr>
                <w:rFonts w:asciiTheme="minorEastAsia" w:eastAsiaTheme="minorEastAsia" w:hAnsiTheme="minorEastAsia" w:cs="宋体" w:hint="eastAsia"/>
                <w:bCs/>
                <w:szCs w:val="21"/>
                <w:lang w:bidi="zh-CN"/>
              </w:rPr>
              <w:t>不锈钢保护柱柱芯</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2包</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PRP-X100 GRD COL RPL KIT，20×2.0mm， 适用无机砷色谱柱保护柱， 内径2.1mm， 长度20mm， 粒径10 µm， 包装材料：PSDVB/Trimethylammonium ，材料：不锈钢 ，最大压力：5,000 psi ，pH 1-13，可使用0-100%的有机溶剂进行疏水性阴离子的洗脱或清洗柱子，适用化合物类型：有机/无机阴离子。</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(5/PK)，20×2.0mm，5个/包</w:t>
            </w:r>
          </w:p>
        </w:tc>
      </w:tr>
      <w:tr w:rsidR="003019F1" w:rsidRPr="00EE36CF" w:rsidTr="00FC6AB8">
        <w:tc>
          <w:tcPr>
            <w:tcW w:w="653" w:type="dxa"/>
            <w:vAlign w:val="center"/>
          </w:tcPr>
          <w:p w:rsidR="003019F1" w:rsidRPr="00EE36CF" w:rsidRDefault="003019F1" w:rsidP="00FC6AB8">
            <w:pPr>
              <w:jc w:val="center"/>
              <w:textAlignment w:val="center"/>
              <w:rPr>
                <w:rFonts w:asciiTheme="minorEastAsia" w:eastAsiaTheme="minorEastAsia" w:hAnsiTheme="minorEastAsia"/>
                <w:szCs w:val="21"/>
              </w:rPr>
            </w:pPr>
            <w:r w:rsidRPr="00EE36CF">
              <w:rPr>
                <w:rFonts w:asciiTheme="minorEastAsia" w:eastAsiaTheme="minorEastAsia" w:hAnsiTheme="minorEastAsia" w:hint="eastAsia"/>
                <w:szCs w:val="21"/>
              </w:rPr>
              <w:t>35</w:t>
            </w:r>
          </w:p>
        </w:tc>
        <w:tc>
          <w:tcPr>
            <w:tcW w:w="2099"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GL Inertsil NH2氨基柱</w:t>
            </w:r>
          </w:p>
        </w:tc>
        <w:tc>
          <w:tcPr>
            <w:tcW w:w="764"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2件</w:t>
            </w:r>
          </w:p>
        </w:tc>
        <w:tc>
          <w:tcPr>
            <w:tcW w:w="3562" w:type="dxa"/>
            <w:vAlign w:val="center"/>
          </w:tcPr>
          <w:p w:rsidR="003019F1" w:rsidRPr="00EE36CF" w:rsidRDefault="003019F1" w:rsidP="00FC6AB8">
            <w:pP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规格250mm*4.6mm，5μm，基体：3系列高纯度硅胶，化学键合基团：氨丙基，孔径100Å，含碳量8%，微孔容积：1.05ml/g，表面积：450m²/g，USP号：L8，端基封尾：无，可以正相/反相使用。提供柱效测试报告。</w:t>
            </w:r>
          </w:p>
        </w:tc>
        <w:tc>
          <w:tcPr>
            <w:tcW w:w="2526" w:type="dxa"/>
            <w:vAlign w:val="center"/>
          </w:tcPr>
          <w:p w:rsidR="003019F1" w:rsidRPr="00EE36CF" w:rsidRDefault="003019F1" w:rsidP="00FC6AB8">
            <w:pPr>
              <w:jc w:val="center"/>
              <w:textAlignment w:val="center"/>
              <w:rPr>
                <w:rFonts w:asciiTheme="minorEastAsia" w:eastAsiaTheme="minorEastAsia" w:hAnsiTheme="minorEastAsia" w:cs="宋体"/>
                <w:bCs/>
                <w:szCs w:val="21"/>
                <w:lang w:bidi="zh-CN"/>
              </w:rPr>
            </w:pPr>
            <w:r w:rsidRPr="00EE36CF">
              <w:rPr>
                <w:rFonts w:asciiTheme="minorEastAsia" w:eastAsiaTheme="minorEastAsia" w:hAnsiTheme="minorEastAsia" w:cs="宋体" w:hint="eastAsia"/>
                <w:bCs/>
                <w:szCs w:val="21"/>
                <w:lang w:bidi="zh-CN"/>
              </w:rPr>
              <w:t>250mm*4.6mm，5μm</w:t>
            </w:r>
          </w:p>
        </w:tc>
      </w:tr>
    </w:tbl>
    <w:p w:rsidR="003019F1" w:rsidRPr="00EE36CF" w:rsidRDefault="003019F1" w:rsidP="003019F1">
      <w:pPr>
        <w:pStyle w:val="a5"/>
        <w:rPr>
          <w:rFonts w:asciiTheme="minorEastAsia" w:eastAsiaTheme="minorEastAsia" w:hAnsiTheme="minorEastAsia"/>
        </w:rPr>
      </w:pPr>
    </w:p>
    <w:p w:rsidR="003019F1" w:rsidRPr="00EE36CF" w:rsidRDefault="003019F1" w:rsidP="003019F1">
      <w:pPr>
        <w:spacing w:line="360" w:lineRule="auto"/>
        <w:rPr>
          <w:rFonts w:asciiTheme="minorEastAsia" w:eastAsiaTheme="minorEastAsia" w:hAnsiTheme="minorEastAsia"/>
          <w:b/>
          <w:bCs/>
          <w:snapToGrid w:val="0"/>
          <w:sz w:val="24"/>
        </w:rPr>
      </w:pPr>
      <w:r w:rsidRPr="00EE36CF">
        <w:rPr>
          <w:rFonts w:asciiTheme="minorEastAsia" w:eastAsiaTheme="minorEastAsia" w:hAnsiTheme="minorEastAsia" w:hint="eastAsia"/>
          <w:b/>
          <w:bCs/>
          <w:snapToGrid w:val="0"/>
          <w:sz w:val="24"/>
        </w:rPr>
        <w:t>三、商务要求</w:t>
      </w:r>
    </w:p>
    <w:p w:rsidR="003019F1" w:rsidRPr="00EE36CF" w:rsidRDefault="003019F1" w:rsidP="003019F1">
      <w:pPr>
        <w:shd w:val="clear" w:color="auto" w:fill="FFFFFF"/>
        <w:tabs>
          <w:tab w:val="left" w:pos="900"/>
        </w:tabs>
        <w:spacing w:line="360" w:lineRule="auto"/>
        <w:rPr>
          <w:rFonts w:asciiTheme="minorEastAsia" w:eastAsiaTheme="minorEastAsia" w:hAnsiTheme="minorEastAsia"/>
          <w:szCs w:val="21"/>
        </w:rPr>
      </w:pPr>
      <w:r w:rsidRPr="00EE36CF">
        <w:rPr>
          <w:rFonts w:asciiTheme="minorEastAsia" w:eastAsiaTheme="minorEastAsia" w:hAnsiTheme="minorEastAsia" w:hint="eastAsia"/>
          <w:szCs w:val="21"/>
        </w:rPr>
        <w:t>1、签定合同日期：自中标(成交)通知书发出之日起30日内。</w:t>
      </w:r>
    </w:p>
    <w:p w:rsidR="003019F1" w:rsidRPr="00EE36CF" w:rsidRDefault="003019F1" w:rsidP="003019F1">
      <w:pPr>
        <w:pStyle w:val="a5"/>
        <w:spacing w:line="360" w:lineRule="auto"/>
        <w:rPr>
          <w:rFonts w:asciiTheme="minorEastAsia" w:eastAsiaTheme="minorEastAsia" w:hAnsiTheme="minorEastAsia"/>
        </w:rPr>
      </w:pPr>
      <w:r w:rsidRPr="00EE36CF">
        <w:rPr>
          <w:rFonts w:asciiTheme="minorEastAsia" w:eastAsiaTheme="minorEastAsia" w:hAnsiTheme="minorEastAsia" w:hint="eastAsia"/>
        </w:rPr>
        <w:lastRenderedPageBreak/>
        <w:t>2、合同履行期限：自合同签订生效之日起12个月或合同供货达到约定上限，合同自动结束。合同结束后根据合同履约情况经双方协商一致后，可续签合同，每次续签合同期限为12个月，总合同期限不超过36个月。</w:t>
      </w:r>
    </w:p>
    <w:p w:rsidR="003019F1" w:rsidRPr="00EE36CF" w:rsidRDefault="003019F1" w:rsidP="003019F1">
      <w:pPr>
        <w:shd w:val="clear" w:color="auto" w:fill="FFFFFF"/>
        <w:tabs>
          <w:tab w:val="left" w:pos="900"/>
        </w:tabs>
        <w:spacing w:line="360" w:lineRule="auto"/>
        <w:rPr>
          <w:rFonts w:asciiTheme="minorEastAsia" w:eastAsiaTheme="minorEastAsia" w:hAnsiTheme="minorEastAsia"/>
          <w:szCs w:val="21"/>
        </w:rPr>
      </w:pPr>
      <w:r w:rsidRPr="00EE36CF">
        <w:rPr>
          <w:rFonts w:asciiTheme="minorEastAsia" w:eastAsiaTheme="minorEastAsia" w:hAnsiTheme="minorEastAsia" w:hint="eastAsia"/>
          <w:snapToGrid w:val="0"/>
        </w:rPr>
        <w:t>★</w:t>
      </w:r>
      <w:r w:rsidRPr="00EE36CF">
        <w:rPr>
          <w:rFonts w:asciiTheme="minorEastAsia" w:eastAsiaTheme="minorEastAsia" w:hAnsiTheme="minorEastAsia" w:hint="eastAsia"/>
          <w:szCs w:val="21"/>
        </w:rPr>
        <w:t>3、交货期：</w:t>
      </w:r>
      <w:r w:rsidRPr="00EE36CF">
        <w:rPr>
          <w:rFonts w:asciiTheme="minorEastAsia" w:eastAsiaTheme="minorEastAsia" w:hAnsiTheme="minorEastAsia" w:hint="eastAsia"/>
        </w:rPr>
        <w:t>自签订合同之日起一年多次交货，收到采购人下达订单后14天内到货，对于招标人采购时特殊说明可做延期供应的理化色谱分析耗材30天内到货。</w:t>
      </w:r>
    </w:p>
    <w:p w:rsidR="003019F1" w:rsidRPr="00EE36CF" w:rsidRDefault="003019F1" w:rsidP="003019F1">
      <w:pPr>
        <w:shd w:val="clear" w:color="auto" w:fill="FFFFFF"/>
        <w:tabs>
          <w:tab w:val="left" w:pos="900"/>
        </w:tabs>
        <w:spacing w:line="360" w:lineRule="auto"/>
        <w:rPr>
          <w:rFonts w:asciiTheme="minorEastAsia" w:eastAsiaTheme="minorEastAsia" w:hAnsiTheme="minorEastAsia"/>
          <w:szCs w:val="21"/>
        </w:rPr>
      </w:pPr>
      <w:r w:rsidRPr="00EE36CF">
        <w:rPr>
          <w:rFonts w:asciiTheme="minorEastAsia" w:eastAsiaTheme="minorEastAsia" w:hAnsiTheme="minorEastAsia" w:hint="eastAsia"/>
          <w:szCs w:val="21"/>
        </w:rPr>
        <w:t>4、交货地点：深圳海关食品检验检疫技术中心指定地点。</w:t>
      </w:r>
    </w:p>
    <w:p w:rsidR="003019F1" w:rsidRPr="00EE36CF" w:rsidRDefault="003019F1" w:rsidP="003019F1">
      <w:pPr>
        <w:shd w:val="clear" w:color="auto" w:fill="FFFFFF"/>
        <w:tabs>
          <w:tab w:val="left" w:pos="900"/>
        </w:tabs>
        <w:spacing w:line="360" w:lineRule="auto"/>
        <w:rPr>
          <w:rFonts w:asciiTheme="minorEastAsia" w:eastAsiaTheme="minorEastAsia" w:hAnsiTheme="minorEastAsia"/>
          <w:szCs w:val="21"/>
        </w:rPr>
      </w:pPr>
      <w:r w:rsidRPr="00EE36CF">
        <w:rPr>
          <w:rFonts w:asciiTheme="minorEastAsia" w:eastAsiaTheme="minorEastAsia" w:hAnsiTheme="minorEastAsia" w:hint="eastAsia"/>
          <w:szCs w:val="21"/>
        </w:rPr>
        <w:t>5、质保</w:t>
      </w:r>
      <w:r w:rsidRPr="00EE36CF">
        <w:rPr>
          <w:rFonts w:asciiTheme="minorEastAsia" w:eastAsiaTheme="minorEastAsia" w:hAnsiTheme="minorEastAsia"/>
          <w:szCs w:val="21"/>
        </w:rPr>
        <w:t>期</w:t>
      </w:r>
      <w:r w:rsidRPr="00EE36CF">
        <w:rPr>
          <w:rFonts w:asciiTheme="minorEastAsia" w:eastAsiaTheme="minorEastAsia" w:hAnsiTheme="minorEastAsia" w:hint="eastAsia"/>
          <w:szCs w:val="21"/>
        </w:rPr>
        <w:t>、培训及售后服务要求：非因人为原因形成的质量问题的，可以在发货后（以发货日期为准）90天内免费提供换货服务；</w:t>
      </w:r>
    </w:p>
    <w:p w:rsidR="003019F1" w:rsidRPr="00EE36CF" w:rsidRDefault="003019F1" w:rsidP="003019F1">
      <w:pPr>
        <w:pStyle w:val="a5"/>
        <w:spacing w:line="360" w:lineRule="auto"/>
        <w:rPr>
          <w:rFonts w:asciiTheme="minorEastAsia" w:eastAsiaTheme="minorEastAsia" w:hAnsiTheme="minorEastAsia"/>
        </w:rPr>
      </w:pPr>
      <w:r w:rsidRPr="00EE36CF">
        <w:rPr>
          <w:rFonts w:asciiTheme="minorEastAsia" w:eastAsiaTheme="minorEastAsia" w:hAnsiTheme="minorEastAsia" w:hint="eastAsia"/>
        </w:rPr>
        <w:t>6、本次采购项目的采购需求数量为预估数量，不作为合同签订采购数量。以成交供应商的报价单价作为成交依据，报价总价作为合同供货上限，同一项目中的采购数量可根据实际使用需要进行调整。</w:t>
      </w:r>
    </w:p>
    <w:p w:rsidR="003019F1" w:rsidRPr="00EE36CF" w:rsidRDefault="003019F1" w:rsidP="003019F1">
      <w:pPr>
        <w:pStyle w:val="a5"/>
        <w:spacing w:line="360" w:lineRule="auto"/>
        <w:rPr>
          <w:rFonts w:asciiTheme="minorEastAsia" w:eastAsiaTheme="minorEastAsia" w:hAnsiTheme="minorEastAsia"/>
        </w:rPr>
      </w:pPr>
      <w:r w:rsidRPr="00EE36CF">
        <w:rPr>
          <w:rFonts w:asciiTheme="minorEastAsia" w:eastAsiaTheme="minorEastAsia" w:hAnsiTheme="minorEastAsia" w:hint="eastAsia"/>
        </w:rPr>
        <w:t>7、付款方式：按中标单价进行结算。依据实际采购批次，采用每批次分批结算方法。货款凭发票、送货单、购置验收入库单由甲方直接转入乙方指定账号。</w:t>
      </w:r>
    </w:p>
    <w:p w:rsidR="004358AB" w:rsidRPr="00EE36CF" w:rsidRDefault="004358AB" w:rsidP="00D31D50">
      <w:pPr>
        <w:spacing w:line="220" w:lineRule="atLeast"/>
        <w:rPr>
          <w:rFonts w:asciiTheme="minorEastAsia" w:eastAsiaTheme="minorEastAsia" w:hAnsiTheme="minorEastAsia"/>
        </w:rPr>
      </w:pPr>
    </w:p>
    <w:sectPr w:rsidR="004358AB" w:rsidRPr="00EE36C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8FA" w:rsidRDefault="009448FA" w:rsidP="003019F1">
      <w:pPr>
        <w:spacing w:after="0"/>
      </w:pPr>
      <w:r>
        <w:separator/>
      </w:r>
    </w:p>
  </w:endnote>
  <w:endnote w:type="continuationSeparator" w:id="0">
    <w:p w:rsidR="009448FA" w:rsidRDefault="009448FA" w:rsidP="003019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8FA" w:rsidRDefault="009448FA" w:rsidP="003019F1">
      <w:pPr>
        <w:spacing w:after="0"/>
      </w:pPr>
      <w:r>
        <w:separator/>
      </w:r>
    </w:p>
  </w:footnote>
  <w:footnote w:type="continuationSeparator" w:id="0">
    <w:p w:rsidR="009448FA" w:rsidRDefault="009448FA" w:rsidP="003019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019F1"/>
    <w:rsid w:val="00323B43"/>
    <w:rsid w:val="003D37D8"/>
    <w:rsid w:val="00426133"/>
    <w:rsid w:val="004358AB"/>
    <w:rsid w:val="0081793F"/>
    <w:rsid w:val="008B7726"/>
    <w:rsid w:val="009448FA"/>
    <w:rsid w:val="00D31D50"/>
    <w:rsid w:val="00D53889"/>
    <w:rsid w:val="00E40B5E"/>
    <w:rsid w:val="00EE3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3019F1"/>
    <w:pPr>
      <w:widowControl w:val="0"/>
      <w:adjustRightInd/>
      <w:snapToGrid/>
      <w:spacing w:before="340" w:after="330" w:line="360" w:lineRule="auto"/>
      <w:jc w:val="center"/>
      <w:outlineLvl w:val="0"/>
    </w:pPr>
    <w:rPr>
      <w:rFonts w:ascii="Calibri" w:eastAsia="宋体" w:hAnsi="Calibri" w:cs="Times New Roman"/>
      <w:b/>
      <w:kern w:val="44"/>
      <w:sz w:val="4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9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19F1"/>
    <w:rPr>
      <w:rFonts w:ascii="Tahoma" w:hAnsi="Tahoma"/>
      <w:sz w:val="18"/>
      <w:szCs w:val="18"/>
    </w:rPr>
  </w:style>
  <w:style w:type="paragraph" w:styleId="a4">
    <w:name w:val="footer"/>
    <w:basedOn w:val="a"/>
    <w:link w:val="Char0"/>
    <w:uiPriority w:val="99"/>
    <w:semiHidden/>
    <w:unhideWhenUsed/>
    <w:rsid w:val="003019F1"/>
    <w:pPr>
      <w:tabs>
        <w:tab w:val="center" w:pos="4153"/>
        <w:tab w:val="right" w:pos="8306"/>
      </w:tabs>
    </w:pPr>
    <w:rPr>
      <w:sz w:val="18"/>
      <w:szCs w:val="18"/>
    </w:rPr>
  </w:style>
  <w:style w:type="character" w:customStyle="1" w:styleId="Char0">
    <w:name w:val="页脚 Char"/>
    <w:basedOn w:val="a0"/>
    <w:link w:val="a4"/>
    <w:uiPriority w:val="99"/>
    <w:semiHidden/>
    <w:rsid w:val="003019F1"/>
    <w:rPr>
      <w:rFonts w:ascii="Tahoma" w:hAnsi="Tahoma"/>
      <w:sz w:val="18"/>
      <w:szCs w:val="18"/>
    </w:rPr>
  </w:style>
  <w:style w:type="character" w:customStyle="1" w:styleId="1Char">
    <w:name w:val="标题 1 Char"/>
    <w:basedOn w:val="a0"/>
    <w:link w:val="1"/>
    <w:qFormat/>
    <w:rsid w:val="003019F1"/>
    <w:rPr>
      <w:rFonts w:ascii="Calibri" w:eastAsia="宋体" w:hAnsi="Calibri" w:cs="Times New Roman"/>
      <w:b/>
      <w:kern w:val="44"/>
      <w:sz w:val="44"/>
      <w:szCs w:val="28"/>
    </w:rPr>
  </w:style>
  <w:style w:type="paragraph" w:styleId="a5">
    <w:name w:val="Plain Text"/>
    <w:basedOn w:val="a"/>
    <w:link w:val="Char1"/>
    <w:unhideWhenUsed/>
    <w:qFormat/>
    <w:rsid w:val="003019F1"/>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5"/>
    <w:qFormat/>
    <w:rsid w:val="003019F1"/>
    <w:rPr>
      <w:rFonts w:ascii="宋体" w:eastAsia="宋体" w:hAnsi="Courier New" w:cs="Courier New"/>
      <w:kern w:val="2"/>
      <w:sz w:val="21"/>
      <w:szCs w:val="21"/>
    </w:rPr>
  </w:style>
  <w:style w:type="character" w:customStyle="1" w:styleId="font11">
    <w:name w:val="font11"/>
    <w:basedOn w:val="a0"/>
    <w:qFormat/>
    <w:rsid w:val="003019F1"/>
    <w:rPr>
      <w:rFonts w:ascii="宋体" w:eastAsia="宋体" w:hAnsi="宋体" w:cs="宋体" w:hint="eastAsia"/>
      <w:b/>
      <w:color w:val="000000"/>
      <w:sz w:val="21"/>
      <w:szCs w:val="21"/>
      <w:u w:val="none"/>
    </w:rPr>
  </w:style>
  <w:style w:type="character" w:customStyle="1" w:styleId="font41">
    <w:name w:val="font41"/>
    <w:basedOn w:val="a0"/>
    <w:qFormat/>
    <w:rsid w:val="003019F1"/>
    <w:rPr>
      <w:rFonts w:ascii="仿宋_GB2312" w:eastAsia="仿宋_GB2312" w:cs="仿宋_GB2312" w:hint="eastAsia"/>
      <w:color w:val="000000"/>
      <w:sz w:val="20"/>
      <w:szCs w:val="20"/>
      <w:u w:val="none"/>
    </w:rPr>
  </w:style>
  <w:style w:type="character" w:customStyle="1" w:styleId="font51">
    <w:name w:val="font51"/>
    <w:basedOn w:val="a0"/>
    <w:qFormat/>
    <w:rsid w:val="003019F1"/>
    <w:rPr>
      <w:rFonts w:ascii="仿宋" w:eastAsia="仿宋" w:hAnsi="仿宋" w:cs="仿宋"/>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中正-周</cp:lastModifiedBy>
  <cp:revision>3</cp:revision>
  <dcterms:created xsi:type="dcterms:W3CDTF">2008-09-11T17:20:00Z</dcterms:created>
  <dcterms:modified xsi:type="dcterms:W3CDTF">2021-04-13T09:13:00Z</dcterms:modified>
</cp:coreProperties>
</file>