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3zNcdcAAAAIAQAADwAAAAAAAAABACAAAAAiAAAA&#10;ZHJzL2Rvd25yZXYueG1sUEsBAhQAFAAAAAgAh07iQDqqxfAIAgAAOAQAAA4AAAAAAAAAAQAgAAAA&#10;JgEAAGRycy9lMm9Eb2MueG1sUEsFBgAAAAAGAAYAWQEAAKAFA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2022年深圳市菜篮子基地工作（基地监测）</w:t>
      </w: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SZDL2022000716</w:t>
      </w:r>
    </w:p>
    <w:p>
      <w:pPr>
        <w:adjustRightInd w:val="0"/>
        <w:snapToGrid w:val="0"/>
        <w:spacing w:line="300" w:lineRule="auto"/>
        <w:jc w:val="center"/>
        <w:rPr>
          <w:rFonts w:asciiTheme="minorEastAsia" w:hAnsiTheme="minorEastAsia" w:eastAsiaTheme="minorEastAsia"/>
          <w:b/>
          <w:snapToGrid w:val="0"/>
          <w:kern w:val="0"/>
          <w:sz w:val="18"/>
          <w:szCs w:val="18"/>
        </w:rPr>
      </w:pPr>
    </w:p>
    <w:p>
      <w:pPr>
        <w:adjustRightInd w:val="0"/>
        <w:snapToGrid w:val="0"/>
        <w:spacing w:line="300" w:lineRule="auto"/>
        <w:jc w:val="center"/>
        <w:rPr>
          <w:rFonts w:asciiTheme="minorEastAsia" w:hAnsiTheme="minorEastAsia" w:eastAsiaTheme="minorEastAsia"/>
          <w:b/>
          <w:snapToGrid w:val="0"/>
          <w:kern w:val="0"/>
          <w:sz w:val="44"/>
        </w:rPr>
      </w:pPr>
    </w:p>
    <w:p>
      <w:pPr>
        <w:adjustRightInd w:val="0"/>
        <w:snapToGrid w:val="0"/>
        <w:spacing w:line="300" w:lineRule="auto"/>
        <w:jc w:val="center"/>
        <w:rPr>
          <w:rFonts w:asciiTheme="minorEastAsia" w:hAnsiTheme="minorEastAsia" w:eastAsiaTheme="minorEastAsia"/>
          <w:b/>
          <w:snapToGrid w:val="0"/>
          <w:kern w:val="0"/>
          <w:sz w:val="44"/>
        </w:rPr>
      </w:pPr>
      <w:r>
        <w:rPr>
          <w:rFonts w:asciiTheme="minorEastAsia" w:hAnsiTheme="minorEastAsia" w:eastAsiaTheme="minorEastAsia"/>
          <w:b/>
          <w:snapToGrid w:val="0"/>
          <w:kern w:val="0"/>
          <w:sz w:val="44"/>
        </w:rPr>
        <w:t xml:space="preserve"> </w:t>
      </w:r>
    </w:p>
    <w:p>
      <w:pPr>
        <w:pStyle w:val="25"/>
        <w:adjustRightInd w:val="0"/>
        <w:snapToGrid w:val="0"/>
        <w:spacing w:line="300" w:lineRule="auto"/>
        <w:jc w:val="center"/>
        <w:rPr>
          <w:rFonts w:asciiTheme="minorEastAsia" w:hAnsiTheme="minorEastAsia" w:eastAsiaTheme="minorEastAsia"/>
          <w:b/>
          <w:snapToGrid w:val="0"/>
          <w:sz w:val="30"/>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5"/>
        <w:adjustRightInd w:val="0"/>
        <w:snapToGrid w:val="0"/>
        <w:spacing w:line="300" w:lineRule="auto"/>
        <w:jc w:val="center"/>
        <w:rPr>
          <w:sz w:val="40"/>
          <w:szCs w:val="40"/>
        </w:rPr>
      </w:pPr>
      <w:r>
        <w:rPr>
          <w:rFonts w:hint="eastAsia" w:asciiTheme="minorEastAsia" w:hAnsiTheme="minorEastAsia" w:eastAsiaTheme="minorEastAsia"/>
          <w:b/>
          <w:snapToGrid w:val="0"/>
          <w:sz w:val="30"/>
        </w:rPr>
        <w:t>二〇二二年</w:t>
      </w:r>
      <w:r>
        <w:rPr>
          <w:rFonts w:hint="eastAsia" w:asciiTheme="minorEastAsia" w:hAnsiTheme="minorEastAsia" w:eastAsiaTheme="minorEastAsia"/>
          <w:b/>
          <w:snapToGrid w:val="0"/>
          <w:sz w:val="30"/>
          <w:lang w:val="en-US" w:eastAsia="zh-CN"/>
        </w:rPr>
        <w:t>四</w:t>
      </w:r>
      <w:r>
        <w:rPr>
          <w:rFonts w:hint="eastAsia" w:asciiTheme="minorEastAsia" w:hAnsiTheme="minorEastAsia" w:eastAsiaTheme="minorEastAsia"/>
          <w:b/>
          <w:snapToGrid w:val="0"/>
          <w:sz w:val="30"/>
        </w:rPr>
        <w:t>月</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一、《深圳经济特区政府采购条例》第五十七条</w:t>
      </w:r>
      <w:r>
        <w:rPr>
          <w:rFonts w:asciiTheme="minorEastAsia" w:hAnsiTheme="minorEastAsia" w:eastAsiaTheme="minorEastAsia"/>
          <w:szCs w:val="21"/>
        </w:rPr>
        <w:t xml:space="preserve"> </w:t>
      </w:r>
      <w:r>
        <w:rPr>
          <w:rFonts w:hint="eastAsia" w:asciiTheme="minorEastAsia" w:hAnsiTheme="minorEastAsia" w:eastAsiaTheme="minor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（一）在采购活动中应当回避而未回避的；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（二）未按本条例规定签订、履行采购合同，造成严重后果的；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（三）隐瞒真实情况，提供虚假资料的；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（四）以非法手段排斥其他供应商参与竞争的；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（五）与其他采购参加人串通投标的；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（六）恶意投诉的；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（七）向采购项目相关人行贿或者提供其他不当利益的；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（八）阻碍、抗拒主管部门监督检查的；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（九）其他违反本条例规定的行为。</w:t>
      </w:r>
    </w:p>
    <w:p>
      <w:pPr>
        <w:spacing w:line="440" w:lineRule="exact"/>
        <w:ind w:firstLine="420" w:firstLineChars="200"/>
        <w:rPr>
          <w:rFonts w:asciiTheme="minorEastAsia" w:hAnsiTheme="minorEastAsia" w:eastAsiaTheme="minorEastAsia"/>
          <w:szCs w:val="21"/>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二、《深圳经济特区政府采购条例实施细则》第七十六条 供应商有下列行为之一的，由主管部门记入供应商诚信档案并作出以下处罚：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第七十九条 供应商有下列情形的，属于采购条例所称的串通投标行为，按照采购条例第五十七条有关规定处理：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（七）主管部门依照法律、法规认定的其他情形。</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第八十一条 供应商有下列情形之一的，属于隐瞒真实情况，提供虚假资料，按照采购条例第五十七的有关规定处理：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投标供应商不能提供项目负责人或者主要技术人员的劳动合同、社会保险等劳动关系证明材料的，视为存在前款第（三）项规定的情形。</w:t>
      </w:r>
    </w:p>
    <w:p>
      <w:pPr>
        <w:spacing w:line="440" w:lineRule="exact"/>
        <w:ind w:firstLine="373" w:firstLineChars="177"/>
        <w:rPr>
          <w:rFonts w:asciiTheme="minorEastAsia" w:hAnsiTheme="minorEastAsia" w:eastAsiaTheme="minorEastAsia"/>
          <w:b/>
          <w:color w:val="FF0000"/>
          <w:szCs w:val="21"/>
        </w:rPr>
      </w:pP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投标供应商涉嫌存在串通投标等违法行为的，将书面报告财政主管部门依法处理。</w:t>
      </w:r>
    </w:p>
    <w:p>
      <w:pPr>
        <w:spacing w:line="360" w:lineRule="auto"/>
        <w:ind w:firstLine="480" w:firstLineChars="200"/>
        <w:rPr>
          <w:sz w:val="40"/>
          <w:szCs w:val="40"/>
        </w:rPr>
      </w:pPr>
      <w:r>
        <w:rPr>
          <w:rFonts w:hint="eastAsia" w:ascii="仿宋" w:hAnsi="仿宋" w:eastAsia="仿宋"/>
          <w:sz w:val="24"/>
        </w:rPr>
        <w:cr/>
      </w:r>
    </w:p>
    <w:p>
      <w:pPr>
        <w:pStyle w:val="37"/>
        <w:spacing w:before="454" w:beforeAutospacing="0" w:after="454" w:afterAutospacing="0"/>
        <w:ind w:left="454" w:right="454"/>
        <w:jc w:val="center"/>
        <w:outlineLvl w:val="0"/>
        <w:rPr>
          <w:rFonts w:hint="eastAsia" w:eastAsia="宋体"/>
          <w:sz w:val="40"/>
          <w:szCs w:val="40"/>
          <w:lang w:eastAsia="zh-CN"/>
        </w:rPr>
      </w:pPr>
      <w:r>
        <w:rPr>
          <w:rFonts w:hint="eastAsia"/>
          <w:sz w:val="40"/>
          <w:szCs w:val="40"/>
          <w:lang w:eastAsia="zh-CN"/>
        </w:rPr>
        <w:t>2022年深圳市菜篮子基地工作（基地监测）</w:t>
      </w:r>
    </w:p>
    <w:p>
      <w:pPr>
        <w:pStyle w:val="37"/>
        <w:jc w:val="center"/>
        <w:outlineLvl w:val="1"/>
        <w:rPr>
          <w:rFonts w:ascii="黑体" w:hAnsi="黑体" w:eastAsia="黑体"/>
          <w:sz w:val="40"/>
          <w:szCs w:val="40"/>
        </w:rPr>
      </w:pPr>
      <w:r>
        <w:rPr>
          <w:rFonts w:hint="eastAsia" w:ascii="黑体" w:hAnsi="黑体" w:eastAsia="黑体"/>
          <w:sz w:val="40"/>
          <w:szCs w:val="40"/>
        </w:rPr>
        <w:t>招标文件信息</w:t>
      </w:r>
    </w:p>
    <w:tbl>
      <w:tblPr>
        <w:tblStyle w:val="42"/>
        <w:tblW w:w="7938" w:type="dxa"/>
        <w:jc w:val="center"/>
        <w:tblCellSpacing w:w="0" w:type="dxa"/>
        <w:tblLayout w:type="autofit"/>
        <w:tblCellMar>
          <w:top w:w="45" w:type="dxa"/>
          <w:left w:w="45" w:type="dxa"/>
          <w:bottom w:w="45" w:type="dxa"/>
          <w:right w:w="45" w:type="dxa"/>
        </w:tblCellMar>
      </w:tblPr>
      <w:tblGrid>
        <w:gridCol w:w="2722"/>
        <w:gridCol w:w="5216"/>
      </w:tblGrid>
      <w:tr>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项目编号：</w:t>
            </w:r>
          </w:p>
        </w:tc>
        <w:tc>
          <w:tcPr>
            <w:tcW w:w="0" w:type="auto"/>
            <w:vAlign w:val="center"/>
          </w:tcPr>
          <w:p>
            <w:pPr>
              <w:rPr>
                <w:rFonts w:hint="eastAsia" w:cs="宋体"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SZDL2022000716</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项目名称：</w:t>
            </w:r>
          </w:p>
        </w:tc>
        <w:tc>
          <w:tcPr>
            <w:tcW w:w="0" w:type="auto"/>
            <w:vAlign w:val="center"/>
          </w:tcPr>
          <w:p>
            <w:pPr>
              <w:rPr>
                <w:rFonts w:hint="eastAsia" w:cs="宋体"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2022年深圳市菜篮子基地工作（基地监测）</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包 号：</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A</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项目类型：</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服务类</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采购方式：</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公开招标</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宋体" w:hAnsi="宋体" w:cs="宋体"/>
                <w:sz w:val="30"/>
                <w:szCs w:val="30"/>
              </w:rPr>
            </w:pPr>
            <w:r>
              <w:rPr>
                <w:sz w:val="30"/>
                <w:szCs w:val="30"/>
              </w:rPr>
              <w:t>货币类型：</w:t>
            </w:r>
          </w:p>
        </w:tc>
        <w:tc>
          <w:tcPr>
            <w:tcW w:w="0" w:type="auto"/>
            <w:vAlign w:val="center"/>
          </w:tcPr>
          <w:p>
            <w:pPr>
              <w:rPr>
                <w:rFonts w:ascii="宋体" w:hAnsi="宋体" w:cs="宋体"/>
                <w:sz w:val="30"/>
                <w:szCs w:val="30"/>
              </w:rPr>
            </w:pPr>
            <w:r>
              <w:rPr>
                <w:sz w:val="30"/>
                <w:szCs w:val="30"/>
              </w:rPr>
              <w:t>人民币</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宋体" w:hAnsi="宋体" w:cs="宋体"/>
                <w:sz w:val="30"/>
                <w:szCs w:val="30"/>
              </w:rPr>
            </w:pPr>
            <w:r>
              <w:rPr>
                <w:sz w:val="30"/>
                <w:szCs w:val="30"/>
              </w:rPr>
              <w:t>评标方法：</w:t>
            </w:r>
          </w:p>
        </w:tc>
        <w:tc>
          <w:tcPr>
            <w:tcW w:w="0" w:type="auto"/>
            <w:vAlign w:val="center"/>
          </w:tcPr>
          <w:p>
            <w:pPr>
              <w:rPr>
                <w:rFonts w:ascii="宋体" w:hAnsi="宋体" w:cs="宋体"/>
                <w:sz w:val="30"/>
                <w:szCs w:val="30"/>
              </w:rPr>
            </w:pPr>
            <w:r>
              <w:rPr>
                <w:sz w:val="30"/>
                <w:szCs w:val="30"/>
              </w:rPr>
              <w:t>综合评分法（新价格分算法）</w:t>
            </w:r>
          </w:p>
        </w:tc>
      </w:tr>
    </w:tbl>
    <w:p>
      <w:pPr>
        <w:pStyle w:val="37"/>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投标人具备招标文件所列的资格要求，</w:t>
            </w:r>
            <w:r>
              <w:rPr>
                <w:rFonts w:hint="eastAsia"/>
                <w:szCs w:val="21"/>
              </w:rPr>
              <w:t>且</w:t>
            </w:r>
            <w:r>
              <w:rPr>
                <w:szCs w:val="21"/>
              </w:rPr>
              <w:t>提交相应的资格证明资料（详见招标公告</w:t>
            </w:r>
            <w:r>
              <w:rPr>
                <w:rFonts w:ascii="宋体" w:hAnsi="宋体"/>
              </w:rPr>
              <w:t>申请人的资格要求</w:t>
            </w:r>
            <w:r>
              <w:rPr>
                <w:szCs w:val="21"/>
              </w:rPr>
              <w:t>）</w:t>
            </w:r>
          </w:p>
        </w:tc>
      </w:tr>
    </w:tbl>
    <w:p>
      <w:pPr>
        <w:pStyle w:val="37"/>
        <w:spacing w:before="280" w:beforeAutospacing="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未</w:t>
            </w:r>
            <w:r>
              <w:rPr>
                <w:rFonts w:ascii="Times New Roman" w:hAnsi="Times New Roman"/>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2</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对同一项目投标时，</w:t>
            </w:r>
            <w:r>
              <w:rPr>
                <w:rFonts w:hint="eastAsia" w:ascii="Times New Roman" w:hAnsi="Times New Roman"/>
                <w:szCs w:val="21"/>
              </w:rPr>
              <w:t>未</w:t>
            </w:r>
            <w:r>
              <w:rPr>
                <w:rFonts w:ascii="Times New Roman" w:hAnsi="Times New Roman"/>
                <w:szCs w:val="21"/>
              </w:rPr>
              <w:t>提供两套</w:t>
            </w:r>
            <w:r>
              <w:rPr>
                <w:rFonts w:hint="eastAsia" w:ascii="Times New Roman" w:hAnsi="Times New Roman"/>
                <w:szCs w:val="21"/>
              </w:rPr>
              <w:t>及</w:t>
            </w:r>
            <w:r>
              <w:rPr>
                <w:rFonts w:ascii="Times New Roman" w:hAnsi="Times New Roman"/>
                <w:szCs w:val="21"/>
              </w:rPr>
              <w:t>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3</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分项报价或投标总价</w:t>
            </w:r>
            <w:r>
              <w:rPr>
                <w:rFonts w:hint="eastAsia" w:ascii="Times New Roman" w:hAnsi="Times New Roman"/>
                <w:szCs w:val="21"/>
              </w:rPr>
              <w:t>未超过</w:t>
            </w:r>
            <w:r>
              <w:rPr>
                <w:rFonts w:ascii="Times New Roman" w:hAnsi="Times New Roman"/>
                <w:szCs w:val="21"/>
              </w:rPr>
              <w:t>预算金额（最高投标限价）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4</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5</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投标报价</w:t>
            </w:r>
            <w:r>
              <w:rPr>
                <w:rFonts w:hint="eastAsia" w:ascii="Times New Roman" w:hAnsi="Times New Roman"/>
                <w:szCs w:val="21"/>
              </w:rPr>
              <w:t>无</w:t>
            </w:r>
            <w:r>
              <w:rPr>
                <w:rFonts w:ascii="Times New Roman" w:hAnsi="Times New Roman"/>
                <w:szCs w:val="21"/>
              </w:rPr>
              <w:t>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6</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所投产品、工程、服务在商务、技术等方面实质性满足招标文件要求（是否实质性满足招标文件要求，由评标委员会根据《</w:t>
            </w:r>
            <w:r>
              <w:rPr>
                <w:rFonts w:hint="eastAsia" w:ascii="Times New Roman" w:hAnsi="Times New Roman"/>
                <w:szCs w:val="21"/>
              </w:rPr>
              <w:t>实质性条款响应情况表</w:t>
            </w:r>
            <w:r>
              <w:rPr>
                <w:rFonts w:ascii="Times New Roman" w:hAnsi="Times New Roman"/>
                <w:szCs w:val="21"/>
              </w:rPr>
              <w:t>》做出评判）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7</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按招标文件所提供的样式填写《投标函》；按招标文件所提供的《政府采购投标及履约承诺函》进行承诺；</w:t>
            </w:r>
            <w:r>
              <w:rPr>
                <w:rFonts w:hint="eastAsia" w:ascii="Times New Roman" w:hAnsi="Times New Roman"/>
                <w:szCs w:val="21"/>
              </w:rPr>
              <w:t>并</w:t>
            </w:r>
            <w:r>
              <w:rPr>
                <w:rFonts w:ascii="Times New Roman" w:hAnsi="Times New Roman"/>
                <w:szCs w:val="21"/>
              </w:rPr>
              <w:t>按招标文件对投标文件组成的要求提供投标文件（投标文件组成完整）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8</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投标文件不存在列放位置错误，导致属于信息公开内容没有被公开的情形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9</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r>
              <w:rPr>
                <w:rFonts w:hint="eastAsia" w:ascii="Times New Roman" w:hAnsi="Times New Roman"/>
                <w:szCs w:val="21"/>
              </w:rPr>
              <w:t>0</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4"/>
              </w:rPr>
              <w:t>法律、法规、规章、规范性文件规定的其他情形</w:t>
            </w:r>
          </w:p>
        </w:tc>
      </w:tr>
    </w:tbl>
    <w:p>
      <w:pPr>
        <w:spacing w:line="324" w:lineRule="auto"/>
        <w:ind w:firstLine="420"/>
        <w:rPr>
          <w:rFonts w:ascii="Times New Roman" w:hAnsi="Times New Roman"/>
          <w:b/>
          <w:color w:val="FF0000"/>
          <w:szCs w:val="21"/>
        </w:rPr>
      </w:pPr>
      <w:r>
        <w:rPr>
          <w:rFonts w:hint="eastAsia" w:ascii="Times New Roman" w:hAnsi="Times New Roman"/>
          <w:b/>
          <w:color w:val="FF0000"/>
          <w:szCs w:val="21"/>
        </w:rPr>
        <w:t>特别说明：</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2、评标委员会进行符合性审查前，将通过系统执行标书雷同性分析，包括审查各投标供应商标书的文件特征码、文件制作机器码等是否一致，以及文本内容相似度等分析。</w:t>
      </w:r>
    </w:p>
    <w:p>
      <w:pPr>
        <w:spacing w:line="324" w:lineRule="auto"/>
        <w:ind w:firstLine="420"/>
        <w:rPr>
          <w:rFonts w:asciiTheme="minorEastAsia" w:hAnsiTheme="minorEastAsia" w:eastAsiaTheme="minorEastAsia"/>
          <w:b/>
          <w:color w:val="FF0000"/>
          <w:szCs w:val="21"/>
        </w:rPr>
      </w:pPr>
    </w:p>
    <w:p>
      <w:pPr>
        <w:pStyle w:val="37"/>
        <w:jc w:val="center"/>
        <w:outlineLvl w:val="1"/>
        <w:rPr>
          <w:rFonts w:ascii="黑体" w:hAnsi="黑体" w:eastAsia="黑体"/>
          <w:sz w:val="40"/>
          <w:szCs w:val="40"/>
        </w:rPr>
      </w:pPr>
      <w:r>
        <w:rPr>
          <w:rFonts w:hint="eastAsia" w:ascii="黑体" w:hAnsi="黑体" w:eastAsia="黑体"/>
          <w:sz w:val="40"/>
          <w:szCs w:val="40"/>
        </w:rPr>
        <w:t>评标信息</w:t>
      </w:r>
    </w:p>
    <w:tbl>
      <w:tblPr>
        <w:tblStyle w:val="42"/>
        <w:tblW w:w="9072" w:type="dxa"/>
        <w:jc w:val="center"/>
        <w:tblCellSpacing w:w="0" w:type="dxa"/>
        <w:tblLayout w:type="autofit"/>
        <w:tblCellMar>
          <w:top w:w="45" w:type="dxa"/>
          <w:left w:w="45" w:type="dxa"/>
          <w:bottom w:w="45" w:type="dxa"/>
          <w:right w:w="45" w:type="dxa"/>
        </w:tblCellMar>
      </w:tblPr>
      <w:tblGrid>
        <w:gridCol w:w="8829"/>
        <w:gridCol w:w="243"/>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rPr>
                <w:rFonts w:ascii="宋体" w:hAnsi="宋体" w:cs="宋体"/>
                <w:b/>
                <w:bCs/>
                <w:sz w:val="24"/>
                <w:szCs w:val="24"/>
              </w:rPr>
            </w:pPr>
            <w:r>
              <w:rPr>
                <w:b/>
                <w:bCs/>
              </w:rPr>
              <w:t>评标方法：综合评分法（新价格分算法）</w:t>
            </w:r>
          </w:p>
        </w:tc>
        <w:tc>
          <w:tcPr>
            <w:tcW w:w="0" w:type="auto"/>
            <w:tcBorders>
              <w:top w:val="nil"/>
              <w:left w:val="nil"/>
              <w:bottom w:val="nil"/>
              <w:right w:val="nil"/>
            </w:tcBorders>
            <w:vAlign w:val="center"/>
          </w:tcPr>
          <w:p>
            <w:pPr>
              <w:jc w:val="right"/>
              <w:rPr>
                <w:rFonts w:ascii="宋体" w:hAnsi="宋体" w:cs="宋体"/>
                <w:b/>
                <w:bCs/>
                <w:sz w:val="24"/>
                <w:szCs w:val="24"/>
              </w:rPr>
            </w:pPr>
          </w:p>
        </w:tc>
      </w:tr>
      <w:tr>
        <w:trPr>
          <w:tblCellSpacing w:w="0" w:type="dxa"/>
          <w:jc w:val="center"/>
        </w:trPr>
        <w:tc>
          <w:tcPr>
            <w:tcW w:w="0" w:type="auto"/>
            <w:gridSpan w:val="2"/>
            <w:tcBorders>
              <w:top w:val="nil"/>
              <w:left w:val="nil"/>
              <w:bottom w:val="nil"/>
              <w:right w:val="nil"/>
            </w:tcBorders>
            <w:vAlign w:val="center"/>
          </w:tcPr>
          <w:p>
            <w:pPr>
              <w:pStyle w:val="37"/>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37"/>
              <w:ind w:firstLine="420"/>
              <w:rPr>
                <w:sz w:val="21"/>
                <w:szCs w:val="21"/>
              </w:rPr>
            </w:pPr>
            <w:r>
              <w:rPr>
                <w:sz w:val="21"/>
                <w:szCs w:val="21"/>
              </w:rPr>
              <w:t>价格分计算方法：</w:t>
            </w:r>
          </w:p>
          <w:p>
            <w:pPr>
              <w:pStyle w:val="37"/>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rPr>
      </w:pPr>
    </w:p>
    <w:tbl>
      <w:tblPr>
        <w:tblStyle w:val="42"/>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80"/>
        <w:gridCol w:w="680"/>
        <w:gridCol w:w="2835"/>
        <w:gridCol w:w="681"/>
        <w:gridCol w:w="47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4763"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1</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价格</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2</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技术</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default" w:ascii="宋体" w:hAnsi="宋体" w:eastAsia="宋体" w:cs="宋体"/>
                <w:b/>
                <w:bCs/>
                <w:color w:val="0000FF"/>
                <w:sz w:val="21"/>
                <w:szCs w:val="21"/>
                <w:lang w:val="en-US" w:eastAsia="zh-CN"/>
              </w:rPr>
            </w:pPr>
            <w:r>
              <w:rPr>
                <w:rFonts w:hint="eastAsia" w:ascii="宋体" w:hAnsi="宋体" w:cs="宋体"/>
                <w:b/>
                <w:bCs/>
                <w:color w:val="0000FF"/>
                <w:sz w:val="21"/>
                <w:szCs w:val="21"/>
                <w:lang w:val="en-US" w:eastAsia="zh-CN"/>
              </w:rPr>
              <w:t>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实施方案</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评审内容：针对本项目的需求制定实施方案，内容包括：</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（1）方案总体思路；</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（2）工作方法或手段；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（3）方案进度计划；</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（4）工作具体流程（工作流程要具体，含明确步骤、人员分工等工作要求）。</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满足以上四项要求得60分；满足以上三项要求得40分；满足以上二项要求得20分；只满足以上一项（含）以下要求不得分。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实施方案内容具体、内容针对性强、内容科学合理、内容可操作性强）的加40分；评审为良（实施方案内容较具体、内容针对性较强、内容较科学合理、内容可操作性较强）加20分；评审为中(实施方案内容具体性一般、内容针对性一般、内容科学合理性一般、内容可操作性一般)加10分；评审为差（实施方案内容具体性差、内容针对性差、内容科学合理性差、内容可操作性差）的不加分；评审为差专家须书面说明理由，并记录在档。未提供实施方案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项目重点难点分析、应对措施及相关的合理化建议</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6</w:t>
            </w:r>
          </w:p>
        </w:tc>
        <w:tc>
          <w:tcPr>
            <w:tcW w:w="47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评审内容：投标文件中重难点内容应包括但不限于：</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（1）针对本项目的重点难点分析；</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（2）针对性提出的应对措施、解决方案和合理化建议等。</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出重点、难点分析并给出应对措施及合理化建议4条及以上的得60分；提出重点、难点分析并给出应对措施及合理化建议3条的得40分；提出重点、难点分析并给出应对措施及合理化建议1-2条的得20分；提出重点、难点分析但未提出应对措施及相关的合理化建议或未提出重点、难点分析的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在此基础上：评审为优（内容全面、针对性强、科学合理）的加</w:t>
            </w:r>
            <w:r>
              <w:rPr>
                <w:rFonts w:hint="eastAsia" w:ascii="宋体" w:hAnsi="宋体" w:cs="宋体"/>
                <w:color w:val="auto"/>
                <w:sz w:val="21"/>
                <w:szCs w:val="21"/>
                <w:lang w:val="en-US" w:eastAsia="zh-CN"/>
              </w:rPr>
              <w:t>40</w:t>
            </w:r>
            <w:r>
              <w:rPr>
                <w:rFonts w:hint="eastAsia" w:ascii="宋体" w:hAnsi="宋体" w:eastAsia="宋体" w:cs="宋体"/>
                <w:color w:val="auto"/>
                <w:sz w:val="21"/>
                <w:szCs w:val="21"/>
              </w:rPr>
              <w:t>分；评审为良（内容较全面、针对性较强、较科学合理）加</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分；评审为中（内容全面性一般、针对性一般、科学合理性一般）加 10分；评审为差（内容全面性差、针对性差、科学合理性差）的不加分；评审为差专家须书面说明理由，并记录在档。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质量（完成时间、安全、环保）保障措施及方案</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评审内容：针对本项目的需求制定质量（完成时间、安全、环保）保障措施及方案。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（1）投标人具有质量管理手册或相关工作质量规范文件；</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（2）内容包括完成时间的保障措施及方案；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（3）内容包括工作安全的保障措施及方案；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（4）内容包括环保相关的保障措施及方案。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（投标人的质量管理相关材料应是机构正在执行的规范材料，临时编制的不计分）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满足以上四项要求得60分；满足以上三项要求得40分；满足以上两项要求得20分；满足以上一项及以下要求不得分。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在此基础上：评审为优（内容全面、针对性强、科学合理）的加40分；评审为良（内容较全面、针对性较强、较科学合理）加 20 分；评审为中（内容全面性一般、针对性一般、科学合理性一般）加 10分；评审为差（内容全面性差、针对性差、科学合理性差）的不加分；评审为差专家须书面说明理由，并记录在档。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项目完成（服务期满）后的服务承诺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针对本项目的需求制定项目完成（服务期满）后的服务承诺，包括：</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（1）售后服务周期承诺；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（2）售后服务响应时间承诺；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（3）售后服务人员配置承诺；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（4）售后服务范围承诺。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满足以上四项要求得100分；含以上二</w:t>
            </w:r>
            <w:r>
              <w:rPr>
                <w:rFonts w:hint="eastAsia" w:ascii="宋体" w:hAnsi="宋体" w:cs="宋体"/>
                <w:color w:val="auto"/>
                <w:sz w:val="21"/>
                <w:szCs w:val="21"/>
                <w:lang w:val="en-US" w:eastAsia="zh-CN"/>
              </w:rPr>
              <w:t>至</w:t>
            </w:r>
            <w:r>
              <w:rPr>
                <w:rFonts w:hint="eastAsia" w:ascii="宋体" w:hAnsi="宋体" w:eastAsia="宋体" w:cs="宋体"/>
                <w:color w:val="auto"/>
                <w:sz w:val="21"/>
                <w:szCs w:val="21"/>
              </w:rPr>
              <w:t>三项要求得50分；含以上一项及以下要求不得分。要求提供承诺（格式自定）作为得分依据，未提供承诺或承诺内容不满足要求不得分。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违约承诺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评审内容：投标人承诺：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（1）人员严格按照招标文件及投标承诺配置；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（2）服务质量达到招标文件要求；</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（3）对未能达到的管理要求承担管理责任。</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条款内容有三点及以上得100分；否则不得分。要求提供承诺（格式自定）作为得分依据，未提供承诺或承诺内容不满足要求不得分。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915" w:hRule="atLeast"/>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6</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拟安排的项目负责人情况（仅限一人）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（一）评分内容：拟安排项目负责人为投标单位员工（以社保为准），否则本项不得分。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1.具有化学或微生物学或农学或食品检验类专业硕士及以上学位的得20分；</w:t>
            </w:r>
            <w:r>
              <w:rPr>
                <w:rFonts w:hint="eastAsia" w:ascii="宋体" w:hAnsi="宋体" w:eastAsia="宋体" w:cs="宋体"/>
                <w:color w:val="auto"/>
                <w:sz w:val="21"/>
                <w:szCs w:val="21"/>
                <w:lang w:val="en-US" w:eastAsia="zh-CN"/>
              </w:rPr>
              <w:t>具有以上专业</w:t>
            </w:r>
            <w:r>
              <w:rPr>
                <w:rFonts w:hint="eastAsia" w:ascii="宋体" w:hAnsi="宋体" w:eastAsia="宋体" w:cs="宋体"/>
                <w:color w:val="auto"/>
                <w:sz w:val="21"/>
                <w:szCs w:val="21"/>
              </w:rPr>
              <w:t>学士学位的得10分，不符合条件的不得分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本项最高得20分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2.具有质量或质量管理或化学或微生物学或农学或食品检验类专业正高级（教授级/研究员级）职称的得40分；副高级职称的得20分，不符合条件的不得分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本项最高得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0分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3.被评为副省级及以上食用农产品质量安全专业专家委员会专家的，得40分，不符合条件的不得分。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（二）评分依据：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1.要求提供通过投标人缴纳的近三个月（202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年1月至2022年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月，由于社保部门原因最近一个月的社保证明无法提供的可往前顺延一个月）的社保证明作为本单位员工的证明依据。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2.要求提供投标人以上人员学位证书、职称证书、食用农产品专家聘书等相关证明资料作为得分依据。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7</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拟安排的项目主要团队成员（主要技术人员）情况（项目负责人除外）</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（一）评分内容：拟安排项目主要团队成员为投标单位员工（以社保为准）且总人数要求不少于20人，否则该人员情况不计分。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1.具有省级及以上市场监管部门或省级及以上市场监管部门批准成立的机构颁发的抽样员证书的，每</w:t>
            </w:r>
            <w:r>
              <w:rPr>
                <w:rFonts w:hint="eastAsia" w:ascii="宋体" w:hAnsi="宋体" w:cs="宋体"/>
                <w:color w:val="auto"/>
                <w:sz w:val="21"/>
                <w:szCs w:val="21"/>
                <w:lang w:val="en-US" w:eastAsia="zh-CN"/>
              </w:rPr>
              <w:t>提供</w:t>
            </w:r>
            <w:r>
              <w:rPr>
                <w:rFonts w:hint="eastAsia" w:ascii="宋体" w:hAnsi="宋体" w:eastAsia="宋体" w:cs="宋体"/>
                <w:color w:val="auto"/>
                <w:sz w:val="21"/>
                <w:szCs w:val="21"/>
              </w:rPr>
              <w:t>一人得4分，最高得20分；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2.具有省级及以上市场监管部门或省级及以上市场监管部门批准成立的机构颁发的检验员证的，每</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rPr>
              <w:t xml:space="preserve">一人得5分，最高得20分；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3.具有食品生产现场核查组长资格的，每提供一人得4分，最高得20分；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4.具有食品生产现场核查员资格的，每提供一人得4分，最高得20分；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5.具有副省级及以上的食用农产品质量安全专业专家，每提供一人得5分，最高得20分。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r>
              <w:rPr>
                <w:rFonts w:hint="eastAsia" w:ascii="宋体" w:hAnsi="宋体" w:cs="宋体"/>
                <w:color w:val="auto"/>
                <w:sz w:val="21"/>
                <w:szCs w:val="21"/>
                <w:lang w:val="en-US" w:eastAsia="zh-CN"/>
              </w:rPr>
              <w:t>同一人同时满足多项得分条件可重复计分，同时为</w:t>
            </w:r>
            <w:r>
              <w:rPr>
                <w:rFonts w:hint="eastAsia" w:ascii="宋体" w:hAnsi="宋体" w:eastAsia="宋体" w:cs="宋体"/>
                <w:color w:val="auto"/>
                <w:sz w:val="21"/>
                <w:szCs w:val="21"/>
              </w:rPr>
              <w:t>核查员与核查组长不得重复得分。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1.要求提供通过</w:t>
            </w:r>
            <w:bookmarkStart w:id="84" w:name="_GoBack"/>
            <w:bookmarkEnd w:id="84"/>
            <w:r>
              <w:rPr>
                <w:rFonts w:hint="eastAsia" w:ascii="宋体" w:hAnsi="宋体" w:eastAsia="宋体" w:cs="宋体"/>
                <w:color w:val="auto"/>
                <w:sz w:val="21"/>
                <w:szCs w:val="21"/>
              </w:rPr>
              <w:t>投标人缴纳的近三个月（202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年1月至2022年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月，由于社保部门原因最近一个月的社保证明无法提供的可往前顺延一个月）的社保证明作为本单位员工的证明依据。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2.要求提供投标人以上人员抽样员</w:t>
            </w:r>
            <w:r>
              <w:rPr>
                <w:rFonts w:hint="eastAsia" w:ascii="宋体" w:hAnsi="宋体" w:cs="宋体"/>
                <w:color w:val="auto"/>
                <w:sz w:val="21"/>
                <w:szCs w:val="21"/>
                <w:lang w:val="en-US" w:eastAsia="zh-CN"/>
              </w:rPr>
              <w:t>证</w:t>
            </w:r>
            <w:r>
              <w:rPr>
                <w:rFonts w:hint="eastAsia" w:ascii="宋体" w:hAnsi="宋体" w:eastAsia="宋体" w:cs="宋体"/>
                <w:color w:val="auto"/>
                <w:sz w:val="21"/>
                <w:szCs w:val="21"/>
              </w:rPr>
              <w:t>、检验员证食品生产现场核查员或核查组长资格文件、食用农产品专家聘书等相关证明资料作为得分依据。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8</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拟投入的服务资源（车辆、场地、工具、机器等）情况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用于食品、农产品等检验的先进仪器设备（自有或租赁均可），包括液相色谱质谱联用仪、气相色谱质谱联用仪、液相色谱仪、气相色谱仪、原子荧光光度计和电感耦合等离子体质谱仪的，得50分，缺少一种或多种设备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2.具有为本项目投入使用的实验室场地，且实验室具备</w:t>
            </w:r>
            <w:r>
              <w:rPr>
                <w:rFonts w:hint="eastAsia" w:ascii="宋体" w:hAnsi="宋体" w:eastAsia="宋体" w:cs="宋体"/>
                <w:color w:val="auto"/>
                <w:sz w:val="21"/>
                <w:szCs w:val="21"/>
                <w:lang w:val="en-US" w:eastAsia="zh-CN"/>
              </w:rPr>
              <w:t>农产品质量安全检测机构CATL认证</w:t>
            </w:r>
            <w:r>
              <w:rPr>
                <w:rFonts w:hint="eastAsia" w:ascii="宋体" w:hAnsi="宋体" w:eastAsia="宋体" w:cs="宋体"/>
                <w:color w:val="auto"/>
                <w:sz w:val="21"/>
                <w:szCs w:val="21"/>
              </w:rPr>
              <w:t>资质的，得50分。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（二）评分依据</w:t>
            </w:r>
            <w:r>
              <w:rPr>
                <w:rFonts w:hint="eastAsia" w:ascii="宋体" w:hAnsi="宋体" w:cs="宋体"/>
                <w:color w:val="auto"/>
                <w:sz w:val="21"/>
                <w:szCs w:val="21"/>
                <w:lang w:eastAsia="zh-CN"/>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1.自有设备要求提供购买发票，租赁设备要求提供租赁合同作为得分依据（均为扫描件，原件备查）；</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2.实验室要求提供场地CATL证书</w:t>
            </w:r>
            <w:r>
              <w:rPr>
                <w:rFonts w:hint="eastAsia" w:ascii="宋体" w:hAnsi="宋体" w:cs="宋体"/>
                <w:color w:val="auto"/>
                <w:sz w:val="21"/>
                <w:szCs w:val="21"/>
                <w:lang w:val="en-US" w:eastAsia="zh-CN"/>
              </w:rPr>
              <w:t>及</w:t>
            </w:r>
            <w:r>
              <w:rPr>
                <w:rFonts w:hint="eastAsia" w:ascii="宋体" w:hAnsi="宋体" w:eastAsia="宋体" w:cs="宋体"/>
                <w:color w:val="auto"/>
                <w:sz w:val="21"/>
                <w:szCs w:val="21"/>
              </w:rPr>
              <w:t>产权证明文件，</w:t>
            </w:r>
            <w:r>
              <w:rPr>
                <w:rFonts w:hint="eastAsia" w:ascii="宋体" w:hAnsi="宋体" w:cs="宋体"/>
                <w:color w:val="auto"/>
                <w:sz w:val="21"/>
                <w:szCs w:val="21"/>
                <w:lang w:val="en-US" w:eastAsia="zh-CN"/>
              </w:rPr>
              <w:t>若为租赁场地，则租赁</w:t>
            </w:r>
            <w:r>
              <w:rPr>
                <w:rFonts w:hint="eastAsia" w:ascii="宋体" w:hAnsi="宋体" w:eastAsia="宋体" w:cs="宋体"/>
                <w:color w:val="auto"/>
                <w:sz w:val="21"/>
                <w:szCs w:val="21"/>
              </w:rPr>
              <w:t>场地须为商业用地或工业用地，要求提供用地性质证明文件、租赁合同（自本项目开标之日起算，租赁期限不得少于1年）及开标之日前6个月的租金流水（需为银行出具）</w:t>
            </w:r>
            <w:r>
              <w:rPr>
                <w:rFonts w:hint="eastAsia" w:ascii="宋体" w:hAnsi="宋体" w:cs="宋体"/>
                <w:color w:val="auto"/>
                <w:sz w:val="21"/>
                <w:szCs w:val="21"/>
                <w:lang w:val="en-US" w:eastAsia="zh-CN"/>
              </w:rPr>
              <w:t>及场地CATL证书</w:t>
            </w:r>
            <w:r>
              <w:rPr>
                <w:rFonts w:hint="eastAsia" w:ascii="宋体" w:hAnsi="宋体" w:eastAsia="宋体" w:cs="宋体"/>
                <w:color w:val="auto"/>
                <w:sz w:val="21"/>
                <w:szCs w:val="21"/>
              </w:rPr>
              <w:t>作为得分依据（均为扫描件，原件备查）。</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实验室场地地址必须与CATL证书或CATL证书附表中的地址一致，否则不予计分。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3</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商务</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default" w:ascii="宋体" w:hAnsi="宋体" w:eastAsia="宋体" w:cs="宋体"/>
                <w:b/>
                <w:bCs/>
                <w:color w:val="0000FF"/>
                <w:sz w:val="21"/>
                <w:szCs w:val="21"/>
                <w:lang w:val="en-US" w:eastAsia="zh-CN"/>
              </w:rPr>
            </w:pPr>
            <w:r>
              <w:rPr>
                <w:rFonts w:hint="eastAsia" w:ascii="宋体" w:hAnsi="宋体" w:cs="宋体"/>
                <w:b/>
                <w:bCs/>
                <w:color w:val="0000FF"/>
                <w:sz w:val="21"/>
                <w:szCs w:val="21"/>
                <w:lang w:val="en-US" w:eastAsia="zh-CN"/>
              </w:rPr>
              <w:t>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85" w:hRule="atLeast"/>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供应商资格（资质、认证）情况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1.每具备国家食品复检机构资质或国家级农产品质量安全检测机构考核合格证书或国家级检验检测机构资质认定证书（环保产品除外）中任意一项，得20分，最高得40分；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2.具有国家级检验检测机构资质认定证书（环保产品）的，得20分；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3.具有国家认证认可监督管理委员会颁发的认证机构批准书，认证领域包括食品农产品安全管理体系，得20分；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4.承担食品、农产品或环境相关的国家级检验检测机构能力验证工作的得20分。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1.要求提供有效的认证证书或相关部门公告或发文作为得分依据。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94" w:hRule="atLeast"/>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供应商同类项目业绩情况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考察投标人2018年1月1日至本项目投标截止之日（以合同签订时间为准），具有同类项目（已完成）经验情况：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1.具有“菜篮子”基地监测或认定或考评经验的，每提供1个</w:t>
            </w:r>
            <w:r>
              <w:rPr>
                <w:rFonts w:hint="eastAsia" w:ascii="宋体" w:hAnsi="宋体" w:cs="宋体"/>
                <w:color w:val="auto"/>
                <w:sz w:val="21"/>
                <w:szCs w:val="21"/>
                <w:lang w:val="en-US" w:eastAsia="zh-CN"/>
              </w:rPr>
              <w:t>项目</w:t>
            </w:r>
            <w:r>
              <w:rPr>
                <w:rFonts w:hint="eastAsia" w:ascii="宋体" w:hAnsi="宋体" w:eastAsia="宋体" w:cs="宋体"/>
                <w:color w:val="auto"/>
                <w:sz w:val="21"/>
                <w:szCs w:val="21"/>
              </w:rPr>
              <w:t>得20分，本项最高得80分；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2.具有农产品企业评审或考评申报工作的资料审核及现场复核经验的，得20分。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同一业绩不可重复得分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1.要求同时提供合同关键信息和已完成，且履约评价合格或者验收合格证明文件作为得分依据，履约评价合格或者验收合格证明文件需加盖合同甲方公章（或甲方业务章）。</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2.通过合同关键信息无法判断是否得分的，还须同时提供能证明得分的其它证明资料，如项目报告或合同甲方出具的证明文件等。</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供应商获奖情况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投标人在检测技术、质量监管方面获得的奖项。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1.每获得一个国家级奖项的，得</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2.每获得一个省级（含副省级）奖项的，得10分；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3.每获得一个市级奖项的，得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1.要求提供奖项照片或获奖（荣誉）证书等证明材料作为得分依据。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w:t>
            </w:r>
            <w:r>
              <w:rPr>
                <w:rFonts w:hint="eastAsia" w:ascii="宋体" w:hAnsi="宋体" w:cs="宋体"/>
                <w:color w:val="auto"/>
                <w:sz w:val="21"/>
                <w:szCs w:val="21"/>
                <w:lang w:val="en-US" w:eastAsia="zh-CN"/>
              </w:rPr>
              <w:t>或照片</w:t>
            </w:r>
            <w:r>
              <w:rPr>
                <w:rFonts w:hint="eastAsia" w:ascii="宋体" w:hAnsi="宋体" w:eastAsia="宋体" w:cs="宋体"/>
                <w:color w:val="auto"/>
                <w:sz w:val="21"/>
                <w:szCs w:val="21"/>
              </w:rPr>
              <w:t>），原件备查。评分中出现无证明资料或专家无法凭所提供资料判断是否得分的情况，一律作不得分处理。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供应商自主知识产权产品（创新、设计）情况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投标人2018年1月1日以来获得的自主知识产权情况：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1.以第一专利权人获得食用农产品或食品相关检测技术发明专利（以授权公告日为准，实用新型及外观设计专利不计）的个数，每有一个得10分，满分为30分；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2.参与制定食用农产品或食品相关检测技术国家标准（以发布日为准，企业标准及地方标准不计），每有一个得10分，最高得30分；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3.投标人具有农产品或食品快检系统相关的软件著作权登记证书，每一个得20分，最高得40分。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1.要求提供有效的产权（专利）证书、标准文本及软件著作权登记证书等证明材料作为得分依据。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服务网点</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外地供应商承诺：中标后设立本地经营（服务）网点的，提供承诺文件（格式自定）的，得50分；未提供承诺或承诺内容不满足要求均不得分。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4</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其他</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诚信情况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eastAsia="宋体" w:cs="Times New Roman"/>
              </w:rPr>
            </w:pPr>
            <w:r>
              <w:rPr>
                <w:rFonts w:hint="eastAsia" w:eastAsia="宋体" w:cs="Times New Roman"/>
              </w:rPr>
              <w:t>投标人在参与政府采购活动中存在诚信相关问题且在主管部门相关处理措施实施期限内的，本项不得分，否则得满分。投标人无需提供任何证明材料，由工作人员向评审委员会提供相关信息。</w:t>
            </w:r>
          </w:p>
          <w:p>
            <w:pPr>
              <w:wordWrap w:val="0"/>
              <w:spacing w:line="360" w:lineRule="auto"/>
              <w:rPr>
                <w:rFonts w:hint="default" w:eastAsia="宋体"/>
                <w:lang w:val="en-US" w:eastAsia="zh-CN"/>
              </w:rPr>
            </w:pPr>
            <w:r>
              <w:rPr>
                <w:rFonts w:hint="eastAsia" w:eastAsia="宋体" w:cs="Times New Roman"/>
                <w:sz w:val="21"/>
                <w:szCs w:val="22"/>
                <w:lang w:val="en-US" w:eastAsia="zh-CN"/>
              </w:rPr>
              <w:t>注：以开标当日深圳政府采购智慧平台有关投标人诚信查询结果为准。</w:t>
            </w:r>
          </w:p>
        </w:tc>
      </w:tr>
    </w:tbl>
    <w:p>
      <w:pPr>
        <w:widowControl/>
        <w:jc w:val="left"/>
        <w:rPr>
          <w:rFonts w:asciiTheme="minorEastAsia" w:hAnsiTheme="minorEastAsia" w:eastAsiaTheme="minorEastAsia"/>
          <w:b/>
          <w:bCs/>
          <w:kern w:val="44"/>
          <w:sz w:val="28"/>
          <w:szCs w:val="44"/>
        </w:rPr>
      </w:pPr>
      <w:r>
        <w:rPr>
          <w:rFonts w:asciiTheme="minorEastAsia" w:hAnsiTheme="minorEastAsia" w:eastAsiaTheme="minorEastAsia"/>
        </w:rPr>
        <w:br w:type="page"/>
      </w:r>
    </w:p>
    <w:p>
      <w:pPr>
        <w:pStyle w:val="3"/>
        <w:spacing w:before="0" w:after="0"/>
        <w:rPr>
          <w:rFonts w:asciiTheme="minorEastAsia" w:hAnsiTheme="minorEastAsia" w:eastAsiaTheme="minorEastAsia"/>
        </w:rPr>
      </w:pPr>
      <w:r>
        <w:rPr>
          <w:rFonts w:hint="eastAsia" w:asciiTheme="minorEastAsia" w:hAnsiTheme="minorEastAsia" w:eastAsiaTheme="minorEastAsia"/>
        </w:rPr>
        <w:t>其它关键信息</w:t>
      </w:r>
    </w:p>
    <w:p>
      <w:pPr>
        <w:spacing w:line="360" w:lineRule="auto"/>
        <w:ind w:firstLine="413" w:firstLineChars="196"/>
        <w:rPr>
          <w:rFonts w:ascii="宋体" w:hAnsi="宋体"/>
          <w:szCs w:val="21"/>
        </w:rPr>
      </w:pPr>
      <w:r>
        <w:rPr>
          <w:rFonts w:hint="eastAsia" w:ascii="宋体" w:hAnsi="宋体"/>
          <w:b/>
          <w:szCs w:val="21"/>
        </w:rPr>
        <w:t>一</w:t>
      </w:r>
      <w:r>
        <w:rPr>
          <w:rFonts w:hint="eastAsia" w:asciiTheme="minorEastAsia" w:hAnsiTheme="minorEastAsia" w:eastAsiaTheme="minorEastAsia"/>
          <w:b/>
          <w:szCs w:val="21"/>
        </w:rPr>
        <w:t>、</w:t>
      </w:r>
      <w:r>
        <w:rPr>
          <w:rFonts w:hint="eastAsia"/>
          <w:b/>
          <w:szCs w:val="21"/>
        </w:rPr>
        <w:t>评标定标信息</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是否评标定标分离</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非评定分离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定标方法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候选中标供应商家数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bl>
    <w:p/>
    <w:p>
      <w:pPr>
        <w:spacing w:line="360" w:lineRule="auto"/>
        <w:ind w:firstLine="413" w:firstLineChars="196"/>
        <w:rPr>
          <w:rFonts w:ascii="宋体" w:hAnsi="宋体"/>
          <w:b/>
        </w:rPr>
      </w:pPr>
      <w:r>
        <w:rPr>
          <w:rFonts w:hint="eastAsia" w:ascii="宋体" w:hAnsi="宋体"/>
          <w:b/>
          <w:szCs w:val="21"/>
        </w:rPr>
        <w:t>二</w:t>
      </w:r>
      <w:r>
        <w:rPr>
          <w:rFonts w:hint="eastAsia" w:asciiTheme="minorEastAsia" w:hAnsiTheme="minorEastAsia" w:eastAsiaTheme="minorEastAsia"/>
          <w:b/>
          <w:szCs w:val="21"/>
        </w:rPr>
        <w:t>、</w:t>
      </w:r>
      <w:r>
        <w:rPr>
          <w:rFonts w:hint="eastAsia" w:asciiTheme="minorEastAsia" w:hAnsiTheme="minorEastAsia" w:eastAsiaTheme="minorEastAsia"/>
          <w:b/>
        </w:rPr>
        <w:t>投标人不符合《资格性审查表》或《符合性审查表》中任一情形的，初审不通过，投标无效</w:t>
      </w:r>
      <w:r>
        <w:rPr>
          <w:rFonts w:hint="eastAsia" w:ascii="宋体" w:hAnsi="宋体"/>
          <w:b/>
        </w:rPr>
        <w:t>。</w:t>
      </w:r>
    </w:p>
    <w:p>
      <w:pPr>
        <w:spacing w:line="360" w:lineRule="auto"/>
        <w:ind w:firstLine="411" w:firstLineChars="196"/>
        <w:rPr>
          <w:rFonts w:ascii="宋体" w:hAnsi="宋体"/>
        </w:rPr>
      </w:pPr>
    </w:p>
    <w:p>
      <w:pPr>
        <w:spacing w:line="360" w:lineRule="auto"/>
        <w:ind w:firstLine="413" w:firstLineChars="196"/>
        <w:rPr>
          <w:rFonts w:ascii="宋体" w:hAnsi="宋体"/>
          <w:b/>
          <w:szCs w:val="21"/>
        </w:rPr>
      </w:pPr>
      <w:r>
        <w:rPr>
          <w:rFonts w:hint="eastAsia" w:ascii="宋体" w:hAnsi="宋体"/>
          <w:b/>
          <w:szCs w:val="21"/>
        </w:rPr>
        <w:t>三</w:t>
      </w:r>
      <w:r>
        <w:rPr>
          <w:rFonts w:hint="eastAsia" w:asciiTheme="minorEastAsia" w:hAnsiTheme="minorEastAsia" w:eastAsiaTheme="minorEastAsia"/>
          <w:b/>
          <w:szCs w:val="21"/>
        </w:rPr>
        <w:t>、</w:t>
      </w:r>
      <w:r>
        <w:rPr>
          <w:rFonts w:hint="eastAsia" w:ascii="宋体" w:hAnsi="宋体"/>
          <w:b/>
          <w:szCs w:val="21"/>
        </w:rPr>
        <w:t>报价明显偏低的合理性说明</w:t>
      </w:r>
    </w:p>
    <w:p>
      <w:pPr>
        <w:spacing w:line="360" w:lineRule="auto"/>
        <w:ind w:firstLine="420" w:firstLineChars="200"/>
        <w:rPr>
          <w:rFonts w:ascii="宋体" w:hAnsi="宋体"/>
          <w:szCs w:val="21"/>
        </w:rPr>
      </w:pP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hAns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szCs w:val="21"/>
        </w:rPr>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asciiTheme="minorEastAsia" w:hAnsiTheme="minorEastAsia" w:eastAsiaTheme="minorEastAsia"/>
          <w:b/>
          <w:bCs/>
        </w:rPr>
        <w:t>关于享受政府采购优惠政策的主体及价格扣除比例</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after="60" w:line="360" w:lineRule="auto"/>
        <w:ind w:firstLine="424" w:firstLineChars="202"/>
        <w:rPr>
          <w:rFonts w:ascii="宋体" w:hAnsi="宋体"/>
        </w:rPr>
      </w:pPr>
      <w:r>
        <w:rPr>
          <w:rFonts w:hint="eastAsia" w:ascii="宋体" w:hAnsi="宋体"/>
        </w:rPr>
        <w:t>（3）优惠主体资格的认定资料为《中小企业声明函》、《残疾人福利性单位声明函》以及《监狱企业声明函》等承诺性质的资料（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rPr>
        <w:t>）；监狱企业或者代理提供监狱企业货物的供应商如须享受优惠政策，除上述资料外，还须提供省级以上监狱管理局、戒毒管理局出具的监狱企业证明文件。</w:t>
      </w:r>
    </w:p>
    <w:p>
      <w:pPr>
        <w:spacing w:after="60" w:line="360" w:lineRule="auto"/>
        <w:ind w:firstLine="424" w:firstLineChars="202"/>
        <w:rPr>
          <w:rFonts w:ascii="宋体" w:hAnsi="宋体"/>
        </w:rPr>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五、</w:t>
      </w:r>
      <w:r>
        <w:rPr>
          <w:rFonts w:hint="eastAsia"/>
          <w:b/>
        </w:rPr>
        <w:t>其他说明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拟采购的服务如涉及《关于调整优化节能产品环境标志产品政府采购执行机制的通知》（财库〔2019〕9号）、《关于印发环境标志产品政府采购品目清单的通知》（财库〔2019〕18号）和《关于印发节能产品政府采购品目清单的通知》（财库〔2019〕19号）品目清单范围内的产品，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
      <w:pPr>
        <w:widowControl/>
        <w:jc w:val="left"/>
        <w:rPr>
          <w:rFonts w:ascii="宋体" w:hAnsi="宋体" w:eastAsia="黑体"/>
          <w:b/>
          <w:bCs/>
          <w:kern w:val="44"/>
          <w:sz w:val="28"/>
          <w:szCs w:val="44"/>
        </w:rPr>
      </w:pPr>
      <w:r>
        <w:br w:type="page"/>
      </w:r>
    </w:p>
    <w:p>
      <w:pPr>
        <w:rPr>
          <w:rFonts w:ascii="Times New Roman" w:hAnsi="Times New Roman"/>
          <w:szCs w:val="24"/>
        </w:rPr>
      </w:pPr>
    </w:p>
    <w:p>
      <w:pPr>
        <w:keepNext/>
        <w:keepLines/>
        <w:spacing w:before="340" w:after="330" w:line="360" w:lineRule="auto"/>
        <w:jc w:val="center"/>
        <w:outlineLvl w:val="0"/>
        <w:rPr>
          <w:rFonts w:ascii="宋体" w:hAnsi="宋体" w:eastAsia="黑体"/>
          <w:b/>
          <w:bCs/>
          <w:kern w:val="44"/>
          <w:sz w:val="28"/>
          <w:szCs w:val="44"/>
        </w:rPr>
      </w:pPr>
      <w:r>
        <w:rPr>
          <w:rFonts w:hint="eastAsia" w:ascii="宋体" w:hAnsi="宋体" w:eastAsia="黑体"/>
          <w:b/>
          <w:bCs/>
          <w:kern w:val="44"/>
          <w:sz w:val="28"/>
          <w:szCs w:val="44"/>
        </w:rPr>
        <w:t>目   录</w:t>
      </w:r>
    </w:p>
    <w:p>
      <w:pPr>
        <w:rPr>
          <w:rFonts w:ascii="Times New Roman" w:hAnsi="Times New Roman"/>
          <w:b/>
          <w:sz w:val="24"/>
          <w:szCs w:val="24"/>
        </w:rPr>
      </w:pPr>
      <w:r>
        <w:rPr>
          <w:rFonts w:hint="eastAsia" w:ascii="Times New Roman" w:hAnsi="Times New Roman"/>
          <w:b/>
          <w:sz w:val="24"/>
          <w:szCs w:val="24"/>
        </w:rPr>
        <w:t>第一册  专用条款</w:t>
      </w:r>
    </w:p>
    <w:p>
      <w:pPr>
        <w:ind w:left="630" w:leftChars="300" w:firstLine="411" w:firstLineChars="196"/>
        <w:rPr>
          <w:rFonts w:ascii="宋体" w:hAnsi="宋体"/>
          <w:szCs w:val="21"/>
        </w:rPr>
      </w:pP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投标文件格式、附件</w:t>
      </w:r>
    </w:p>
    <w:p>
      <w:pPr>
        <w:ind w:left="630" w:leftChars="300" w:firstLine="411" w:firstLineChars="196"/>
        <w:rPr>
          <w:rFonts w:ascii="宋体" w:hAnsi="宋体"/>
          <w:szCs w:val="21"/>
        </w:rPr>
      </w:pPr>
      <w:r>
        <w:rPr>
          <w:rFonts w:hint="eastAsia" w:ascii="宋体" w:hAnsi="宋体"/>
          <w:szCs w:val="21"/>
        </w:rPr>
        <w:t>第四章  合同及履约情况反馈格式</w:t>
      </w:r>
    </w:p>
    <w:p>
      <w:pPr>
        <w:ind w:left="630" w:leftChars="300" w:firstLine="411" w:firstLineChars="196"/>
        <w:rPr>
          <w:rFonts w:ascii="宋体" w:hAnsi="宋体"/>
          <w:szCs w:val="21"/>
        </w:rPr>
      </w:pPr>
      <w:r>
        <w:rPr>
          <w:rFonts w:hint="eastAsia" w:ascii="宋体" w:hAnsi="宋体"/>
          <w:szCs w:val="21"/>
        </w:rPr>
        <w:t>第五章  附件</w:t>
      </w:r>
    </w:p>
    <w:p>
      <w:pPr>
        <w:ind w:left="630" w:leftChars="300" w:firstLine="411" w:firstLineChars="196"/>
        <w:rPr>
          <w:rFonts w:ascii="宋体" w:hAnsi="宋体"/>
          <w:szCs w:val="21"/>
        </w:rPr>
      </w:pPr>
    </w:p>
    <w:p>
      <w:pPr>
        <w:rPr>
          <w:rFonts w:ascii="Times New Roman" w:hAnsi="Times New Roman"/>
          <w:b/>
          <w:sz w:val="24"/>
          <w:szCs w:val="24"/>
        </w:rPr>
      </w:pPr>
    </w:p>
    <w:p>
      <w:pPr>
        <w:rPr>
          <w:rFonts w:ascii="Times New Roman" w:hAnsi="Times New Roman"/>
          <w:b/>
          <w:sz w:val="24"/>
          <w:szCs w:val="24"/>
        </w:rPr>
      </w:pPr>
      <w:r>
        <w:rPr>
          <w:rFonts w:hint="eastAsia" w:ascii="Times New Roman" w:hAnsi="Times New Roman"/>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评标要求</w:t>
      </w:r>
    </w:p>
    <w:p>
      <w:pPr>
        <w:ind w:left="630" w:leftChars="300" w:firstLine="411" w:firstLineChars="196"/>
        <w:rPr>
          <w:rFonts w:ascii="宋体" w:hAnsi="宋体"/>
          <w:szCs w:val="21"/>
        </w:rPr>
      </w:pPr>
      <w:r>
        <w:rPr>
          <w:rFonts w:hint="eastAsia" w:ascii="宋体" w:hAnsi="宋体"/>
          <w:szCs w:val="21"/>
        </w:rPr>
        <w:t>第七章  评标程序及评标方法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rPr>
          <w:rFonts w:ascii="Times New Roman" w:hAnsi="Times New Roman"/>
          <w:sz w:val="24"/>
          <w:szCs w:val="24"/>
        </w:rPr>
      </w:pPr>
    </w:p>
    <w:p>
      <w:pPr>
        <w:rPr>
          <w:rFonts w:ascii="Times New Roman" w:hAnsi="Times New Roman"/>
          <w:b/>
          <w:szCs w:val="24"/>
        </w:rPr>
      </w:pPr>
      <w:r>
        <w:rPr>
          <w:rFonts w:hint="eastAsia" w:ascii="Times New Roman" w:hAnsi="Times New Roman"/>
          <w:b/>
          <w:szCs w:val="24"/>
        </w:rPr>
        <w:t>备注：</w:t>
      </w:r>
    </w:p>
    <w:p>
      <w:pPr>
        <w:ind w:firstLine="420" w:firstLineChars="200"/>
        <w:rPr>
          <w:rFonts w:ascii="Times New Roman" w:hAnsi="Times New Roman"/>
          <w:b/>
          <w:szCs w:val="24"/>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hint="eastAsia" w:ascii="宋体" w:hAnsi="宋体"/>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rPr>
          <w:rFonts w:ascii="宋体" w:hAnsi="宋体"/>
          <w:szCs w:val="21"/>
        </w:rPr>
      </w:pPr>
    </w:p>
    <w:p>
      <w:pPr>
        <w:widowControl/>
        <w:jc w:val="left"/>
        <w:rPr>
          <w:rFonts w:ascii="宋体" w:hAnsi="宋体" w:eastAsia="黑体"/>
          <w:b/>
          <w:bCs/>
          <w:kern w:val="44"/>
          <w:sz w:val="28"/>
          <w:szCs w:val="44"/>
        </w:rPr>
      </w:pPr>
      <w:r>
        <w:rPr>
          <w:rFonts w:ascii="Times New Roman" w:hAnsi="Times New Roman"/>
          <w:szCs w:val="24"/>
        </w:rPr>
        <w:br w:type="page"/>
      </w:r>
    </w:p>
    <w:p>
      <w:pPr>
        <w:keepNext/>
        <w:keepLines/>
        <w:spacing w:before="340" w:after="330" w:line="360" w:lineRule="auto"/>
        <w:jc w:val="center"/>
        <w:outlineLvl w:val="0"/>
        <w:rPr>
          <w:rFonts w:ascii="宋体" w:hAnsi="宋体" w:eastAsia="黑体"/>
          <w:b/>
          <w:bCs/>
          <w:kern w:val="44"/>
          <w:sz w:val="24"/>
          <w:szCs w:val="44"/>
        </w:rPr>
      </w:pPr>
      <w:r>
        <w:rPr>
          <w:rFonts w:hint="eastAsia" w:ascii="宋体" w:hAnsi="宋体" w:eastAsia="黑体"/>
          <w:b/>
          <w:bCs/>
          <w:kern w:val="44"/>
          <w:sz w:val="28"/>
          <w:szCs w:val="44"/>
        </w:rPr>
        <w:t>第一册  专用条款</w:t>
      </w:r>
    </w:p>
    <w:p>
      <w:pPr>
        <w:keepNext/>
        <w:keepLines/>
        <w:adjustRightInd w:val="0"/>
        <w:spacing w:before="260" w:after="260"/>
        <w:jc w:val="center"/>
        <w:textAlignment w:val="baseline"/>
        <w:outlineLvl w:val="1"/>
        <w:rPr>
          <w:rFonts w:ascii="宋体" w:hAnsi="宋体"/>
          <w:b/>
          <w:bCs/>
          <w:kern w:val="0"/>
          <w:sz w:val="24"/>
          <w:szCs w:val="20"/>
        </w:rPr>
      </w:pPr>
      <w:r>
        <w:rPr>
          <w:rFonts w:hint="eastAsia" w:ascii="宋体" w:hAnsi="宋体"/>
          <w:b/>
          <w:bCs/>
          <w:kern w:val="0"/>
          <w:sz w:val="24"/>
          <w:szCs w:val="20"/>
        </w:rPr>
        <w:t>第一章  招标公告</w:t>
      </w:r>
    </w:p>
    <w:p>
      <w:pPr>
        <w:spacing w:line="400" w:lineRule="exact"/>
        <w:rPr>
          <w:rFonts w:ascii="宋体" w:hAnsi="宋体"/>
          <w:vanish/>
          <w:szCs w:val="21"/>
        </w:rPr>
      </w:pPr>
    </w:p>
    <w:p>
      <w:pPr>
        <w:widowControl/>
        <w:spacing w:line="360" w:lineRule="auto"/>
        <w:rPr>
          <w:rFonts w:ascii="宋体" w:hAnsi="宋体"/>
          <w:szCs w:val="24"/>
        </w:rPr>
      </w:pPr>
      <w:bookmarkStart w:id="0" w:name="OLE_LINK1"/>
      <w:bookmarkStart w:id="1" w:name="OLE_LINK2"/>
      <w:r>
        <w:rPr>
          <w:rFonts w:ascii="宋体" w:hAnsi="宋体"/>
          <w:szCs w:val="24"/>
        </w:rPr>
        <w:t>项目概况</w:t>
      </w:r>
      <w:r>
        <w:rPr>
          <w:rFonts w:hint="eastAsia" w:ascii="宋体" w:hAnsi="宋体"/>
          <w:szCs w:val="24"/>
        </w:rPr>
        <w:t>:</w:t>
      </w:r>
    </w:p>
    <w:p>
      <w:pPr>
        <w:widowControl/>
        <w:spacing w:line="360" w:lineRule="auto"/>
        <w:ind w:firstLine="424" w:firstLineChars="202"/>
        <w:rPr>
          <w:rFonts w:ascii="宋体" w:hAnsi="宋体"/>
          <w:szCs w:val="24"/>
        </w:rPr>
      </w:pPr>
      <w:r>
        <w:rPr>
          <w:rFonts w:hint="eastAsia" w:asciiTheme="minorEastAsia" w:hAnsiTheme="minorEastAsia" w:eastAsiaTheme="minorEastAsia"/>
          <w:szCs w:val="24"/>
          <w:lang w:eastAsia="zh-CN"/>
        </w:rPr>
        <w:t>2022年深圳市菜篮子基地工作（基地监测）</w:t>
      </w:r>
      <w:r>
        <w:rPr>
          <w:rFonts w:hint="eastAsia" w:asciiTheme="minorEastAsia" w:hAnsiTheme="minorEastAsia" w:eastAsiaTheme="minorEastAsia"/>
          <w:szCs w:val="24"/>
        </w:rPr>
        <w:t>招标项目</w:t>
      </w:r>
      <w:r>
        <w:rPr>
          <w:rFonts w:ascii="宋体" w:hAnsi="宋体"/>
          <w:szCs w:val="24"/>
        </w:rPr>
        <w:t xml:space="preserve">的潜在投标人应在（本公告附件中）获取招标文件，并于 </w:t>
      </w:r>
      <w:r>
        <w:rPr>
          <w:rFonts w:hint="eastAsia" w:ascii="宋体" w:hAnsi="宋体"/>
          <w:b/>
          <w:szCs w:val="24"/>
          <w:u w:val="single"/>
          <w:lang w:eastAsia="zh-CN"/>
        </w:rPr>
        <w:t>2022年5月13日09:00</w:t>
      </w:r>
      <w:r>
        <w:rPr>
          <w:rFonts w:ascii="宋体" w:hAnsi="宋体"/>
          <w:b/>
          <w:szCs w:val="24"/>
          <w:u w:val="single"/>
        </w:rPr>
        <w:t>（北京时间）</w:t>
      </w:r>
      <w:r>
        <w:rPr>
          <w:rFonts w:ascii="宋体" w:hAnsi="宋体"/>
          <w:szCs w:val="24"/>
        </w:rPr>
        <w:t xml:space="preserve">前递交投标文件。 </w:t>
      </w:r>
    </w:p>
    <w:p>
      <w:pPr>
        <w:widowControl/>
        <w:spacing w:line="360" w:lineRule="auto"/>
        <w:rPr>
          <w:rFonts w:ascii="宋体" w:hAnsi="宋体"/>
          <w:szCs w:val="24"/>
        </w:rPr>
      </w:pPr>
    </w:p>
    <w:p>
      <w:pPr>
        <w:widowControl/>
        <w:spacing w:line="360" w:lineRule="auto"/>
        <w:rPr>
          <w:rFonts w:ascii="宋体" w:hAnsi="宋体"/>
          <w:szCs w:val="24"/>
        </w:rPr>
      </w:pPr>
      <w:r>
        <w:rPr>
          <w:rFonts w:ascii="宋体" w:hAnsi="宋体"/>
          <w:szCs w:val="24"/>
        </w:rPr>
        <w:t>一、项目基本情况</w:t>
      </w:r>
    </w:p>
    <w:p>
      <w:pPr>
        <w:widowControl/>
        <w:spacing w:line="360" w:lineRule="auto"/>
        <w:ind w:firstLine="424" w:firstLineChars="202"/>
        <w:rPr>
          <w:rFonts w:hint="eastAsia" w:ascii="宋体" w:hAnsi="宋体" w:eastAsia="宋体"/>
          <w:szCs w:val="21"/>
          <w:lang w:eastAsia="zh-CN"/>
        </w:rPr>
      </w:pPr>
      <w:r>
        <w:rPr>
          <w:rFonts w:ascii="宋体" w:hAnsi="宋体"/>
          <w:szCs w:val="21"/>
        </w:rPr>
        <w:t>1</w:t>
      </w:r>
      <w:r>
        <w:rPr>
          <w:rFonts w:hint="eastAsia" w:ascii="宋体" w:hAnsi="宋体"/>
          <w:szCs w:val="21"/>
        </w:rPr>
        <w:t>、</w:t>
      </w:r>
      <w:r>
        <w:rPr>
          <w:rFonts w:ascii="宋体" w:hAnsi="宋体"/>
          <w:szCs w:val="21"/>
        </w:rPr>
        <w:t>项目编号：</w:t>
      </w:r>
      <w:r>
        <w:rPr>
          <w:rFonts w:hint="eastAsia" w:ascii="宋体" w:hAnsi="宋体"/>
          <w:szCs w:val="21"/>
          <w:lang w:eastAsia="zh-CN"/>
        </w:rPr>
        <w:t>SZDL2022000716</w:t>
      </w:r>
    </w:p>
    <w:p>
      <w:pPr>
        <w:widowControl/>
        <w:spacing w:line="360" w:lineRule="auto"/>
        <w:ind w:firstLine="424" w:firstLineChars="202"/>
        <w:rPr>
          <w:rFonts w:hint="eastAsia" w:ascii="宋体" w:hAnsi="宋体" w:eastAsia="宋体"/>
          <w:szCs w:val="21"/>
          <w:lang w:eastAsia="zh-CN"/>
        </w:rPr>
      </w:pPr>
      <w:r>
        <w:rPr>
          <w:rFonts w:ascii="宋体" w:hAnsi="宋体"/>
          <w:szCs w:val="21"/>
        </w:rPr>
        <w:t>2</w:t>
      </w:r>
      <w:r>
        <w:rPr>
          <w:rFonts w:hint="eastAsia" w:ascii="宋体" w:hAnsi="宋体"/>
          <w:szCs w:val="21"/>
        </w:rPr>
        <w:t>、</w:t>
      </w:r>
      <w:r>
        <w:rPr>
          <w:rFonts w:ascii="宋体" w:hAnsi="宋体"/>
          <w:szCs w:val="21"/>
        </w:rPr>
        <w:t>项目名称：</w:t>
      </w:r>
      <w:r>
        <w:rPr>
          <w:rFonts w:hint="eastAsia" w:ascii="宋体" w:hAnsi="宋体"/>
          <w:szCs w:val="21"/>
          <w:lang w:eastAsia="zh-CN"/>
        </w:rPr>
        <w:t>2022年深圳市菜篮子基地工作（基地监测）</w:t>
      </w:r>
    </w:p>
    <w:p>
      <w:pPr>
        <w:widowControl/>
        <w:spacing w:line="360" w:lineRule="auto"/>
        <w:ind w:firstLine="424" w:firstLineChars="202"/>
        <w:rPr>
          <w:rFonts w:ascii="宋体" w:hAnsi="宋体"/>
          <w:szCs w:val="21"/>
        </w:rPr>
      </w:pPr>
      <w:r>
        <w:rPr>
          <w:rFonts w:ascii="宋体" w:hAnsi="宋体"/>
          <w:szCs w:val="21"/>
        </w:rPr>
        <w:t>3</w:t>
      </w:r>
      <w:r>
        <w:rPr>
          <w:rFonts w:hint="eastAsia" w:ascii="宋体" w:hAnsi="宋体"/>
          <w:szCs w:val="21"/>
        </w:rPr>
        <w:t>、</w:t>
      </w:r>
      <w:r>
        <w:rPr>
          <w:rFonts w:ascii="宋体" w:hAnsi="宋体"/>
          <w:szCs w:val="21"/>
        </w:rPr>
        <w:t>预算金额：</w:t>
      </w:r>
      <w:r>
        <w:rPr>
          <w:rFonts w:hint="eastAsia" w:ascii="宋体" w:hAnsi="宋体"/>
          <w:szCs w:val="21"/>
        </w:rPr>
        <w:t>人民币</w:t>
      </w:r>
      <w:r>
        <w:rPr>
          <w:rFonts w:hint="eastAsia" w:ascii="宋体" w:hAnsi="宋体"/>
          <w:szCs w:val="21"/>
          <w:lang w:eastAsia="zh-CN"/>
        </w:rPr>
        <w:t>2,464,000.00</w:t>
      </w:r>
      <w:r>
        <w:rPr>
          <w:rFonts w:ascii="宋体" w:hAnsi="宋体"/>
          <w:szCs w:val="21"/>
        </w:rPr>
        <w:t>元</w:t>
      </w:r>
    </w:p>
    <w:p>
      <w:pPr>
        <w:widowControl/>
        <w:spacing w:line="360" w:lineRule="auto"/>
        <w:ind w:firstLine="424" w:firstLineChars="202"/>
        <w:rPr>
          <w:rFonts w:ascii="宋体" w:hAnsi="宋体"/>
          <w:szCs w:val="21"/>
        </w:rPr>
      </w:pPr>
      <w:r>
        <w:rPr>
          <w:rFonts w:ascii="宋体" w:hAnsi="宋体"/>
          <w:szCs w:val="21"/>
        </w:rPr>
        <w:t>4</w:t>
      </w:r>
      <w:r>
        <w:rPr>
          <w:rFonts w:hint="eastAsia" w:ascii="宋体" w:hAnsi="宋体"/>
          <w:szCs w:val="21"/>
        </w:rPr>
        <w:t>、</w:t>
      </w:r>
      <w:r>
        <w:rPr>
          <w:rFonts w:ascii="宋体" w:hAnsi="宋体"/>
          <w:szCs w:val="21"/>
        </w:rPr>
        <w:t>最高限价：</w:t>
      </w:r>
      <w:r>
        <w:rPr>
          <w:rFonts w:hint="eastAsia" w:ascii="宋体" w:hAnsi="宋体"/>
          <w:szCs w:val="21"/>
        </w:rPr>
        <w:t>人民币</w:t>
      </w:r>
      <w:r>
        <w:rPr>
          <w:rFonts w:hint="eastAsia" w:ascii="宋体" w:hAnsi="宋体"/>
          <w:szCs w:val="21"/>
          <w:lang w:eastAsia="zh-CN"/>
        </w:rPr>
        <w:t>2,464,000.00</w:t>
      </w:r>
      <w:r>
        <w:rPr>
          <w:rFonts w:ascii="宋体" w:hAnsi="宋体"/>
          <w:szCs w:val="21"/>
        </w:rPr>
        <w:t>元</w:t>
      </w:r>
    </w:p>
    <w:p>
      <w:pPr>
        <w:widowControl/>
        <w:spacing w:line="360" w:lineRule="auto"/>
        <w:ind w:firstLine="424" w:firstLineChars="202"/>
        <w:rPr>
          <w:rFonts w:ascii="宋体" w:hAnsi="宋体"/>
          <w:szCs w:val="21"/>
        </w:rPr>
      </w:pPr>
      <w:r>
        <w:rPr>
          <w:rFonts w:ascii="宋体" w:hAnsi="宋体"/>
          <w:szCs w:val="21"/>
        </w:rPr>
        <w:t>5</w:t>
      </w:r>
      <w:r>
        <w:rPr>
          <w:rFonts w:hint="eastAsia" w:ascii="宋体" w:hAnsi="宋体"/>
          <w:szCs w:val="21"/>
        </w:rPr>
        <w:t>、</w:t>
      </w:r>
      <w:r>
        <w:rPr>
          <w:rFonts w:ascii="宋体" w:hAnsi="宋体"/>
          <w:szCs w:val="21"/>
        </w:rPr>
        <w:t>采购需求：</w:t>
      </w:r>
    </w:p>
    <w:tbl>
      <w:tblPr>
        <w:tblStyle w:val="42"/>
        <w:tblW w:w="9214"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3261"/>
        <w:gridCol w:w="850"/>
        <w:gridCol w:w="992"/>
        <w:gridCol w:w="2694"/>
        <w:gridCol w:w="1417"/>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标的名称</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数量</w:t>
            </w:r>
          </w:p>
        </w:tc>
        <w:tc>
          <w:tcPr>
            <w:tcW w:w="99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单位</w:t>
            </w:r>
          </w:p>
        </w:tc>
        <w:tc>
          <w:tcPr>
            <w:tcW w:w="269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hint="eastAsia" w:ascii="宋体" w:hAnsi="宋体"/>
                <w:szCs w:val="24"/>
              </w:rPr>
              <w:t>简要技术需求或服务要求</w:t>
            </w:r>
          </w:p>
        </w:tc>
        <w:tc>
          <w:tcPr>
            <w:tcW w:w="1417"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hint="eastAsia" w:ascii="宋体" w:hAnsi="宋体" w:eastAsia="宋体"/>
                <w:szCs w:val="24"/>
                <w:lang w:eastAsia="zh-CN"/>
              </w:rPr>
            </w:pPr>
            <w:r>
              <w:rPr>
                <w:rFonts w:hint="eastAsia" w:ascii="宋体" w:hAnsi="宋体"/>
                <w:szCs w:val="24"/>
                <w:lang w:eastAsia="zh-CN"/>
              </w:rPr>
              <w:t>2022年深圳市菜篮子基地工作（基地监测）</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1</w:t>
            </w:r>
          </w:p>
        </w:tc>
        <w:tc>
          <w:tcPr>
            <w:tcW w:w="99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项</w:t>
            </w:r>
          </w:p>
        </w:tc>
        <w:tc>
          <w:tcPr>
            <w:tcW w:w="2694"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详见招标文件</w:t>
            </w:r>
          </w:p>
        </w:tc>
        <w:tc>
          <w:tcPr>
            <w:tcW w:w="1417"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宋体" w:hAnsi="宋体"/>
                <w:szCs w:val="24"/>
              </w:rPr>
            </w:pPr>
            <w:r>
              <w:rPr>
                <w:rFonts w:hint="eastAsia" w:ascii="宋体" w:hAnsi="宋体"/>
                <w:szCs w:val="24"/>
              </w:rPr>
              <w:t>无</w:t>
            </w:r>
          </w:p>
        </w:tc>
      </w:tr>
    </w:tbl>
    <w:p>
      <w:pPr>
        <w:widowControl/>
        <w:spacing w:line="360" w:lineRule="auto"/>
        <w:ind w:firstLine="424" w:firstLineChars="202"/>
        <w:rPr>
          <w:rFonts w:ascii="宋体" w:hAnsi="宋体"/>
          <w:szCs w:val="21"/>
        </w:rPr>
      </w:pPr>
      <w:r>
        <w:rPr>
          <w:rFonts w:ascii="宋体" w:hAnsi="宋体"/>
          <w:szCs w:val="21"/>
        </w:rPr>
        <w:t>6</w:t>
      </w:r>
      <w:r>
        <w:rPr>
          <w:rFonts w:hint="eastAsia" w:ascii="宋体" w:hAnsi="宋体"/>
          <w:szCs w:val="21"/>
        </w:rPr>
        <w:t>、</w:t>
      </w:r>
      <w:r>
        <w:rPr>
          <w:rFonts w:ascii="宋体" w:hAnsi="宋体"/>
          <w:szCs w:val="21"/>
        </w:rPr>
        <w:t>合同履行期限：</w:t>
      </w:r>
      <w:r>
        <w:rPr>
          <w:rFonts w:hint="eastAsia" w:asciiTheme="minorEastAsia" w:hAnsiTheme="minorEastAsia" w:eastAsiaTheme="minorEastAsia"/>
          <w:szCs w:val="21"/>
        </w:rPr>
        <w:t>详见招标文件</w:t>
      </w:r>
    </w:p>
    <w:p>
      <w:pPr>
        <w:widowControl/>
        <w:spacing w:line="360" w:lineRule="auto"/>
        <w:ind w:firstLine="424" w:firstLineChars="202"/>
        <w:rPr>
          <w:rFonts w:ascii="宋体" w:hAnsi="宋体"/>
          <w:szCs w:val="21"/>
        </w:rPr>
      </w:pPr>
      <w:r>
        <w:rPr>
          <w:rFonts w:ascii="宋体" w:hAnsi="宋体"/>
          <w:szCs w:val="21"/>
        </w:rPr>
        <w:t>7</w:t>
      </w:r>
      <w:r>
        <w:rPr>
          <w:rFonts w:hint="eastAsia" w:ascii="宋体" w:hAnsi="宋体"/>
          <w:szCs w:val="21"/>
        </w:rPr>
        <w:t>、本项目（是/否）接受联合体投标：详见“申请人的资格要求”</w:t>
      </w:r>
    </w:p>
    <w:p>
      <w:pPr>
        <w:widowControl/>
        <w:spacing w:line="360" w:lineRule="auto"/>
        <w:rPr>
          <w:rFonts w:ascii="宋体" w:hAnsi="宋体"/>
          <w:szCs w:val="21"/>
        </w:rPr>
      </w:pPr>
    </w:p>
    <w:p>
      <w:pPr>
        <w:widowControl/>
        <w:spacing w:line="360" w:lineRule="auto"/>
        <w:rPr>
          <w:rFonts w:ascii="宋体" w:hAnsi="宋体"/>
          <w:szCs w:val="24"/>
        </w:rPr>
      </w:pPr>
      <w:r>
        <w:rPr>
          <w:rFonts w:ascii="宋体" w:hAnsi="宋体"/>
          <w:szCs w:val="24"/>
        </w:rPr>
        <w:t>二、申请人的资格要求：</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1</w:t>
      </w:r>
      <w:r>
        <w:rPr>
          <w:rFonts w:hint="eastAsia" w:asciiTheme="minorEastAsia" w:hAnsiTheme="minorEastAsia" w:eastAsiaTheme="minorEastAsia"/>
          <w:szCs w:val="24"/>
        </w:rPr>
        <w:t>、</w:t>
      </w:r>
      <w:r>
        <w:rPr>
          <w:rFonts w:asciiTheme="minorEastAsia" w:hAnsiTheme="minorEastAsia" w:eastAsiaTheme="minorEastAsia"/>
          <w:szCs w:val="24"/>
        </w:rPr>
        <w:t>满足《中华人民共和国政府采购法》第二十二条规定</w:t>
      </w:r>
      <w:r>
        <w:rPr>
          <w:rFonts w:hint="eastAsia" w:asciiTheme="minorEastAsia" w:hAnsiTheme="minorEastAsia" w:eastAsiaTheme="minorEastAsia"/>
          <w:snapToGrid w:val="0"/>
          <w:szCs w:val="24"/>
        </w:rPr>
        <w:t>（须提供具有独立承担民事责任能力的法人或其他组织的营业执照或法人证书等证明材料扫描件以及《</w:t>
      </w:r>
      <w:r>
        <w:rPr>
          <w:rFonts w:hint="eastAsia" w:asciiTheme="minorEastAsia" w:hAnsiTheme="minorEastAsia" w:eastAsiaTheme="minorEastAsia"/>
          <w:szCs w:val="24"/>
        </w:rPr>
        <w:t>政府采购投标及履约承诺函</w:t>
      </w:r>
      <w:r>
        <w:rPr>
          <w:rFonts w:hint="eastAsia" w:asciiTheme="minorEastAsia" w:hAnsiTheme="minorEastAsia" w:eastAsiaTheme="minorEastAsia"/>
          <w:snapToGrid w:val="0"/>
          <w:szCs w:val="24"/>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扫描件，原件备查</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2</w:t>
      </w:r>
      <w:r>
        <w:rPr>
          <w:rFonts w:hint="eastAsia" w:asciiTheme="minorEastAsia" w:hAnsiTheme="minorEastAsia" w:eastAsiaTheme="minorEastAsia"/>
          <w:szCs w:val="24"/>
        </w:rPr>
        <w:t>、</w:t>
      </w:r>
      <w:r>
        <w:rPr>
          <w:rFonts w:asciiTheme="minorEastAsia" w:hAnsiTheme="minorEastAsia" w:eastAsiaTheme="minorEastAsia"/>
          <w:szCs w:val="24"/>
        </w:rPr>
        <w:t>落实政府采购政策需满足的资格要求：</w:t>
      </w:r>
      <w:r>
        <w:rPr>
          <w:rFonts w:hint="eastAsia" w:asciiTheme="minorEastAsia" w:hAnsiTheme="minorEastAsia" w:eastAsiaTheme="minorEastAsia"/>
          <w:szCs w:val="24"/>
        </w:rPr>
        <w:t>无</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3</w:t>
      </w:r>
      <w:r>
        <w:rPr>
          <w:rFonts w:hint="eastAsia" w:asciiTheme="minorEastAsia" w:hAnsiTheme="minorEastAsia" w:eastAsiaTheme="minorEastAsia"/>
          <w:szCs w:val="24"/>
        </w:rPr>
        <w:t>、</w:t>
      </w:r>
      <w:r>
        <w:rPr>
          <w:rFonts w:asciiTheme="minorEastAsia" w:hAnsiTheme="minorEastAsia" w:eastAsiaTheme="minorEastAsia"/>
          <w:szCs w:val="24"/>
        </w:rPr>
        <w:t>本项目的特定资格要求：</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hint="eastAsia" w:asciiTheme="minorEastAsia" w:hAnsiTheme="minorEastAsia" w:eastAsiaTheme="minorEastAsia"/>
          <w:snapToGrid w:val="0"/>
          <w:szCs w:val="24"/>
        </w:rPr>
        <w:t>参与本项目投标前三年内，在经营活动中没有重大违法记录</w:t>
      </w:r>
      <w:r>
        <w:rPr>
          <w:rFonts w:hint="eastAsia" w:asciiTheme="minorEastAsia" w:hAnsiTheme="minorEastAsia" w:eastAsiaTheme="minorEastAsia"/>
          <w:szCs w:val="24"/>
        </w:rPr>
        <w:t>（由供应商在《政府采购投标及履约承诺函》中作出声明）；</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asciiTheme="minorEastAsia" w:hAnsiTheme="minorEastAsia" w:eastAsiaTheme="minorEastAsia"/>
          <w:snapToGrid w:val="0"/>
          <w:szCs w:val="24"/>
        </w:rPr>
        <w:t>参与本项目政府采购活动时不存在被有关部门禁止参与政府采购活动且在有效期内的情况</w:t>
      </w:r>
      <w:r>
        <w:rPr>
          <w:rFonts w:hint="eastAsia" w:asciiTheme="minorEastAsia" w:hAnsiTheme="minorEastAsia" w:eastAsiaTheme="minorEastAsia"/>
          <w:szCs w:val="24"/>
        </w:rPr>
        <w:t>（由供应商在《政府采购投标及履约承诺函》中作出声明）；</w:t>
      </w:r>
    </w:p>
    <w:p>
      <w:pPr>
        <w:spacing w:line="360" w:lineRule="auto"/>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（3）</w:t>
      </w:r>
      <w:r>
        <w:rPr>
          <w:rFonts w:hint="eastAsia" w:asciiTheme="minorEastAsia" w:hAnsiTheme="minorEastAsia" w:eastAsiaTheme="minorEastAsia"/>
          <w:snapToGrid w:val="0"/>
          <w:szCs w:val="24"/>
        </w:rPr>
        <w:t>单位负责人为同一人或者存在直接控股、管理关系的不同供应商，不得参加同一合同项下</w:t>
      </w:r>
      <w:r>
        <w:rPr>
          <w:rFonts w:hint="eastAsia" w:asciiTheme="minorEastAsia" w:hAnsiTheme="minorEastAsia" w:eastAsiaTheme="minorEastAsia"/>
          <w:szCs w:val="24"/>
        </w:rPr>
        <w:t>的政府采购活动（由供应商在《政府采购投标及履约承诺函》中作出声明）；</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（4）</w:t>
      </w:r>
      <w:r>
        <w:rPr>
          <w:rFonts w:hint="eastAsia" w:asciiTheme="minorEastAsia" w:hAnsiTheme="minorEastAsia" w:eastAsiaTheme="minorEastAsia"/>
          <w:snapToGrid w:val="0"/>
          <w:szCs w:val="24"/>
        </w:rPr>
        <w:t>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szCs w:val="24"/>
        </w:rPr>
        <w:t>（由供应商在《政府采购投标及履约承诺函》中作出声明）</w:t>
      </w:r>
      <w:r>
        <w:rPr>
          <w:rFonts w:hint="eastAsia" w:asciiTheme="minorEastAsia" w:hAnsiTheme="minorEastAsia" w:eastAsiaTheme="minorEastAsia"/>
          <w:snapToGrid w:val="0"/>
          <w:szCs w:val="24"/>
        </w:rPr>
        <w:t>；</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招标代理机构查询，投标人无需提供证明材料）；</w:t>
      </w:r>
    </w:p>
    <w:p>
      <w:pPr>
        <w:widowControl/>
        <w:adjustRightInd w:val="0"/>
        <w:snapToGrid w:val="0"/>
        <w:spacing w:line="360" w:lineRule="auto"/>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（6）本项目不接受联合体投标，不允许分包或转包。</w:t>
      </w:r>
    </w:p>
    <w:p>
      <w:pPr>
        <w:widowControl/>
        <w:adjustRightInd w:val="0"/>
        <w:snapToGrid w:val="0"/>
        <w:spacing w:line="360" w:lineRule="auto"/>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注：供应商投标（上传投标文件）必须先行办理注册手续，具体请按照本公告“三、获取招标文件”相关内容指引办理。</w:t>
      </w:r>
    </w:p>
    <w:p>
      <w:pPr>
        <w:widowControl/>
        <w:spacing w:line="360" w:lineRule="auto"/>
        <w:rPr>
          <w:rFonts w:ascii="宋体" w:hAnsi="宋体"/>
          <w:szCs w:val="24"/>
        </w:rPr>
      </w:pPr>
    </w:p>
    <w:p>
      <w:pPr>
        <w:widowControl/>
        <w:spacing w:line="360" w:lineRule="auto"/>
        <w:rPr>
          <w:rFonts w:ascii="宋体" w:hAnsi="宋体"/>
          <w:szCs w:val="24"/>
        </w:rPr>
      </w:pPr>
      <w:r>
        <w:rPr>
          <w:rFonts w:ascii="宋体" w:hAnsi="宋体"/>
          <w:szCs w:val="24"/>
        </w:rPr>
        <w:t>三、获取招标文件</w:t>
      </w:r>
    </w:p>
    <w:p>
      <w:pPr>
        <w:widowControl/>
        <w:spacing w:line="360" w:lineRule="auto"/>
        <w:ind w:firstLine="420" w:firstLineChars="200"/>
        <w:rPr>
          <w:rFonts w:ascii="宋体" w:hAnsi="宋体"/>
          <w:szCs w:val="24"/>
        </w:rPr>
      </w:pPr>
      <w:r>
        <w:rPr>
          <w:rFonts w:hint="eastAsia" w:ascii="宋体" w:hAnsi="宋体"/>
          <w:szCs w:val="24"/>
        </w:rPr>
        <w:t>1、</w:t>
      </w:r>
      <w:r>
        <w:rPr>
          <w:rFonts w:ascii="宋体" w:hAnsi="宋体"/>
          <w:szCs w:val="24"/>
        </w:rPr>
        <w:t>时间：</w:t>
      </w:r>
      <w:r>
        <w:rPr>
          <w:rFonts w:hint="eastAsia" w:ascii="宋体" w:hAnsi="宋体"/>
          <w:b/>
          <w:szCs w:val="24"/>
          <w:u w:val="single"/>
        </w:rPr>
        <w:t>2022年</w:t>
      </w:r>
      <w:r>
        <w:rPr>
          <w:rFonts w:hint="eastAsia" w:ascii="宋体" w:hAnsi="宋体"/>
          <w:b/>
          <w:szCs w:val="24"/>
          <w:u w:val="single"/>
          <w:lang w:val="en-US" w:eastAsia="zh-CN"/>
        </w:rPr>
        <w:t>4</w:t>
      </w:r>
      <w:r>
        <w:rPr>
          <w:rFonts w:hint="eastAsia" w:ascii="宋体" w:hAnsi="宋体"/>
          <w:b/>
          <w:szCs w:val="24"/>
          <w:u w:val="single"/>
        </w:rPr>
        <w:t>月</w:t>
      </w:r>
      <w:r>
        <w:rPr>
          <w:rFonts w:hint="eastAsia" w:ascii="宋体" w:hAnsi="宋体"/>
          <w:b/>
          <w:szCs w:val="24"/>
          <w:u w:val="single"/>
          <w:lang w:val="en-US" w:eastAsia="zh-CN"/>
        </w:rPr>
        <w:t>28</w:t>
      </w:r>
      <w:r>
        <w:rPr>
          <w:rFonts w:hint="eastAsia" w:ascii="宋体" w:hAnsi="宋体"/>
          <w:b/>
          <w:szCs w:val="24"/>
          <w:u w:val="single"/>
        </w:rPr>
        <w:t>日至2022年</w:t>
      </w:r>
      <w:r>
        <w:rPr>
          <w:rFonts w:hint="eastAsia" w:ascii="宋体" w:hAnsi="宋体"/>
          <w:b/>
          <w:szCs w:val="24"/>
          <w:u w:val="single"/>
          <w:lang w:val="en-US" w:eastAsia="zh-CN"/>
        </w:rPr>
        <w:t>5</w:t>
      </w:r>
      <w:r>
        <w:rPr>
          <w:rFonts w:hint="eastAsia" w:ascii="宋体" w:hAnsi="宋体"/>
          <w:b/>
          <w:szCs w:val="24"/>
          <w:u w:val="single"/>
        </w:rPr>
        <w:t>月</w:t>
      </w:r>
      <w:r>
        <w:rPr>
          <w:rFonts w:hint="eastAsia" w:ascii="宋体" w:hAnsi="宋体"/>
          <w:b/>
          <w:szCs w:val="24"/>
          <w:u w:val="single"/>
          <w:lang w:val="en-US" w:eastAsia="zh-CN"/>
        </w:rPr>
        <w:t>9</w:t>
      </w:r>
      <w:r>
        <w:rPr>
          <w:rFonts w:hint="eastAsia" w:ascii="宋体" w:hAnsi="宋体"/>
          <w:b/>
          <w:szCs w:val="24"/>
          <w:u w:val="single"/>
        </w:rPr>
        <w:t>日，每天上午0:00至12:00，下午12:00至24:00（北京时间，法定节假日除外）</w:t>
      </w:r>
      <w:r>
        <w:rPr>
          <w:rFonts w:hint="eastAsia" w:ascii="宋体" w:hAnsi="宋体"/>
          <w:szCs w:val="24"/>
        </w:rPr>
        <w:t>。</w:t>
      </w:r>
      <w:r>
        <w:rPr>
          <w:rFonts w:ascii="宋体" w:hAnsi="宋体"/>
          <w:szCs w:val="24"/>
        </w:rPr>
        <w:t xml:space="preserve">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地点：</w:t>
      </w:r>
      <w:r>
        <w:rPr>
          <w:rFonts w:hint="eastAsia" w:asciiTheme="minorEastAsia" w:hAnsiTheme="minorEastAsia" w:eastAsiaTheme="minorEastAsia"/>
          <w:szCs w:val="24"/>
        </w:rPr>
        <w:t>登录深圳政府采购智慧平台（http://zfcg.szggzy.com:8081/）下载本项目的招标文件</w:t>
      </w:r>
      <w:r>
        <w:rPr>
          <w:rFonts w:asciiTheme="minorEastAsia" w:hAnsiTheme="minorEastAsia" w:eastAsiaTheme="minorEastAsia"/>
          <w:szCs w:val="24"/>
        </w:rPr>
        <w:t xml:space="preserve">。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方式：在线下载。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4、</w:t>
      </w:r>
      <w:r>
        <w:rPr>
          <w:rFonts w:asciiTheme="minorEastAsia" w:hAnsiTheme="minorEastAsia" w:eastAsiaTheme="minorEastAsia"/>
          <w:szCs w:val="24"/>
        </w:rPr>
        <w:t>售价：免费。</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凡已注册的深圳市网上政府采购供应商，按照授予的操作权限，可于</w:t>
      </w:r>
      <w:r>
        <w:rPr>
          <w:rFonts w:hint="eastAsia" w:ascii="宋体" w:hAnsi="宋体"/>
          <w:b/>
          <w:szCs w:val="24"/>
          <w:u w:val="single"/>
        </w:rPr>
        <w:t>获取招标文件时间内</w:t>
      </w:r>
      <w:r>
        <w:rPr>
          <w:rFonts w:hint="eastAsia" w:asciiTheme="minorEastAsia" w:hAnsiTheme="minorEastAsia" w:eastAsiaTheme="minorEastAsia"/>
          <w:szCs w:val="24"/>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Fonts w:asciiTheme="minorEastAsia" w:hAnsiTheme="minorEastAsia" w:eastAsiaTheme="minorEastAsia"/>
          <w:color w:val="0000FF"/>
          <w:u w:val="single"/>
        </w:rPr>
        <w:t>请点击</w:t>
      </w:r>
      <w:r>
        <w:rPr>
          <w:rFonts w:asciiTheme="minorEastAsia" w:hAnsiTheme="minorEastAsia" w:eastAsiaTheme="minorEastAsia"/>
          <w:color w:val="0000FF"/>
          <w:u w:val="single"/>
        </w:rPr>
        <w:fldChar w:fldCharType="end"/>
      </w:r>
      <w:r>
        <w:rPr>
          <w:rFonts w:hint="eastAsia" w:asciiTheme="minorEastAsia" w:hAnsiTheme="minorEastAsia" w:eastAsiaTheme="minorEastAsia"/>
          <w:szCs w:val="24"/>
        </w:rPr>
        <w:t>），并前往深圳公共资源交易中心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pPr>
        <w:widowControl/>
        <w:spacing w:line="360" w:lineRule="auto"/>
        <w:ind w:firstLine="420" w:firstLineChars="200"/>
        <w:rPr>
          <w:rFonts w:ascii="宋体" w:hAnsi="宋体"/>
          <w:szCs w:val="24"/>
        </w:rPr>
      </w:pPr>
    </w:p>
    <w:p>
      <w:pPr>
        <w:widowControl/>
        <w:spacing w:line="360" w:lineRule="auto"/>
        <w:rPr>
          <w:rFonts w:ascii="宋体" w:hAnsi="宋体"/>
          <w:szCs w:val="24"/>
        </w:rPr>
      </w:pPr>
      <w:r>
        <w:rPr>
          <w:rFonts w:ascii="宋体" w:hAnsi="宋体"/>
          <w:szCs w:val="24"/>
        </w:rPr>
        <w:t>四、提交投标文件截止时间、开标时间和地点</w:t>
      </w:r>
    </w:p>
    <w:p>
      <w:pPr>
        <w:widowControl/>
        <w:spacing w:line="360" w:lineRule="auto"/>
        <w:ind w:firstLine="424" w:firstLineChars="202"/>
        <w:rPr>
          <w:rFonts w:ascii="宋体" w:hAnsi="宋体"/>
          <w:szCs w:val="24"/>
        </w:rPr>
      </w:pPr>
      <w:r>
        <w:rPr>
          <w:rFonts w:hint="eastAsia" w:ascii="宋体" w:hAnsi="宋体"/>
          <w:szCs w:val="24"/>
        </w:rPr>
        <w:t>1、投标截止时间：所有投标文件应于</w:t>
      </w:r>
      <w:r>
        <w:rPr>
          <w:rFonts w:hint="eastAsia" w:ascii="宋体" w:hAnsi="宋体"/>
          <w:b/>
          <w:szCs w:val="24"/>
          <w:u w:val="single"/>
          <w:lang w:eastAsia="zh-CN"/>
        </w:rPr>
        <w:t>2022年5月13日09:00</w:t>
      </w:r>
      <w:r>
        <w:rPr>
          <w:rFonts w:hint="eastAsia" w:ascii="宋体" w:hAnsi="宋体"/>
          <w:b/>
          <w:szCs w:val="24"/>
          <w:u w:val="single"/>
        </w:rPr>
        <w:t>（北京时间）</w:t>
      </w:r>
      <w:r>
        <w:rPr>
          <w:rFonts w:hint="eastAsia" w:ascii="宋体" w:hAnsi="宋体"/>
          <w:szCs w:val="24"/>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widowControl/>
        <w:spacing w:line="360" w:lineRule="auto"/>
        <w:ind w:firstLine="424" w:firstLineChars="202"/>
        <w:rPr>
          <w:rFonts w:ascii="宋体" w:hAnsi="宋体"/>
          <w:szCs w:val="24"/>
        </w:rPr>
      </w:pPr>
      <w:r>
        <w:rPr>
          <w:rFonts w:hint="eastAsia" w:ascii="宋体" w:hAnsi="宋体"/>
          <w:szCs w:val="24"/>
        </w:rPr>
        <w:t>2、开标时间和地点：定于</w:t>
      </w:r>
      <w:r>
        <w:rPr>
          <w:rFonts w:hint="eastAsia" w:ascii="宋体" w:hAnsi="宋体"/>
          <w:b/>
          <w:szCs w:val="24"/>
          <w:u w:val="single"/>
          <w:lang w:eastAsia="zh-CN"/>
        </w:rPr>
        <w:t>2022年5月13日09:00</w:t>
      </w:r>
      <w:r>
        <w:rPr>
          <w:rFonts w:hint="eastAsia" w:ascii="宋体" w:hAnsi="宋体"/>
          <w:b/>
          <w:szCs w:val="24"/>
          <w:u w:val="single"/>
        </w:rPr>
        <w:t>（北京时间）</w:t>
      </w:r>
      <w:r>
        <w:rPr>
          <w:rFonts w:hint="eastAsia" w:ascii="宋体" w:hAnsi="宋体"/>
          <w:szCs w:val="24"/>
        </w:rPr>
        <w:t>，在深圳市中正招标有限公司公开开标。供应商可以登录“深圳政府采购智慧平台用户网上办事子系统（http://zfcg.szggzy.com:8081/TPBidder/memberLogin）”，在“【我的项目】→【项目流程】→【开标及解密】”进行在线解密、查询开标情况。</w:t>
      </w:r>
    </w:p>
    <w:p>
      <w:pPr>
        <w:widowControl/>
        <w:spacing w:line="360" w:lineRule="auto"/>
        <w:ind w:firstLine="426" w:firstLineChars="202"/>
        <w:rPr>
          <w:rFonts w:ascii="宋体" w:hAnsi="宋体"/>
          <w:szCs w:val="24"/>
        </w:rPr>
      </w:pPr>
      <w:r>
        <w:rPr>
          <w:rFonts w:hint="eastAsia" w:ascii="宋体" w:hAnsi="宋体"/>
          <w:b/>
          <w:szCs w:val="24"/>
        </w:rPr>
        <w:t>3、在线解密：投标人须在</w:t>
      </w:r>
      <w:r>
        <w:rPr>
          <w:rFonts w:hint="eastAsia" w:ascii="宋体" w:hAnsi="宋体"/>
          <w:b/>
          <w:szCs w:val="24"/>
          <w:u w:val="single"/>
          <w:lang w:eastAsia="zh-CN"/>
        </w:rPr>
        <w:t>2022年5月13日09:00</w:t>
      </w:r>
      <w:r>
        <w:rPr>
          <w:rFonts w:hint="eastAsia" w:ascii="宋体" w:hAnsi="宋体"/>
          <w:b/>
          <w:szCs w:val="24"/>
          <w:u w:val="single"/>
        </w:rPr>
        <w:t>-</w:t>
      </w:r>
      <w:r>
        <w:rPr>
          <w:rFonts w:hint="eastAsia" w:ascii="宋体" w:hAnsi="宋体"/>
          <w:b/>
          <w:szCs w:val="24"/>
          <w:u w:val="single"/>
          <w:lang w:val="en-US" w:eastAsia="zh-CN"/>
        </w:rPr>
        <w:t>09</w:t>
      </w:r>
      <w:r>
        <w:rPr>
          <w:rFonts w:hint="eastAsia" w:ascii="宋体" w:hAnsi="宋体"/>
          <w:b/>
          <w:szCs w:val="24"/>
          <w:u w:val="single"/>
        </w:rPr>
        <w:t>:</w:t>
      </w:r>
      <w:r>
        <w:rPr>
          <w:rFonts w:hint="eastAsia" w:ascii="宋体" w:hAnsi="宋体"/>
          <w:b/>
          <w:szCs w:val="24"/>
          <w:u w:val="single"/>
          <w:lang w:val="en-US" w:eastAsia="zh-CN"/>
        </w:rPr>
        <w:t>3</w:t>
      </w:r>
      <w:r>
        <w:rPr>
          <w:rFonts w:hint="eastAsia" w:ascii="宋体" w:hAnsi="宋体"/>
          <w:b/>
          <w:szCs w:val="24"/>
          <w:u w:val="single"/>
        </w:rPr>
        <w:t>0（北京时间）</w:t>
      </w:r>
      <w:r>
        <w:rPr>
          <w:rFonts w:hint="eastAsia" w:ascii="宋体" w:hAnsi="宋体"/>
          <w:b/>
          <w:szCs w:val="24"/>
        </w:rPr>
        <w:t>期间进行解密，逾期未解密的作无效处理。</w:t>
      </w:r>
      <w:r>
        <w:rPr>
          <w:rFonts w:hint="eastAsia" w:ascii="宋体" w:hAnsi="宋体"/>
          <w:szCs w:val="24"/>
        </w:rPr>
        <w:t>解密方法：登录“深圳政府采购智慧平台用户网上办事子系统（http://zfcg.szggzy.com:8081/TPBidder/memberLogin）”，使用本单位制作电子投标文件同一个电子密钥，在“【我的项目】→【项目流程】→【开标及解密】”进行在线解密、查询开标情况。</w:t>
      </w:r>
    </w:p>
    <w:p>
      <w:pPr>
        <w:widowControl/>
        <w:spacing w:line="360" w:lineRule="auto"/>
        <w:ind w:left="420" w:leftChars="200"/>
        <w:rPr>
          <w:rFonts w:ascii="宋体" w:hAnsi="宋体"/>
          <w:szCs w:val="24"/>
        </w:rPr>
      </w:pPr>
    </w:p>
    <w:p>
      <w:pPr>
        <w:widowControl/>
        <w:spacing w:line="360" w:lineRule="auto"/>
        <w:rPr>
          <w:rFonts w:ascii="宋体" w:hAnsi="宋体"/>
          <w:szCs w:val="24"/>
        </w:rPr>
      </w:pPr>
      <w:r>
        <w:rPr>
          <w:rFonts w:ascii="宋体" w:hAnsi="宋体"/>
          <w:szCs w:val="24"/>
        </w:rPr>
        <w:t>五、公告期限</w:t>
      </w:r>
    </w:p>
    <w:p>
      <w:pPr>
        <w:widowControl/>
        <w:spacing w:line="360" w:lineRule="auto"/>
        <w:ind w:firstLine="420" w:firstLineChars="200"/>
        <w:rPr>
          <w:rFonts w:ascii="宋体" w:hAnsi="宋体"/>
          <w:szCs w:val="24"/>
        </w:rPr>
      </w:pPr>
      <w:r>
        <w:rPr>
          <w:rFonts w:ascii="宋体" w:hAnsi="宋体"/>
          <w:szCs w:val="24"/>
        </w:rPr>
        <w:t>自本公告发布之日起5个工作日。</w:t>
      </w:r>
    </w:p>
    <w:p>
      <w:pPr>
        <w:widowControl/>
        <w:spacing w:line="360" w:lineRule="auto"/>
        <w:ind w:firstLine="420" w:firstLineChars="200"/>
        <w:rPr>
          <w:rFonts w:ascii="宋体" w:hAnsi="宋体"/>
          <w:szCs w:val="24"/>
        </w:rPr>
      </w:pPr>
    </w:p>
    <w:p>
      <w:pPr>
        <w:widowControl/>
        <w:spacing w:line="360" w:lineRule="auto"/>
        <w:rPr>
          <w:rFonts w:ascii="宋体" w:hAnsi="宋体"/>
          <w:szCs w:val="24"/>
        </w:rPr>
      </w:pPr>
      <w:r>
        <w:rPr>
          <w:rFonts w:ascii="宋体" w:hAnsi="宋体"/>
          <w:szCs w:val="24"/>
        </w:rPr>
        <w:t>六、其他补充事宜</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1、本项目实行网上投标，采用电子投标文件。</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2、采购文件澄清/修改事项：</w:t>
      </w:r>
      <w:r>
        <w:rPr>
          <w:rFonts w:hint="eastAsia" w:asciiTheme="minorEastAsia" w:hAnsiTheme="minorEastAsia" w:eastAsiaTheme="minorEastAsia"/>
          <w:b/>
          <w:szCs w:val="24"/>
          <w:u w:val="single"/>
        </w:rPr>
        <w:t>2022年</w:t>
      </w:r>
      <w:r>
        <w:rPr>
          <w:rFonts w:hint="eastAsia" w:asciiTheme="minorEastAsia" w:hAnsiTheme="minorEastAsia" w:eastAsiaTheme="minorEastAsia"/>
          <w:b/>
          <w:szCs w:val="24"/>
          <w:u w:val="single"/>
          <w:lang w:val="en-US" w:eastAsia="zh-CN"/>
        </w:rPr>
        <w:t>5</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8</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hint="eastAsia" w:asciiTheme="minorEastAsia" w:hAnsiTheme="minorEastAsia" w:eastAsiaTheme="minorEastAsia"/>
          <w:b/>
          <w:szCs w:val="24"/>
          <w:u w:val="single"/>
        </w:rPr>
        <w:t>2022年</w:t>
      </w:r>
      <w:r>
        <w:rPr>
          <w:rFonts w:hint="eastAsia" w:asciiTheme="minorEastAsia" w:hAnsiTheme="minorEastAsia" w:eastAsiaTheme="minorEastAsia"/>
          <w:b/>
          <w:szCs w:val="24"/>
          <w:u w:val="single"/>
          <w:lang w:val="en-US" w:eastAsia="zh-CN"/>
        </w:rPr>
        <w:t>5</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10</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前将采购文件澄清/修改情况在“【我的项目】→【项目流程】→【答疑澄清文件下载】”中公布，望投标人予以关注。</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4、本招标公告及本项目招标文件所涉及的时间一律为北京时间。投标人有义务在招标活动期间浏览深圳公共资源交易网（</w:t>
      </w:r>
      <w:r>
        <w:rPr>
          <w:rFonts w:asciiTheme="minorEastAsia" w:hAnsiTheme="minorEastAsia" w:eastAsiaTheme="minorEastAsia"/>
          <w:szCs w:val="24"/>
        </w:rPr>
        <w:t>https://www.szggzy.com</w:t>
      </w:r>
      <w:r>
        <w:rPr>
          <w:rFonts w:hint="eastAsia" w:asciiTheme="minorEastAsia" w:hAnsiTheme="minorEastAsia" w:eastAsiaTheme="minorEastAsia"/>
          <w:szCs w:val="24"/>
        </w:rPr>
        <w:t>），在深圳公共资源交易网上公布的与本次招标项目有关的信息视为已送达各投标人。</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5、本项目不需要投标保证金</w:t>
      </w:r>
      <w:r>
        <w:rPr>
          <w:rFonts w:asciiTheme="minorEastAsia" w:hAnsiTheme="minorEastAsia" w:eastAsiaTheme="minorEastAsia"/>
          <w:szCs w:val="24"/>
        </w:rPr>
        <w:t>。</w:t>
      </w:r>
    </w:p>
    <w:p>
      <w:pPr>
        <w:widowControl/>
        <w:spacing w:line="360" w:lineRule="auto"/>
        <w:ind w:firstLine="424" w:firstLineChars="202"/>
        <w:rPr>
          <w:rFonts w:ascii="宋体" w:hAnsi="宋体"/>
          <w:szCs w:val="24"/>
        </w:rPr>
      </w:pPr>
    </w:p>
    <w:p>
      <w:pPr>
        <w:widowControl/>
        <w:spacing w:line="360" w:lineRule="auto"/>
        <w:rPr>
          <w:rFonts w:ascii="宋体" w:hAnsi="宋体"/>
          <w:szCs w:val="24"/>
        </w:rPr>
      </w:pPr>
      <w:r>
        <w:rPr>
          <w:rFonts w:ascii="宋体" w:hAnsi="宋体"/>
          <w:szCs w:val="24"/>
        </w:rPr>
        <w:t>七、对本次招标提出询问，请按以下方式联系。</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asciiTheme="minorEastAsia" w:hAnsiTheme="minorEastAsia" w:eastAsiaTheme="minorEastAsia"/>
          <w:szCs w:val="24"/>
        </w:rPr>
        <w:t xml:space="preserve">采购人信息 </w:t>
      </w:r>
    </w:p>
    <w:p>
      <w:pPr>
        <w:spacing w:line="360" w:lineRule="auto"/>
        <w:ind w:firstLine="424" w:firstLineChars="202"/>
        <w:rPr>
          <w:rFonts w:hint="eastAsia" w:asciiTheme="minorEastAsia" w:hAnsiTheme="minorEastAsia" w:eastAsiaTheme="minorEastAsia"/>
          <w:szCs w:val="24"/>
        </w:rPr>
      </w:pPr>
      <w:r>
        <w:rPr>
          <w:rFonts w:hint="eastAsia" w:asciiTheme="minorEastAsia" w:hAnsiTheme="minorEastAsia" w:eastAsiaTheme="minorEastAsia"/>
          <w:szCs w:val="24"/>
        </w:rPr>
        <w:t xml:space="preserve">名称：深圳市市场监督管理局 </w:t>
      </w:r>
    </w:p>
    <w:p>
      <w:pPr>
        <w:spacing w:line="360" w:lineRule="auto"/>
        <w:ind w:firstLine="424" w:firstLineChars="202"/>
        <w:rPr>
          <w:rFonts w:hint="eastAsia" w:asciiTheme="minorEastAsia" w:hAnsiTheme="minorEastAsia" w:eastAsiaTheme="minorEastAsia"/>
          <w:szCs w:val="24"/>
        </w:rPr>
      </w:pPr>
      <w:r>
        <w:rPr>
          <w:rFonts w:hint="eastAsia" w:asciiTheme="minorEastAsia" w:hAnsiTheme="minorEastAsia" w:eastAsiaTheme="minorEastAsia"/>
          <w:szCs w:val="24"/>
        </w:rPr>
        <w:t>地址：深圳市福田区深南大道7010号工商物价大厦</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联系方式：</w:t>
      </w:r>
      <w:r>
        <w:rPr>
          <w:rFonts w:hint="eastAsia" w:asciiTheme="minorEastAsia" w:hAnsiTheme="minorEastAsia" w:eastAsiaTheme="minorEastAsia"/>
          <w:szCs w:val="24"/>
          <w:lang w:val="en-US" w:eastAsia="zh-CN"/>
        </w:rPr>
        <w:t>0755-83070530</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 xml:space="preserve">采购代理机构信息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 xml:space="preserve">名称：深圳市中正招标有限公司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地址：深圳市福田区</w:t>
      </w:r>
      <w:r>
        <w:rPr>
          <w:rFonts w:hint="eastAsia" w:asciiTheme="minorEastAsia" w:hAnsiTheme="minorEastAsia" w:eastAsiaTheme="minorEastAsia"/>
          <w:szCs w:val="24"/>
        </w:rPr>
        <w:t>民田路171号新华保险大厦903</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联系方式：0755-83026699</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项目联系方式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项目联系人：</w:t>
      </w:r>
      <w:r>
        <w:rPr>
          <w:rFonts w:hint="eastAsia" w:asciiTheme="minorEastAsia" w:hAnsiTheme="minorEastAsia" w:eastAsiaTheme="minorEastAsia"/>
          <w:szCs w:val="24"/>
          <w:lang w:val="en-US" w:eastAsia="zh-CN"/>
        </w:rPr>
        <w:t>傅工</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电话：</w:t>
      </w:r>
      <w:r>
        <w:rPr>
          <w:rFonts w:hint="eastAsia" w:asciiTheme="minorEastAsia" w:hAnsiTheme="minorEastAsia" w:eastAsiaTheme="minorEastAsia"/>
          <w:szCs w:val="24"/>
        </w:rPr>
        <w:t>0755-83026699</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技术支持：0755-86500023</w:t>
      </w:r>
    </w:p>
    <w:p>
      <w:pPr>
        <w:widowControl/>
        <w:spacing w:line="360" w:lineRule="auto"/>
        <w:ind w:firstLine="484" w:firstLineChars="202"/>
        <w:jc w:val="right"/>
        <w:rPr>
          <w:rFonts w:ascii="宋体" w:hAnsi="宋体"/>
          <w:sz w:val="24"/>
          <w:szCs w:val="24"/>
        </w:rPr>
      </w:pPr>
      <w:r>
        <w:rPr>
          <w:rFonts w:hint="eastAsia" w:ascii="宋体" w:hAnsi="宋体"/>
          <w:sz w:val="24"/>
          <w:szCs w:val="24"/>
        </w:rPr>
        <w:t>深圳市中正招标有限公司</w:t>
      </w:r>
    </w:p>
    <w:p>
      <w:pPr>
        <w:widowControl/>
        <w:spacing w:line="360" w:lineRule="auto"/>
        <w:ind w:firstLine="484" w:firstLineChars="202"/>
        <w:jc w:val="right"/>
        <w:rPr>
          <w:rFonts w:ascii="Times New Roman" w:hAnsi="Times New Roman"/>
          <w:sz w:val="24"/>
          <w:szCs w:val="24"/>
        </w:rPr>
      </w:pPr>
      <w:r>
        <w:rPr>
          <w:rFonts w:hint="eastAsia" w:ascii="宋体" w:hAnsi="宋体"/>
          <w:sz w:val="24"/>
          <w:szCs w:val="24"/>
        </w:rPr>
        <w:t>202</w:t>
      </w:r>
      <w:r>
        <w:rPr>
          <w:rFonts w:ascii="宋体" w:hAnsi="宋体"/>
          <w:sz w:val="24"/>
          <w:szCs w:val="24"/>
        </w:rPr>
        <w:t>2</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w:t>
      </w:r>
      <w:bookmarkEnd w:id="0"/>
    </w:p>
    <w:bookmarkEnd w:id="1"/>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widowControl/>
        <w:jc w:val="left"/>
        <w:rPr>
          <w:rFonts w:ascii="宋体" w:hAnsi="宋体"/>
          <w:szCs w:val="21"/>
        </w:rPr>
      </w:pPr>
      <w:r>
        <w:rPr>
          <w:rFonts w:ascii="宋体" w:hAnsi="宋体"/>
          <w:szCs w:val="21"/>
        </w:rPr>
        <w:br w:type="page"/>
      </w:r>
    </w:p>
    <w:p>
      <w:pPr>
        <w:keepNext/>
        <w:keepLines/>
        <w:adjustRightInd w:val="0"/>
        <w:spacing w:before="260" w:after="260"/>
        <w:jc w:val="center"/>
        <w:textAlignment w:val="baseline"/>
        <w:outlineLvl w:val="1"/>
        <w:rPr>
          <w:rFonts w:ascii="宋体" w:hAnsi="宋体"/>
          <w:b/>
          <w:bCs/>
          <w:kern w:val="0"/>
          <w:sz w:val="24"/>
          <w:szCs w:val="20"/>
        </w:rPr>
      </w:pPr>
      <w:r>
        <w:rPr>
          <w:rFonts w:hint="eastAsia" w:ascii="宋体" w:hAnsi="宋体"/>
          <w:b/>
          <w:bCs/>
          <w:kern w:val="0"/>
          <w:sz w:val="24"/>
          <w:szCs w:val="20"/>
        </w:rPr>
        <w:t>第二章  招标项目需求</w:t>
      </w:r>
    </w:p>
    <w:p>
      <w:pPr>
        <w:keepNext/>
        <w:keepLines/>
        <w:adjustRightInd w:val="0"/>
        <w:spacing w:beforeLines="50" w:afterLines="50"/>
        <w:jc w:val="center"/>
        <w:textAlignment w:val="baseline"/>
        <w:outlineLvl w:val="1"/>
        <w:rPr>
          <w:rFonts w:ascii="宋体" w:hAnsi="宋体"/>
          <w:b/>
          <w:bCs/>
          <w:kern w:val="0"/>
          <w:sz w:val="28"/>
          <w:szCs w:val="28"/>
        </w:rPr>
      </w:pPr>
      <w:bookmarkStart w:id="2" w:name="_Toc73521635"/>
      <w:bookmarkStart w:id="3" w:name="_Toc100052364"/>
      <w:bookmarkStart w:id="4" w:name="_Toc60631620"/>
      <w:bookmarkStart w:id="5" w:name="_Toc101074876"/>
      <w:bookmarkStart w:id="6" w:name="_Toc73521547"/>
      <w:bookmarkStart w:id="7" w:name="_Toc60560625"/>
      <w:bookmarkStart w:id="8" w:name="_Toc73518117"/>
      <w:bookmarkStart w:id="9" w:name="_Toc73517639"/>
      <w:r>
        <w:rPr>
          <w:rFonts w:hint="eastAsia" w:ascii="宋体" w:hAnsi="宋体"/>
          <w:b/>
          <w:bCs/>
          <w:kern w:val="0"/>
          <w:sz w:val="28"/>
          <w:szCs w:val="28"/>
        </w:rPr>
        <w:t>一、对通用条款的补充内容</w:t>
      </w:r>
    </w:p>
    <w:bookmarkEnd w:id="2"/>
    <w:bookmarkEnd w:id="3"/>
    <w:bookmarkEnd w:id="4"/>
    <w:bookmarkEnd w:id="5"/>
    <w:bookmarkEnd w:id="6"/>
    <w:bookmarkEnd w:id="7"/>
    <w:bookmarkEnd w:id="8"/>
    <w:bookmarkEnd w:id="9"/>
    <w:tbl>
      <w:tblPr>
        <w:tblStyle w:val="4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szCs w:val="24"/>
              </w:rPr>
            </w:pPr>
            <w:r>
              <w:rPr>
                <w:rFonts w:hint="eastAsia" w:ascii="宋体" w:hAnsi="宋体"/>
                <w:b/>
                <w:bCs/>
                <w:szCs w:val="24"/>
              </w:rPr>
              <w:t>序号</w:t>
            </w:r>
          </w:p>
        </w:tc>
        <w:tc>
          <w:tcPr>
            <w:tcW w:w="2160" w:type="dxa"/>
            <w:vAlign w:val="center"/>
          </w:tcPr>
          <w:p>
            <w:pPr>
              <w:jc w:val="center"/>
              <w:rPr>
                <w:rFonts w:ascii="宋体" w:hAnsi="宋体"/>
                <w:b/>
                <w:bCs/>
                <w:szCs w:val="24"/>
              </w:rPr>
            </w:pPr>
            <w:r>
              <w:rPr>
                <w:rFonts w:hint="eastAsia" w:ascii="宋体" w:hAnsi="宋体"/>
                <w:b/>
                <w:bCs/>
                <w:szCs w:val="24"/>
              </w:rPr>
              <w:t>内   容</w:t>
            </w:r>
          </w:p>
        </w:tc>
        <w:tc>
          <w:tcPr>
            <w:tcW w:w="5400" w:type="dxa"/>
            <w:vAlign w:val="center"/>
          </w:tcPr>
          <w:p>
            <w:pPr>
              <w:jc w:val="center"/>
              <w:rPr>
                <w:rFonts w:ascii="宋体" w:hAnsi="宋体"/>
                <w:b/>
                <w:bCs/>
                <w:szCs w:val="24"/>
              </w:rPr>
            </w:pPr>
            <w:r>
              <w:rPr>
                <w:rFonts w:hint="eastAsia" w:ascii="宋体" w:hAnsi="宋体"/>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1</w:t>
            </w:r>
          </w:p>
        </w:tc>
        <w:tc>
          <w:tcPr>
            <w:tcW w:w="2160" w:type="dxa"/>
            <w:vAlign w:val="center"/>
          </w:tcPr>
          <w:p>
            <w:pPr>
              <w:jc w:val="center"/>
              <w:rPr>
                <w:rFonts w:ascii="Times New Roman" w:hAnsi="Times New Roman"/>
                <w:szCs w:val="24"/>
              </w:rPr>
            </w:pPr>
            <w:r>
              <w:rPr>
                <w:rFonts w:hint="eastAsia" w:ascii="Times New Roman" w:hAnsi="Times New Roman"/>
                <w:szCs w:val="24"/>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见《招标公告》中“项目基本情况”部分的相关内容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2</w:t>
            </w:r>
          </w:p>
        </w:tc>
        <w:tc>
          <w:tcPr>
            <w:tcW w:w="2160" w:type="dxa"/>
            <w:vAlign w:val="center"/>
          </w:tcPr>
          <w:p>
            <w:pPr>
              <w:jc w:val="center"/>
              <w:rPr>
                <w:rFonts w:ascii="宋体" w:hAnsi="宋体"/>
                <w:szCs w:val="24"/>
              </w:rPr>
            </w:pPr>
            <w:r>
              <w:rPr>
                <w:rFonts w:hint="eastAsia" w:ascii="宋体" w:hAnsi="宋体"/>
                <w:szCs w:val="24"/>
              </w:rPr>
              <w:t>投标有效期</w:t>
            </w:r>
          </w:p>
        </w:tc>
        <w:tc>
          <w:tcPr>
            <w:tcW w:w="5400" w:type="dxa"/>
            <w:vAlign w:val="center"/>
          </w:tcPr>
          <w:p>
            <w:pPr>
              <w:rPr>
                <w:rFonts w:ascii="宋体" w:hAnsi="宋体"/>
                <w:szCs w:val="24"/>
              </w:rPr>
            </w:pPr>
            <w:r>
              <w:rPr>
                <w:rFonts w:hint="eastAsia" w:ascii="宋体" w:hAnsi="宋体"/>
                <w:szCs w:val="24"/>
                <w:u w:val="single"/>
              </w:rPr>
              <w:t>90</w:t>
            </w:r>
            <w:r>
              <w:rPr>
                <w:rFonts w:ascii="宋体" w:hAnsi="宋体"/>
                <w:szCs w:val="24"/>
                <w:u w:val="single"/>
              </w:rPr>
              <w:t>日历天</w:t>
            </w:r>
            <w:r>
              <w:rPr>
                <w:rFonts w:ascii="宋体" w:hAnsi="宋体"/>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3</w:t>
            </w:r>
          </w:p>
        </w:tc>
        <w:tc>
          <w:tcPr>
            <w:tcW w:w="2160" w:type="dxa"/>
            <w:vAlign w:val="center"/>
          </w:tcPr>
          <w:p>
            <w:pPr>
              <w:jc w:val="center"/>
              <w:rPr>
                <w:rFonts w:ascii="宋体" w:hAnsi="宋体"/>
                <w:szCs w:val="24"/>
              </w:rPr>
            </w:pPr>
            <w:r>
              <w:rPr>
                <w:rFonts w:hint="eastAsia" w:ascii="宋体" w:hAnsi="宋体"/>
                <w:szCs w:val="24"/>
              </w:rPr>
              <w:t>投标人的替代方案</w:t>
            </w:r>
          </w:p>
        </w:tc>
        <w:tc>
          <w:tcPr>
            <w:tcW w:w="5400" w:type="dxa"/>
            <w:vAlign w:val="center"/>
          </w:tcPr>
          <w:p>
            <w:pPr>
              <w:rPr>
                <w:rFonts w:ascii="宋体" w:hAnsi="宋体"/>
                <w:szCs w:val="24"/>
              </w:rPr>
            </w:pPr>
            <w:r>
              <w:rPr>
                <w:rFonts w:hint="eastAsia" w:ascii="宋体" w:hAnsi="宋体"/>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4</w:t>
            </w:r>
          </w:p>
        </w:tc>
        <w:tc>
          <w:tcPr>
            <w:tcW w:w="2160" w:type="dxa"/>
            <w:vAlign w:val="center"/>
          </w:tcPr>
          <w:p>
            <w:pPr>
              <w:jc w:val="center"/>
              <w:rPr>
                <w:rFonts w:ascii="宋体" w:hAnsi="宋体"/>
                <w:szCs w:val="24"/>
              </w:rPr>
            </w:pPr>
            <w:r>
              <w:rPr>
                <w:rFonts w:hint="eastAsia" w:ascii="宋体" w:hAnsi="宋体"/>
                <w:szCs w:val="24"/>
              </w:rPr>
              <w:t>投标文件的投递</w:t>
            </w:r>
          </w:p>
        </w:tc>
        <w:tc>
          <w:tcPr>
            <w:tcW w:w="5400" w:type="dxa"/>
            <w:vAlign w:val="center"/>
          </w:tcPr>
          <w:p>
            <w:pPr>
              <w:spacing w:line="360" w:lineRule="exact"/>
              <w:rPr>
                <w:rFonts w:ascii="宋体" w:hAnsi="宋体"/>
              </w:rPr>
            </w:pPr>
            <w:r>
              <w:rPr>
                <w:rFonts w:hint="eastAsia" w:ascii="宋体" w:hAnsi="宋体"/>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hint="eastAsia" w:ascii="宋体" w:hAnsi="宋体"/>
              </w:rPr>
              <w:t>点，</w:t>
            </w:r>
            <w:r>
              <w:rPr>
                <w:rFonts w:ascii="宋体" w:hAnsi="宋体"/>
              </w:rPr>
              <w:t>将编制好的电子投标文件上传，投标文件大小不得超过</w:t>
            </w:r>
            <w:r>
              <w:rPr>
                <w:rFonts w:hint="eastAsia" w:ascii="宋体" w:hAnsi="宋体"/>
              </w:rPr>
              <w:t>10</w:t>
            </w:r>
            <w:r>
              <w:rPr>
                <w:rFonts w:ascii="宋体" w:hAnsi="宋体"/>
              </w:rPr>
              <w:t>0MB</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5</w:t>
            </w:r>
          </w:p>
        </w:tc>
        <w:tc>
          <w:tcPr>
            <w:tcW w:w="2160" w:type="dxa"/>
            <w:vAlign w:val="center"/>
          </w:tcPr>
          <w:p>
            <w:pPr>
              <w:jc w:val="center"/>
              <w:rPr>
                <w:rFonts w:ascii="宋体" w:hAnsi="宋体"/>
                <w:szCs w:val="24"/>
              </w:rPr>
            </w:pPr>
            <w:r>
              <w:rPr>
                <w:rFonts w:hint="eastAsia" w:ascii="宋体" w:hAnsi="宋体"/>
                <w:szCs w:val="24"/>
              </w:rPr>
              <w:t>中标服务费</w:t>
            </w:r>
          </w:p>
        </w:tc>
        <w:tc>
          <w:tcPr>
            <w:tcW w:w="5400" w:type="dxa"/>
            <w:vAlign w:val="center"/>
          </w:tcPr>
          <w:p>
            <w:pPr>
              <w:spacing w:line="360" w:lineRule="exact"/>
              <w:rPr>
                <w:rFonts w:ascii="宋体" w:hAnsi="宋体"/>
              </w:rPr>
            </w:pPr>
            <w:r>
              <w:rPr>
                <w:rFonts w:hint="eastAsia" w:ascii="宋体" w:hAnsi="宋体"/>
              </w:rPr>
              <w:t>1、中标人须向招标代理机构缴纳中标服务费，收费标准详见通用条款41.4，最低收取人民币6000元。</w:t>
            </w:r>
          </w:p>
          <w:p>
            <w:pPr>
              <w:spacing w:line="360" w:lineRule="exact"/>
              <w:rPr>
                <w:rFonts w:ascii="宋体" w:hAnsi="宋体"/>
              </w:rPr>
            </w:pPr>
            <w:r>
              <w:rPr>
                <w:rFonts w:hint="eastAsia" w:ascii="宋体" w:hAnsi="宋体"/>
              </w:rPr>
              <w:t>2、中标服务费缴纳至：</w:t>
            </w:r>
          </w:p>
          <w:p>
            <w:pPr>
              <w:spacing w:line="360" w:lineRule="exact"/>
              <w:rPr>
                <w:rFonts w:ascii="宋体" w:hAnsi="宋体"/>
              </w:rPr>
            </w:pPr>
            <w:r>
              <w:rPr>
                <w:rFonts w:hint="eastAsia" w:ascii="宋体" w:hAnsi="宋体"/>
              </w:rPr>
              <w:t>开户名称：</w:t>
            </w:r>
            <w:r>
              <w:rPr>
                <w:rFonts w:hint="eastAsia" w:ascii="宋体" w:hAnsi="宋体"/>
                <w:szCs w:val="24"/>
              </w:rPr>
              <w:t>深圳市中正招标有限公司</w:t>
            </w:r>
          </w:p>
          <w:p>
            <w:pPr>
              <w:spacing w:line="360" w:lineRule="exact"/>
              <w:rPr>
                <w:rFonts w:ascii="宋体" w:hAnsi="宋体"/>
              </w:rPr>
            </w:pPr>
            <w:r>
              <w:rPr>
                <w:rFonts w:hint="eastAsia" w:ascii="宋体" w:hAnsi="宋体"/>
              </w:rPr>
              <w:t>银行帐号：</w:t>
            </w:r>
            <w:r>
              <w:rPr>
                <w:rFonts w:hint="eastAsia" w:ascii="宋体" w:hAnsi="宋体"/>
                <w:szCs w:val="24"/>
              </w:rPr>
              <w:t>03003729353</w:t>
            </w:r>
          </w:p>
          <w:p>
            <w:pPr>
              <w:spacing w:line="360" w:lineRule="exact"/>
              <w:rPr>
                <w:rFonts w:ascii="宋体" w:hAnsi="宋体"/>
              </w:rPr>
            </w:pPr>
            <w:r>
              <w:rPr>
                <w:rFonts w:hint="eastAsia" w:ascii="宋体" w:hAnsi="宋体"/>
              </w:rPr>
              <w:t>开户银行：</w:t>
            </w:r>
            <w:r>
              <w:rPr>
                <w:rFonts w:hint="eastAsia" w:ascii="宋体" w:hAnsi="宋体"/>
                <w:szCs w:val="24"/>
              </w:rPr>
              <w:t>上海银行深圳分行天安支行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6</w:t>
            </w:r>
          </w:p>
        </w:tc>
        <w:tc>
          <w:tcPr>
            <w:tcW w:w="2160" w:type="dxa"/>
            <w:vAlign w:val="center"/>
          </w:tcPr>
          <w:p>
            <w:pPr>
              <w:jc w:val="center"/>
              <w:rPr>
                <w:rFonts w:ascii="宋体" w:hAnsi="宋体"/>
                <w:szCs w:val="24"/>
              </w:rPr>
            </w:pPr>
            <w:r>
              <w:rPr>
                <w:rFonts w:hint="eastAsia" w:ascii="宋体" w:hAnsi="宋体"/>
                <w:szCs w:val="24"/>
              </w:rPr>
              <w:t>履约保证金</w:t>
            </w:r>
          </w:p>
        </w:tc>
        <w:tc>
          <w:tcPr>
            <w:tcW w:w="5400" w:type="dxa"/>
            <w:vAlign w:val="center"/>
          </w:tcPr>
          <w:p>
            <w:pPr>
              <w:spacing w:line="360" w:lineRule="exact"/>
              <w:rPr>
                <w:rFonts w:ascii="宋体" w:hAnsi="宋体"/>
              </w:rPr>
            </w:pPr>
            <w:r>
              <w:rPr>
                <w:rFonts w:hint="eastAsia" w:ascii="宋体" w:hAnsi="宋体"/>
              </w:rPr>
              <w:t>合同金额的</w:t>
            </w:r>
            <w:r>
              <w:rPr>
                <w:rFonts w:hint="eastAsia" w:ascii="宋体" w:hAnsi="宋体"/>
                <w:u w:val="single"/>
              </w:rPr>
              <w:t xml:space="preserve">    </w:t>
            </w:r>
            <w:r>
              <w:rPr>
                <w:rFonts w:hint="eastAsia" w:ascii="宋体" w:hAnsi="宋体"/>
              </w:rPr>
              <w:t>%</w:t>
            </w:r>
          </w:p>
        </w:tc>
      </w:tr>
    </w:tbl>
    <w:p>
      <w:pPr>
        <w:rPr>
          <w:rFonts w:ascii="Times New Roman" w:hAnsi="Times New Roman"/>
          <w:b/>
          <w:szCs w:val="24"/>
        </w:rPr>
      </w:pPr>
      <w:r>
        <w:rPr>
          <w:rFonts w:hint="eastAsia" w:ascii="Times New Roman" w:hAnsi="Times New Roman"/>
          <w:szCs w:val="21"/>
        </w:rPr>
        <w:t xml:space="preserve">    备注：本表为通用条款相关内容的补充和明确，如与通用条款相冲突的以本表为准。</w:t>
      </w:r>
    </w:p>
    <w:p>
      <w:pPr>
        <w:rPr>
          <w:rFonts w:ascii="Times New Roman" w:hAnsi="Times New Roman"/>
          <w:b/>
          <w:szCs w:val="24"/>
        </w:rPr>
      </w:pPr>
    </w:p>
    <w:p>
      <w:pPr>
        <w:pStyle w:val="6"/>
        <w:spacing w:beforeLines="50" w:afterLines="50"/>
      </w:pPr>
      <w:bookmarkStart w:id="10" w:name="_Toc128884461"/>
      <w:r>
        <w:rPr>
          <w:rFonts w:hint="eastAsia"/>
          <w:sz w:val="28"/>
          <w:szCs w:val="28"/>
        </w:rPr>
        <w:t>二、实质性条款</w:t>
      </w:r>
    </w:p>
    <w:tbl>
      <w:tblPr>
        <w:tblStyle w:val="42"/>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765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658" w:type="dxa"/>
            <w:vAlign w:val="center"/>
          </w:tcPr>
          <w:p>
            <w:pPr>
              <w:rPr>
                <w:rFonts w:hint="eastAsia" w:ascii="宋体" w:hAnsi="宋体" w:eastAsia="宋体" w:cs="宋体"/>
                <w:sz w:val="21"/>
                <w:szCs w:val="21"/>
              </w:rPr>
            </w:pPr>
            <w:r>
              <w:rPr>
                <w:rFonts w:hint="eastAsia" w:ascii="宋体" w:hAnsi="宋体" w:eastAsia="宋体" w:cs="宋体"/>
                <w:sz w:val="21"/>
                <w:szCs w:val="21"/>
              </w:rPr>
              <w:t>对基地环境和产品进行抽样检验，有资质出具检验报告。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658" w:type="dxa"/>
            <w:vAlign w:val="center"/>
          </w:tcPr>
          <w:p>
            <w:pPr>
              <w:rPr>
                <w:rFonts w:hint="eastAsia" w:ascii="宋体" w:hAnsi="宋体" w:eastAsia="宋体" w:cs="宋体"/>
                <w:sz w:val="21"/>
                <w:szCs w:val="21"/>
              </w:rPr>
            </w:pPr>
            <w:r>
              <w:rPr>
                <w:rFonts w:hint="eastAsia" w:ascii="宋体" w:hAnsi="宋体" w:eastAsia="宋体" w:cs="宋体"/>
                <w:sz w:val="21"/>
                <w:szCs w:val="21"/>
              </w:rPr>
              <w:t>必须为本项目配备不少于20人的专业技术团队。</w:t>
            </w:r>
          </w:p>
        </w:tc>
      </w:tr>
    </w:tbl>
    <w:p>
      <w:pPr>
        <w:adjustRightInd w:val="0"/>
        <w:snapToGrid w:val="0"/>
        <w:spacing w:line="360" w:lineRule="auto"/>
        <w:ind w:firstLine="482" w:firstLineChars="200"/>
      </w:pPr>
      <w:r>
        <w:rPr>
          <w:rFonts w:hint="eastAsia" w:ascii="黑体"/>
          <w:b/>
          <w:kern w:val="0"/>
          <w:sz w:val="24"/>
        </w:rPr>
        <w:t>注：上表所列内容为不可负偏离条款。</w:t>
      </w:r>
    </w:p>
    <w:bookmarkEnd w:id="10"/>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三、项目概况</w:t>
      </w:r>
    </w:p>
    <w:p>
      <w:pPr>
        <w:spacing w:beforeLines="25" w:afterLines="25" w:line="360" w:lineRule="auto"/>
        <w:ind w:firstLine="392" w:firstLineChars="187"/>
        <w:rPr>
          <w:rFonts w:ascii="宋体" w:hAnsi="宋体"/>
          <w:b/>
          <w:bCs/>
          <w:kern w:val="0"/>
          <w:sz w:val="24"/>
          <w:szCs w:val="20"/>
        </w:rPr>
      </w:pPr>
      <w:r>
        <w:rPr>
          <w:rFonts w:hint="eastAsia" w:ascii="宋体" w:hAnsi="宋体" w:cs="宋体"/>
          <w:szCs w:val="21"/>
        </w:rPr>
        <w:t>为贯彻党中央、国务院关于菜篮子的决策部署，进一步压紧压实菜篮子市长负责制，加强深圳市菜篮子基地建设管理，建立健全动态监测管理机制，根据《深圳市菜篮子基地认定、监测与考评管理办法》相关规定，组织开展2022年深圳市菜篮子基地监测工作，保障全市菜篮子产品市场稳定供应和质量安全。</w:t>
      </w: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四、项目</w:t>
      </w:r>
      <w:r>
        <w:rPr>
          <w:rFonts w:hint="eastAsia" w:ascii="宋体" w:hAnsi="宋体"/>
          <w:b/>
          <w:bCs/>
          <w:kern w:val="0"/>
          <w:sz w:val="28"/>
          <w:szCs w:val="28"/>
          <w:lang w:val="en-US" w:eastAsia="zh-CN"/>
        </w:rPr>
        <w:t>技术</w:t>
      </w:r>
      <w:r>
        <w:rPr>
          <w:rFonts w:hint="eastAsia" w:ascii="宋体" w:hAnsi="宋体"/>
          <w:b/>
          <w:bCs/>
          <w:kern w:val="0"/>
          <w:sz w:val="28"/>
          <w:szCs w:val="28"/>
        </w:rPr>
        <w:t>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1.总体要求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以年度为周期，根据《深圳市菜篮子基地认定、监测与考评管理办法》相关规定，按照采购人提供的深圳市菜篮子基地名单，动态监测基地整体质量情况，对需整改的基地，提供整改意见建议并督促其落实整改。</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2.服务标的</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监测对象主要为除2022年新认定外的其他深圳市菜篮子基地，约180个（实际基地个数以采购人提供的名单为准）。目前按照地域划分，市内基地108个，市外省内基地37个，省外基地35个；按照基地类别划分，蔬菜水果基地60个，畜禽蛋奶基地11个，水产基地11个，农产品加工配送基地95个，农产品流通基地3个。</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应配备不少于20人的专业技术团队，在服务期限内，对基地开展跟踪巡查及抽检，确保省内所有基地巡查次数不少于2次，省外所有基地巡查次数不少于1次，并对基地生产环境和主营产品进行抽样检验，每个基地样品总数不少于2个。</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3.服务需求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中标机构对监测对象采取定期统计、情况调查、实地考察、随机抽查等方式实行跟踪管理，及时对市菜篮子基地生产、经营管理和产品质量安全状况进行监测。</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（1）日常监测</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对采购人提供的深圳市菜篮子基地名单中各个基地开展跟踪巡查，确保省内所有基地巡查次数不少于2次，省外所有基地巡查次数不少于1次，并填写《深圳市菜篮子基地监测评分表》，保存巡查工作相关影像资料（含图片、视频等）。采购人可委派工作人员作为观察员对监测工作进行现场见证和监督。</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跟踪巡查要求核实各基地的组织管理、质量安全、环境条件、基础设施、产品贮运等方面是否符合《深圳市菜篮子基地认定、监测与考评管理办法》中规定的市菜篮子基地认定条件的要求。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（2）基地生产环境和主营产品抽样检验</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对基地生产环境和主营产品进行抽样检验，每个基地样品总数不少于2个，其中基地生产环境包括基地的水质、土壤等，主营产品为供深最多的前五种产品。检验结果不合格的，及时告知被抽检基地并督促其进行整改。如受气候条件、基地实际生产经营情况影响无法同时抽检基地生产环境和主营产品，中标机构可根据现场实际情况调整抽样对象。</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（3）技术服务</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开展基地标准化生产、可追溯体系建设及农产品质量安全管理等方面的技术指导工作。</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针对监测发现的问题，现场提出整改建议，督促基地按照《深圳市菜篮子基地认定、监测与考评管理办法》规定期限落实整改，并对整改情况进行验收。</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根据工作方案要求开展监测工作，并以季度为单位，收集各基地的监测情况及不符合项整改报告，汇总后向采购人上报监测工作进度及基地情况。年度监测任务完成后，提交市菜篮子基地工作（基地监测）年度总结报告。</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（4）建立档案</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建立市菜篮子基地监测档案，档案内容包括基地名单、基地面积、位置、品种、产量、供应深圳市市场数量、质量抽检等基本情况。</w:t>
      </w: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五、项目商务要求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rPr>
        <w:t>服务期限：</w:t>
      </w:r>
      <w:bookmarkStart w:id="11" w:name="服务期限_1"/>
      <w:r>
        <w:rPr>
          <w:rFonts w:hint="eastAsia" w:ascii="宋体" w:hAnsi="宋体" w:cs="宋体"/>
          <w:szCs w:val="21"/>
          <w:lang w:eastAsia="zh-CN"/>
        </w:rPr>
        <w:t>合同签订之日起</w:t>
      </w:r>
      <w:r>
        <w:rPr>
          <w:rFonts w:hint="eastAsia" w:ascii="宋体" w:hAnsi="宋体" w:cs="宋体"/>
          <w:szCs w:val="21"/>
          <w:lang w:val="en-US" w:eastAsia="zh-CN"/>
        </w:rPr>
        <w:t>至</w:t>
      </w:r>
      <w:r>
        <w:rPr>
          <w:rFonts w:hint="default" w:ascii="宋体" w:hAnsi="宋体" w:cs="宋体"/>
          <w:szCs w:val="21"/>
          <w:lang w:val="en" w:eastAsia="zh-CN"/>
        </w:rPr>
        <w:t>2022</w:t>
      </w:r>
      <w:r>
        <w:rPr>
          <w:rFonts w:hint="eastAsia" w:ascii="宋体" w:hAnsi="宋体" w:cs="宋体"/>
          <w:szCs w:val="21"/>
          <w:lang w:val="en-US" w:eastAsia="zh-CN"/>
        </w:rPr>
        <w:t>年</w:t>
      </w:r>
      <w:r>
        <w:rPr>
          <w:rFonts w:hint="default" w:ascii="宋体" w:hAnsi="宋体" w:cs="宋体"/>
          <w:szCs w:val="21"/>
          <w:lang w:val="en" w:eastAsia="zh-CN"/>
        </w:rPr>
        <w:t>12</w:t>
      </w:r>
      <w:r>
        <w:rPr>
          <w:rFonts w:hint="eastAsia" w:ascii="宋体" w:hAnsi="宋体" w:cs="宋体"/>
          <w:szCs w:val="21"/>
          <w:lang w:val="en-US" w:eastAsia="zh-CN"/>
        </w:rPr>
        <w:t>月</w:t>
      </w:r>
      <w:r>
        <w:rPr>
          <w:rFonts w:hint="default" w:ascii="宋体" w:hAnsi="宋体" w:cs="宋体"/>
          <w:szCs w:val="21"/>
          <w:lang w:val="en" w:eastAsia="zh-CN"/>
        </w:rPr>
        <w:t>1</w:t>
      </w:r>
      <w:r>
        <w:rPr>
          <w:rFonts w:hint="eastAsia" w:ascii="宋体" w:hAnsi="宋体" w:cs="宋体"/>
          <w:szCs w:val="21"/>
          <w:lang w:val="en-US" w:eastAsia="zh-CN"/>
        </w:rPr>
        <w:t>日前完成</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default" w:ascii="宋体" w:hAnsi="宋体" w:cs="宋体"/>
          <w:szCs w:val="21"/>
          <w:lang w:val="en" w:eastAsia="zh-CN"/>
        </w:rPr>
        <w:t>☑</w:t>
      </w:r>
      <w:r>
        <w:rPr>
          <w:rFonts w:hint="eastAsia" w:ascii="宋体" w:hAnsi="宋体" w:cs="宋体"/>
          <w:szCs w:val="21"/>
          <w:lang w:val="en-US" w:eastAsia="zh-CN"/>
        </w:rPr>
        <w:t xml:space="preserve">  本项目属于长期服务项目。采购人可根据中标供应商履约服务情况申请延长，但累计服务期限最长不超过三年，合同一年一签。</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  本项目属于非长期服务项目。</w:t>
      </w:r>
      <w:bookmarkEnd w:id="11"/>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default" w:ascii="宋体" w:hAnsi="宋体" w:cs="宋体"/>
          <w:szCs w:val="21"/>
          <w:lang w:val="en" w:eastAsia="zh-CN"/>
        </w:rPr>
        <w:t>☑</w:t>
      </w:r>
      <w:r>
        <w:rPr>
          <w:rFonts w:hint="eastAsia" w:ascii="宋体" w:hAnsi="宋体" w:cs="宋体"/>
          <w:szCs w:val="21"/>
          <w:lang w:val="en-US" w:eastAsia="zh-CN"/>
        </w:rPr>
        <w:t xml:space="preserve">  分期付款：采购方在</w:t>
      </w:r>
      <w:r>
        <w:rPr>
          <w:rFonts w:hint="eastAsia" w:ascii="宋体" w:hAnsi="宋体" w:cs="宋体"/>
          <w:szCs w:val="21"/>
          <w:lang w:eastAsia="zh-CN"/>
        </w:rPr>
        <w:t>合同签订后，且收到中标方提供符合规定发票后</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30</w:t>
      </w:r>
      <w:r>
        <w:rPr>
          <w:rFonts w:hint="default" w:ascii="宋体" w:hAnsi="宋体" w:cs="宋体"/>
          <w:szCs w:val="21"/>
          <w:u w:val="single"/>
          <w:lang w:val="en" w:eastAsia="zh-CN"/>
        </w:rPr>
        <w:t xml:space="preserve">  </w:t>
      </w:r>
      <w:r>
        <w:rPr>
          <w:rFonts w:hint="eastAsia" w:ascii="宋体" w:hAnsi="宋体" w:cs="宋体"/>
          <w:szCs w:val="21"/>
          <w:lang w:val="en-US" w:eastAsia="zh-CN"/>
        </w:rPr>
        <w:t xml:space="preserve">日内支付合同总额的 </w:t>
      </w:r>
      <w:r>
        <w:rPr>
          <w:rFonts w:hint="default" w:ascii="宋体" w:hAnsi="宋体" w:cs="宋体"/>
          <w:szCs w:val="21"/>
          <w:lang w:val="en" w:eastAsia="zh-CN"/>
        </w:rPr>
        <w:t>50</w:t>
      </w:r>
      <w:r>
        <w:rPr>
          <w:rFonts w:hint="eastAsia" w:ascii="宋体" w:hAnsi="宋体" w:cs="宋体"/>
          <w:szCs w:val="21"/>
          <w:lang w:val="en-US" w:eastAsia="zh-CN"/>
        </w:rPr>
        <w:t>%作为首期款，余款按进度支付。</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  一次性付款：项目验收合格后，采购方收到中标方提供给符合规定发票后30日内一次性支付合同总额。</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3.知识产权：</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lang w:val="en-US" w:eastAsia="zh-CN"/>
        </w:rPr>
        <w:t>（1）中标供应商</w:t>
      </w:r>
      <w:r>
        <w:rPr>
          <w:rFonts w:hint="eastAsia" w:ascii="宋体" w:hAnsi="宋体" w:cs="宋体"/>
          <w:szCs w:val="21"/>
        </w:rPr>
        <w:t>在项目实施过程中不得侵犯第三人知识产权以及其他权益。需要使用第三人知识产权的，</w:t>
      </w:r>
      <w:r>
        <w:rPr>
          <w:rFonts w:hint="eastAsia" w:ascii="宋体" w:hAnsi="宋体" w:cs="宋体"/>
          <w:szCs w:val="21"/>
          <w:lang w:val="en-US" w:eastAsia="zh-CN"/>
        </w:rPr>
        <w:t>中标供应商</w:t>
      </w:r>
      <w:r>
        <w:rPr>
          <w:rFonts w:hint="eastAsia" w:ascii="宋体" w:hAnsi="宋体" w:cs="宋体"/>
          <w:szCs w:val="21"/>
        </w:rPr>
        <w:t>应取得权利人许可或者授权并由</w:t>
      </w:r>
      <w:r>
        <w:rPr>
          <w:rFonts w:hint="eastAsia" w:ascii="宋体" w:hAnsi="宋体" w:cs="宋体"/>
          <w:szCs w:val="21"/>
          <w:lang w:val="en-US" w:eastAsia="zh-CN"/>
        </w:rPr>
        <w:t>中标供应商</w:t>
      </w:r>
      <w:r>
        <w:rPr>
          <w:rFonts w:hint="eastAsia" w:ascii="宋体" w:hAnsi="宋体" w:cs="宋体"/>
          <w:szCs w:val="21"/>
        </w:rPr>
        <w:t>承担费用。</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除第三人依法享有知识产权的除外，</w:t>
      </w:r>
      <w:r>
        <w:rPr>
          <w:rFonts w:hint="eastAsia" w:ascii="宋体" w:hAnsi="宋体" w:cs="宋体"/>
          <w:szCs w:val="21"/>
          <w:lang w:val="en-US" w:eastAsia="zh-CN"/>
        </w:rPr>
        <w:t>中标供应商</w:t>
      </w:r>
      <w:r>
        <w:rPr>
          <w:rFonts w:hint="eastAsia" w:ascii="宋体" w:hAnsi="宋体" w:cs="宋体"/>
          <w:szCs w:val="21"/>
        </w:rPr>
        <w:t>实施本项目所形成成果的知识产权归</w:t>
      </w:r>
      <w:r>
        <w:rPr>
          <w:rFonts w:hint="eastAsia" w:ascii="宋体" w:hAnsi="宋体" w:cs="宋体"/>
          <w:szCs w:val="21"/>
          <w:lang w:eastAsia="zh-CN"/>
        </w:rPr>
        <w:t>采购人</w:t>
      </w:r>
      <w:r>
        <w:rPr>
          <w:rFonts w:hint="eastAsia" w:ascii="宋体" w:hAnsi="宋体" w:cs="宋体"/>
          <w:szCs w:val="21"/>
        </w:rPr>
        <w:t>所有，未经</w:t>
      </w:r>
      <w:r>
        <w:rPr>
          <w:rFonts w:hint="eastAsia" w:ascii="宋体" w:hAnsi="宋体" w:cs="宋体"/>
          <w:szCs w:val="21"/>
          <w:lang w:eastAsia="zh-CN"/>
        </w:rPr>
        <w:t>采购人</w:t>
      </w:r>
      <w:r>
        <w:rPr>
          <w:rFonts w:hint="eastAsia" w:ascii="宋体" w:hAnsi="宋体" w:cs="宋体"/>
          <w:szCs w:val="21"/>
        </w:rPr>
        <w:t>许可，</w:t>
      </w:r>
      <w:r>
        <w:rPr>
          <w:rFonts w:hint="eastAsia" w:ascii="宋体" w:hAnsi="宋体" w:cs="宋体"/>
          <w:szCs w:val="21"/>
          <w:lang w:val="en-US" w:eastAsia="zh-CN"/>
        </w:rPr>
        <w:t>中标供应商</w:t>
      </w:r>
      <w:r>
        <w:rPr>
          <w:rFonts w:hint="eastAsia" w:ascii="宋体" w:hAnsi="宋体" w:cs="宋体"/>
          <w:szCs w:val="21"/>
        </w:rPr>
        <w:t>不得随意使用。</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4.报价要求：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（2）投标供应商应当根据本企业的成本自行决定报价，但不得以低于其企业成本的报价投标。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（3）投标供应商的报价不得超过项目预算金额。</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（4）投标供应商的报价，应当是本项目采购范围和采购文件及合同条款上所列的各项内容中所述的全部，不得以任何理由予以重复。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6）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eastAsia="zh-CN"/>
        </w:rPr>
      </w:pPr>
      <w:r>
        <w:rPr>
          <w:rFonts w:hint="eastAsia" w:ascii="宋体" w:hAnsi="宋体" w:cs="宋体"/>
          <w:szCs w:val="21"/>
          <w:lang w:val="en-US" w:eastAsia="zh-CN"/>
        </w:rPr>
        <w:t>5.</w:t>
      </w:r>
      <w:r>
        <w:rPr>
          <w:rFonts w:hint="eastAsia" w:ascii="宋体" w:hAnsi="宋体" w:cs="宋体"/>
          <w:szCs w:val="21"/>
        </w:rPr>
        <w:t>验收标准及违约</w:t>
      </w:r>
      <w:r>
        <w:rPr>
          <w:rFonts w:hint="eastAsia" w:ascii="宋体" w:hAnsi="宋体" w:cs="宋体"/>
          <w:szCs w:val="21"/>
          <w:lang w:eastAsia="zh-CN"/>
        </w:rPr>
        <w:t>责任</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lang w:eastAsia="zh-CN"/>
        </w:rPr>
        <w:t>（1）验收标准：</w:t>
      </w:r>
      <w:r>
        <w:rPr>
          <w:rFonts w:hint="eastAsia" w:ascii="宋体" w:hAnsi="宋体" w:cs="宋体"/>
          <w:szCs w:val="21"/>
        </w:rPr>
        <w:t>提交深圳市菜篮子基地季度汇总材料、深圳市菜篮子基地工作（基地监测）年度总结报告。</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b/>
          <w:bCs/>
          <w:kern w:val="0"/>
          <w:sz w:val="28"/>
          <w:szCs w:val="28"/>
        </w:rPr>
      </w:pPr>
      <w:r>
        <w:rPr>
          <w:rFonts w:hint="eastAsia" w:ascii="宋体" w:hAnsi="宋体" w:cs="宋体"/>
          <w:szCs w:val="21"/>
          <w:lang w:eastAsia="zh-CN"/>
        </w:rPr>
        <w:t>（2）违约责任：</w:t>
      </w:r>
      <w:r>
        <w:rPr>
          <w:rFonts w:hint="eastAsia" w:ascii="宋体" w:hAnsi="宋体" w:cs="宋体"/>
          <w:szCs w:val="21"/>
        </w:rPr>
        <w:t>按合同要求执行。</w:t>
      </w: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keepNext/>
        <w:keepLines/>
        <w:adjustRightInd w:val="0"/>
        <w:spacing w:before="260" w:after="260"/>
        <w:jc w:val="center"/>
        <w:textAlignment w:val="baseline"/>
        <w:outlineLvl w:val="1"/>
        <w:rPr>
          <w:rFonts w:ascii="宋体" w:hAnsi="宋体"/>
          <w:b/>
          <w:bCs/>
          <w:sz w:val="24"/>
          <w:szCs w:val="20"/>
        </w:rPr>
      </w:pPr>
      <w:r>
        <w:rPr>
          <w:rFonts w:hint="eastAsia" w:ascii="宋体" w:hAnsi="宋体"/>
          <w:b/>
          <w:bCs/>
          <w:sz w:val="24"/>
          <w:szCs w:val="20"/>
        </w:rPr>
        <w:t>第三章</w:t>
      </w:r>
      <w:r>
        <w:rPr>
          <w:rFonts w:ascii="宋体" w:hAnsi="宋体"/>
          <w:b/>
          <w:bCs/>
          <w:sz w:val="24"/>
          <w:szCs w:val="20"/>
        </w:rPr>
        <w:t xml:space="preserve"> </w:t>
      </w:r>
      <w:r>
        <w:rPr>
          <w:rFonts w:hint="eastAsia" w:ascii="宋体" w:hAnsi="宋体"/>
          <w:b/>
          <w:bCs/>
          <w:sz w:val="24"/>
          <w:szCs w:val="20"/>
        </w:rPr>
        <w:t xml:space="preserve"> 投标文件格式、附件</w:t>
      </w:r>
    </w:p>
    <w:p>
      <w:pPr>
        <w:rPr>
          <w:rFonts w:ascii="Times New Roman" w:hAnsi="Times New Roman"/>
          <w:b/>
          <w:bCs/>
          <w:sz w:val="24"/>
          <w:szCs w:val="32"/>
        </w:rPr>
      </w:pPr>
      <w:r>
        <w:rPr>
          <w:rFonts w:hint="eastAsia" w:ascii="Times New Roman" w:hAnsi="Times New Roman"/>
          <w:b/>
          <w:bCs/>
          <w:sz w:val="24"/>
          <w:szCs w:val="32"/>
        </w:rPr>
        <w:t>特别提醒：</w:t>
      </w:r>
    </w:p>
    <w:p>
      <w:pPr>
        <w:rPr>
          <w:rFonts w:ascii="Times New Roman" w:hAnsi="Times New Roman"/>
          <w:b/>
          <w:bCs/>
          <w:sz w:val="24"/>
          <w:szCs w:val="32"/>
        </w:rPr>
      </w:pPr>
    </w:p>
    <w:p>
      <w:pPr>
        <w:widowControl/>
        <w:ind w:firstLine="482" w:firstLineChars="200"/>
        <w:jc w:val="left"/>
        <w:rPr>
          <w:rFonts w:ascii="仿宋_GB2312" w:hAnsi="Times New Roman" w:eastAsia="仿宋_GB2312"/>
          <w:kern w:val="0"/>
          <w:sz w:val="24"/>
          <w:szCs w:val="24"/>
        </w:rPr>
      </w:pPr>
      <w:r>
        <w:rPr>
          <w:rFonts w:hint="eastAsia" w:ascii="仿宋_GB2312" w:hAnsi="Times New Roman" w:eastAsia="仿宋_GB2312"/>
          <w:b/>
          <w:kern w:val="0"/>
          <w:sz w:val="24"/>
          <w:szCs w:val="24"/>
        </w:rPr>
        <w:t>投标文件正文将对外公开，投标文件附件不公开。</w:t>
      </w:r>
      <w:r>
        <w:rPr>
          <w:rFonts w:hint="eastAsia" w:ascii="仿宋_GB2312" w:hAnsi="Times New Roman" w:eastAsia="仿宋_GB2312"/>
          <w:kern w:val="0"/>
          <w:sz w:val="24"/>
          <w:szCs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投标人应按招标文件规定的“投标文件组成”编制投标文件正文（信息公开部分）和投标文件附件（信息不公开部分），举例如下图：</w:t>
      </w:r>
    </w:p>
    <w:p>
      <w:pPr>
        <w:widowControl/>
        <w:jc w:val="center"/>
        <w:rPr>
          <w:rFonts w:ascii="宋体" w:hAnsi="宋体" w:cs="宋体" w:eastAsiaTheme="minorEastAsia"/>
          <w:kern w:val="0"/>
          <w:sz w:val="24"/>
          <w:szCs w:val="24"/>
          <w:highlight w:val="green"/>
        </w:rPr>
      </w:pPr>
      <w:r>
        <w:rPr>
          <w:rFonts w:ascii="仿宋_GB2312" w:hAnsi="Times New Roman" w:eastAsia="仿宋_GB2312"/>
          <w:kern w:val="0"/>
          <w:sz w:val="24"/>
          <w:szCs w:val="24"/>
          <w:highlight w:val="green"/>
        </w:rPr>
        <w:drawing>
          <wp:inline distT="0" distB="0" distL="0" distR="0">
            <wp:extent cx="5278755" cy="4126230"/>
            <wp:effectExtent l="0" t="0" r="0" b="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hAnsi="Times New Roman" w:eastAsia="仿宋_GB2312"/>
          <w:kern w:val="0"/>
          <w:sz w:val="24"/>
          <w:szCs w:val="24"/>
          <w:highlight w:val="green"/>
        </w:rPr>
      </w:pPr>
    </w:p>
    <w:p>
      <w:pPr>
        <w:widowControl/>
        <w:ind w:firstLine="480" w:firstLineChars="200"/>
        <w:jc w:val="left"/>
        <w:rPr>
          <w:rFonts w:ascii="仿宋_GB2312" w:hAnsi="Times New Roman" w:eastAsia="仿宋_GB2312"/>
          <w:b/>
          <w:kern w:val="0"/>
          <w:sz w:val="24"/>
          <w:szCs w:val="24"/>
        </w:rPr>
      </w:pPr>
      <w:bookmarkStart w:id="12" w:name="_Hlk72257167"/>
      <w:r>
        <w:rPr>
          <w:rFonts w:hint="eastAsia" w:ascii="仿宋_GB2312" w:hAnsi="Times New Roman" w:eastAsia="仿宋_GB2312"/>
          <w:kern w:val="0"/>
          <w:sz w:val="24"/>
          <w:szCs w:val="24"/>
        </w:rPr>
        <w:t>招标代理机构公布投标文件正文（信息公开部分）时为计算机截取信息自动公布，</w:t>
      </w:r>
      <w:r>
        <w:rPr>
          <w:rFonts w:hint="eastAsia" w:ascii="仿宋_GB2312" w:hAnsi="Times New Roman" w:eastAsia="仿宋_GB2312"/>
          <w:b/>
          <w:bCs/>
          <w:kern w:val="0"/>
          <w:sz w:val="24"/>
          <w:szCs w:val="24"/>
        </w:rPr>
        <w:t>如投标人误将涉及个人隐私或其他重要信息放入投标文件正文，相关后果由投标人自负；</w:t>
      </w:r>
      <w:r>
        <w:rPr>
          <w:rFonts w:hint="eastAsia" w:ascii="仿宋_GB2312" w:hAnsi="Times New Roman" w:eastAsia="仿宋_GB2312"/>
          <w:b/>
          <w:kern w:val="0"/>
          <w:sz w:val="24"/>
          <w:szCs w:val="24"/>
        </w:rPr>
        <w:t>如投标人将必须放于投标文件正文（信息公开部分）的内容放入投标文件附件（信息不公开部分），将作投标无效处理。</w:t>
      </w:r>
    </w:p>
    <w:bookmarkEnd w:id="12"/>
    <w:p>
      <w:pPr>
        <w:rPr>
          <w:rFonts w:ascii="仿宋_GB2312" w:hAnsi="Times New Roman" w:eastAsia="仿宋_GB2312"/>
          <w:sz w:val="24"/>
          <w:szCs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w:t>
      </w:r>
      <w:r>
        <w:rPr>
          <w:rFonts w:hint="eastAsia" w:ascii="宋体" w:hAnsi="宋体"/>
          <w:b/>
        </w:rPr>
        <w:t>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p>
    <w:p>
      <w:pPr>
        <w:spacing w:beforeLines="25" w:afterLines="25"/>
        <w:ind w:firstLine="991" w:firstLineChars="472"/>
        <w:rPr>
          <w:rFonts w:ascii="宋体" w:hAnsi="宋体"/>
          <w:szCs w:val="21"/>
        </w:rPr>
      </w:pPr>
      <w:r>
        <w:rPr>
          <w:rFonts w:hint="eastAsia" w:ascii="宋体" w:hAnsi="宋体"/>
          <w:szCs w:val="21"/>
        </w:rPr>
        <w:t>（1）投标函</w:t>
      </w:r>
    </w:p>
    <w:p>
      <w:pPr>
        <w:spacing w:beforeLines="25" w:afterLines="25"/>
        <w:ind w:firstLine="991" w:firstLineChars="472"/>
        <w:rPr>
          <w:rFonts w:ascii="宋体" w:hAnsi="宋体"/>
          <w:szCs w:val="21"/>
        </w:rPr>
      </w:pPr>
      <w:r>
        <w:rPr>
          <w:rFonts w:hint="eastAsia" w:ascii="宋体" w:hAnsi="宋体"/>
          <w:szCs w:val="21"/>
        </w:rPr>
        <w:t>（2）资格响应文件</w:t>
      </w:r>
    </w:p>
    <w:p>
      <w:pPr>
        <w:spacing w:beforeLines="25" w:afterLines="25"/>
        <w:ind w:firstLine="991" w:firstLineChars="472"/>
        <w:rPr>
          <w:rFonts w:ascii="宋体" w:hAnsi="宋体"/>
          <w:szCs w:val="21"/>
        </w:rPr>
      </w:pPr>
      <w:r>
        <w:rPr>
          <w:rFonts w:hint="eastAsia" w:ascii="宋体" w:hAnsi="宋体"/>
          <w:szCs w:val="21"/>
        </w:rPr>
        <w:t>（3）投标人情况介绍</w:t>
      </w:r>
    </w:p>
    <w:p>
      <w:pPr>
        <w:spacing w:beforeLines="25" w:afterLines="25"/>
        <w:ind w:firstLine="991" w:firstLineChars="472"/>
        <w:rPr>
          <w:rFonts w:ascii="宋体" w:hAnsi="宋体"/>
          <w:szCs w:val="21"/>
        </w:rPr>
      </w:pPr>
      <w:r>
        <w:rPr>
          <w:rFonts w:hint="eastAsia" w:ascii="宋体" w:hAnsi="宋体"/>
          <w:szCs w:val="21"/>
        </w:rPr>
        <w:t>（4）中小企业声明函等符合政府采购优惠政策的证明材料</w:t>
      </w:r>
    </w:p>
    <w:p>
      <w:pPr>
        <w:rPr>
          <w:rFonts w:ascii="宋体" w:hAnsi="宋体"/>
          <w:sz w:val="24"/>
          <w:szCs w:val="24"/>
        </w:rPr>
      </w:pP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2.</w:t>
      </w:r>
      <w:r>
        <w:rPr>
          <w:rFonts w:hint="eastAsia" w:ascii="宋体" w:hAnsi="宋体"/>
          <w:b/>
          <w:szCs w:val="21"/>
        </w:rPr>
        <w:t>投标文件附件（信息不公开部分）</w:t>
      </w:r>
      <w:r>
        <w:rPr>
          <w:rFonts w:hint="eastAsia" w:ascii="宋体" w:hAnsi="宋体"/>
          <w:szCs w:val="21"/>
        </w:rPr>
        <w:t>，主要包括以下内容：</w:t>
      </w:r>
    </w:p>
    <w:p>
      <w:pPr>
        <w:spacing w:beforeLines="25" w:afterLines="25"/>
        <w:ind w:firstLine="991" w:firstLineChars="472"/>
        <w:rPr>
          <w:rFonts w:ascii="宋体" w:hAnsi="宋体"/>
          <w:szCs w:val="21"/>
        </w:rPr>
      </w:pPr>
      <w:r>
        <w:rPr>
          <w:rFonts w:hint="eastAsia" w:ascii="宋体" w:hAnsi="宋体"/>
          <w:szCs w:val="21"/>
        </w:rPr>
        <w:t>（5）法定代表人（负责人）资格证明书</w:t>
      </w:r>
    </w:p>
    <w:p>
      <w:pPr>
        <w:spacing w:beforeLines="25" w:afterLines="25"/>
        <w:ind w:firstLine="991" w:firstLineChars="472"/>
        <w:rPr>
          <w:rFonts w:ascii="宋体" w:hAnsi="宋体"/>
          <w:szCs w:val="21"/>
        </w:rPr>
      </w:pPr>
      <w:r>
        <w:rPr>
          <w:rFonts w:hint="eastAsia" w:ascii="宋体" w:hAnsi="宋体"/>
          <w:szCs w:val="21"/>
        </w:rPr>
        <w:t>（6）投标文件签署授权委托书</w:t>
      </w:r>
    </w:p>
    <w:p>
      <w:pPr>
        <w:spacing w:beforeLines="25" w:afterLines="25"/>
        <w:ind w:firstLine="991" w:firstLineChars="472"/>
        <w:rPr>
          <w:rFonts w:ascii="宋体" w:hAnsi="宋体"/>
          <w:szCs w:val="21"/>
        </w:rPr>
      </w:pPr>
      <w:r>
        <w:rPr>
          <w:rFonts w:hint="eastAsia" w:ascii="宋体" w:hAnsi="宋体"/>
          <w:szCs w:val="21"/>
        </w:rPr>
        <w:t>（7）实质性条款响应情况表</w:t>
      </w:r>
    </w:p>
    <w:p>
      <w:pPr>
        <w:spacing w:beforeLines="25" w:afterLines="25"/>
        <w:ind w:firstLine="991" w:firstLineChars="472"/>
        <w:rPr>
          <w:rFonts w:ascii="宋体" w:hAnsi="宋体"/>
          <w:szCs w:val="21"/>
        </w:rPr>
      </w:pPr>
      <w:r>
        <w:rPr>
          <w:rFonts w:hint="eastAsia" w:ascii="宋体" w:hAnsi="宋体"/>
          <w:szCs w:val="21"/>
        </w:rPr>
        <w:t>（8）详细分项报价清单</w:t>
      </w:r>
    </w:p>
    <w:p>
      <w:pPr>
        <w:spacing w:beforeLines="25" w:afterLines="25"/>
        <w:ind w:firstLine="991" w:firstLineChars="472"/>
        <w:rPr>
          <w:rFonts w:ascii="宋体" w:hAnsi="宋体"/>
          <w:szCs w:val="21"/>
        </w:rPr>
      </w:pPr>
      <w:r>
        <w:rPr>
          <w:rFonts w:hint="eastAsia" w:ascii="宋体" w:hAnsi="宋体"/>
          <w:szCs w:val="21"/>
        </w:rPr>
        <w:t>（9）服务要求</w:t>
      </w:r>
      <w:r>
        <w:rPr>
          <w:rFonts w:ascii="宋体" w:hAnsi="宋体"/>
          <w:szCs w:val="21"/>
        </w:rPr>
        <w:t>偏离表</w:t>
      </w:r>
    </w:p>
    <w:p>
      <w:pPr>
        <w:spacing w:beforeLines="25" w:afterLines="25"/>
        <w:ind w:firstLine="991" w:firstLineChars="472"/>
        <w:rPr>
          <w:rFonts w:ascii="宋体" w:hAnsi="宋体"/>
          <w:szCs w:val="21"/>
        </w:rPr>
      </w:pPr>
      <w:r>
        <w:rPr>
          <w:rFonts w:hint="eastAsia" w:ascii="宋体" w:hAnsi="宋体"/>
          <w:szCs w:val="21"/>
        </w:rPr>
        <w:t>（10）</w:t>
      </w:r>
      <w:r>
        <w:rPr>
          <w:rFonts w:ascii="宋体" w:hAnsi="宋体"/>
          <w:szCs w:val="21"/>
        </w:rPr>
        <w:t>商务</w:t>
      </w:r>
      <w:r>
        <w:rPr>
          <w:rFonts w:hint="eastAsia" w:ascii="宋体" w:hAnsi="宋体"/>
          <w:szCs w:val="21"/>
        </w:rPr>
        <w:t>要求</w:t>
      </w:r>
      <w:r>
        <w:rPr>
          <w:rFonts w:ascii="宋体" w:hAnsi="宋体"/>
          <w:szCs w:val="21"/>
        </w:rPr>
        <w:t>偏离表</w:t>
      </w:r>
    </w:p>
    <w:p>
      <w:pPr>
        <w:spacing w:beforeLines="25" w:afterLines="25"/>
        <w:ind w:firstLine="991" w:firstLineChars="472"/>
        <w:rPr>
          <w:rFonts w:asciiTheme="minorEastAsia" w:hAnsiTheme="minorEastAsia" w:eastAsiaTheme="minorEastAsia"/>
          <w:szCs w:val="21"/>
        </w:rPr>
      </w:pPr>
      <w:r>
        <w:rPr>
          <w:rFonts w:hint="eastAsia" w:ascii="宋体" w:hAnsi="宋体"/>
          <w:szCs w:val="21"/>
        </w:rPr>
        <w:t>（11）</w:t>
      </w:r>
      <w:r>
        <w:rPr>
          <w:rFonts w:hint="eastAsia" w:asciiTheme="minorEastAsia" w:hAnsiTheme="minorEastAsia" w:eastAsiaTheme="minorEastAsia"/>
          <w:szCs w:val="21"/>
        </w:rPr>
        <w:t>实施方案</w:t>
      </w:r>
    </w:p>
    <w:p>
      <w:pPr>
        <w:spacing w:beforeLines="25" w:afterLines="25"/>
        <w:ind w:firstLine="991" w:firstLineChars="472"/>
        <w:rPr>
          <w:rFonts w:asciiTheme="minorEastAsia" w:hAnsiTheme="minorEastAsia" w:eastAsiaTheme="minorEastAsia"/>
          <w:szCs w:val="21"/>
        </w:rPr>
      </w:pPr>
      <w:r>
        <w:rPr>
          <w:rFonts w:hint="eastAsia" w:asciiTheme="minorEastAsia" w:hAnsiTheme="minorEastAsia" w:eastAsiaTheme="minorEastAsia"/>
          <w:szCs w:val="21"/>
        </w:rPr>
        <w:t>......</w:t>
      </w:r>
    </w:p>
    <w:p>
      <w:pPr>
        <w:spacing w:beforeLines="25" w:afterLines="25"/>
        <w:ind w:firstLine="991" w:firstLineChars="472"/>
        <w:rPr>
          <w:rFonts w:ascii="宋体" w:hAnsi="宋体"/>
          <w:szCs w:val="21"/>
        </w:rPr>
      </w:pPr>
      <w:r>
        <w:rPr>
          <w:rFonts w:hint="eastAsia" w:ascii="宋体" w:hAnsi="宋体"/>
          <w:szCs w:val="21"/>
        </w:rPr>
        <w:t>（*）招标文件要求的其它内容或投标人认为需要补充的资料</w:t>
      </w:r>
    </w:p>
    <w:p>
      <w:pPr>
        <w:spacing w:beforeLines="25" w:afterLines="25"/>
        <w:rPr>
          <w:rFonts w:ascii="宋体" w:hAnsi="宋体"/>
          <w:szCs w:val="21"/>
        </w:rPr>
      </w:pP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备注：</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1.本项目为网上电子投标项目，投标文件不需法人或授权委托人另行签字，无需加盖单位公章，招标文件专用条款另有规定的除外。</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2.关于填写“开标一览表”的说明：“开标一览表”中除“投标报价”外，其他信息不作为评审依据。</w:t>
      </w:r>
    </w:p>
    <w:p>
      <w:pPr>
        <w:widowControl/>
        <w:jc w:val="left"/>
        <w:rPr>
          <w:rFonts w:ascii="宋体" w:hAnsi="宋体"/>
          <w:szCs w:val="21"/>
        </w:rPr>
      </w:pPr>
      <w:r>
        <w:rPr>
          <w:rFonts w:ascii="宋体" w:hAnsi="宋体"/>
          <w:szCs w:val="21"/>
        </w:rPr>
        <w:br w:type="page"/>
      </w:r>
    </w:p>
    <w:p>
      <w:pPr>
        <w:rPr>
          <w:rFonts w:ascii="仿宋_GB2312" w:hAnsi="Times New Roman" w:eastAsia="仿宋_GB2312"/>
          <w:b/>
          <w:color w:val="FF0000"/>
          <w:sz w:val="30"/>
          <w:szCs w:val="30"/>
        </w:rPr>
      </w:pPr>
      <w:r>
        <w:rPr>
          <w:rFonts w:hint="eastAsia" w:ascii="仿宋_GB2312" w:hAnsi="Times New Roman" w:eastAsia="仿宋_GB2312"/>
          <w:b/>
          <w:color w:val="FF0000"/>
          <w:sz w:val="30"/>
          <w:szCs w:val="30"/>
        </w:rPr>
        <w:t>投标文件正文（信息公开部分）：</w:t>
      </w:r>
    </w:p>
    <w:p>
      <w:pPr>
        <w:pStyle w:val="4"/>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 xml:space="preserve">深圳市中正招标有限公司：  </w:t>
      </w:r>
    </w:p>
    <w:p>
      <w:pPr>
        <w:spacing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ind w:firstLine="616" w:firstLineChars="257"/>
        <w:rPr>
          <w:sz w:val="24"/>
        </w:rPr>
      </w:pPr>
    </w:p>
    <w:p>
      <w:pPr>
        <w:rPr>
          <w:rFonts w:ascii="宋体" w:hAnsi="宋体"/>
          <w:szCs w:val="21"/>
        </w:rPr>
      </w:pPr>
      <w:r>
        <w:rPr>
          <w:rFonts w:hint="eastAsia"/>
          <w:szCs w:val="21"/>
          <w:u w:val="single"/>
        </w:rPr>
        <w:t>（备注：如联合体投标，投标人一栏仅需填写牵头人的名称）</w:t>
      </w:r>
    </w:p>
    <w:p>
      <w:pPr>
        <w:ind w:firstLine="616" w:firstLineChars="257"/>
        <w:rPr>
          <w:sz w:val="24"/>
        </w:rPr>
      </w:pPr>
      <w:r>
        <w:rPr>
          <w:rFonts w:hint="eastAsia"/>
          <w:sz w:val="24"/>
        </w:rPr>
        <w:t xml:space="preserve">                          </w:t>
      </w:r>
    </w:p>
    <w:p>
      <w:pPr>
        <w:spacing w:afterLines="50"/>
        <w:ind w:firstLine="411" w:firstLineChars="196"/>
        <w:rPr>
          <w:rFonts w:ascii="宋体" w:hAnsi="宋体"/>
          <w:szCs w:val="21"/>
        </w:rPr>
      </w:pPr>
    </w:p>
    <w:p>
      <w:pPr>
        <w:pStyle w:val="4"/>
        <w:jc w:val="center"/>
        <w:rPr>
          <w:rFonts w:ascii="黑体" w:eastAsia="黑体"/>
          <w:b w:val="0"/>
          <w:sz w:val="24"/>
        </w:rPr>
      </w:pPr>
      <w:r>
        <w:rPr>
          <w:rFonts w:hint="eastAsia" w:ascii="黑体" w:eastAsia="黑体"/>
          <w:b w:val="0"/>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ascii="Times New Roman" w:hAnsi="宋体"/>
          <w:szCs w:val="21"/>
        </w:rPr>
        <w:t>等证明材料</w:t>
      </w:r>
      <w:r>
        <w:rPr>
          <w:rFonts w:hint="eastAsia" w:ascii="宋体" w:hAnsi="宋体"/>
          <w:bCs/>
          <w:snapToGrid w:val="0"/>
          <w:kern w:val="0"/>
          <w:szCs w:val="21"/>
        </w:rPr>
        <w:t>（扫描件）</w:t>
      </w:r>
    </w:p>
    <w:p>
      <w:pPr>
        <w:adjustRightInd w:val="0"/>
        <w:snapToGrid w:val="0"/>
        <w:spacing w:line="360" w:lineRule="auto"/>
        <w:ind w:firstLine="424" w:firstLineChars="202"/>
        <w:rPr>
          <w:rFonts w:ascii="宋体" w:hAnsi="宋体"/>
          <w:szCs w:val="24"/>
        </w:rPr>
      </w:pPr>
      <w:r>
        <w:rPr>
          <w:rFonts w:hint="eastAsia" w:ascii="宋体" w:hAnsi="宋体"/>
          <w:bCs/>
          <w:snapToGrid w:val="0"/>
          <w:kern w:val="0"/>
          <w:szCs w:val="21"/>
        </w:rPr>
        <w:t>2、</w:t>
      </w:r>
      <w:r>
        <w:rPr>
          <w:rFonts w:hint="eastAsia" w:ascii="Times New Roman" w:hAnsi="Times New Roman"/>
          <w:szCs w:val="21"/>
        </w:rPr>
        <w:t>政府采购投标及履约承诺函</w:t>
      </w:r>
    </w:p>
    <w:p>
      <w:pPr>
        <w:adjustRightInd w:val="0"/>
        <w:snapToGrid w:val="0"/>
        <w:spacing w:line="360" w:lineRule="auto"/>
        <w:ind w:firstLine="424" w:firstLineChars="202"/>
        <w:rPr>
          <w:rFonts w:ascii="宋体" w:hAnsi="宋体"/>
          <w:szCs w:val="24"/>
        </w:rPr>
      </w:pPr>
      <w:r>
        <w:rPr>
          <w:rFonts w:hint="eastAsia" w:ascii="宋体" w:hAnsi="宋体"/>
          <w:szCs w:val="24"/>
        </w:rPr>
        <w:t>3、其它资格证明材料（如有，按招标公告“申请人的资格要求”提供）</w:t>
      </w:r>
    </w:p>
    <w:p>
      <w:pPr>
        <w:pStyle w:val="4"/>
        <w:jc w:val="center"/>
        <w:rPr>
          <w:rFonts w:ascii="黑体" w:eastAsia="黑体"/>
          <w:b w:val="0"/>
          <w:sz w:val="24"/>
        </w:rPr>
      </w:pPr>
    </w:p>
    <w:p>
      <w:pPr>
        <w:pStyle w:val="4"/>
        <w:jc w:val="center"/>
        <w:rPr>
          <w:rFonts w:ascii="黑体" w:eastAsia="黑体"/>
          <w:b w:val="0"/>
          <w:sz w:val="24"/>
        </w:rPr>
      </w:pPr>
      <w:r>
        <w:rPr>
          <w:rFonts w:hint="eastAsia" w:ascii="黑体" w:eastAsia="黑体"/>
          <w:b w:val="0"/>
          <w:sz w:val="24"/>
        </w:rPr>
        <w:t>政府采购投标及履约承诺函</w:t>
      </w:r>
    </w:p>
    <w:p>
      <w:pPr>
        <w:rPr>
          <w:rFonts w:ascii="宋体" w:hAnsi="宋体"/>
          <w:szCs w:val="21"/>
        </w:rPr>
      </w:pPr>
      <w:r>
        <w:rPr>
          <w:rFonts w:hint="eastAsia" w:ascii="宋体" w:hAnsi="宋体"/>
          <w:szCs w:val="21"/>
        </w:rPr>
        <w:t>深圳市中正招标有限公司：</w:t>
      </w:r>
    </w:p>
    <w:p>
      <w:pPr>
        <w:ind w:right="-815" w:firstLine="420" w:firstLineChars="200"/>
        <w:rPr>
          <w:rFonts w:ascii="宋体" w:hAnsi="宋体"/>
          <w:szCs w:val="21"/>
        </w:rPr>
      </w:pPr>
      <w:r>
        <w:rPr>
          <w:rFonts w:hint="eastAsia" w:ascii="宋体" w:hAnsi="宋体"/>
          <w:szCs w:val="21"/>
        </w:rPr>
        <w:t>我单位承诺：</w:t>
      </w:r>
    </w:p>
    <w:p>
      <w:pPr>
        <w:ind w:firstLine="424" w:firstLineChars="202"/>
        <w:rPr>
          <w:rFonts w:ascii="宋体" w:hAnsi="宋体"/>
          <w:szCs w:val="21"/>
        </w:rPr>
      </w:pPr>
      <w:r>
        <w:rPr>
          <w:rFonts w:hint="eastAsia" w:ascii="宋体" w:hAnsi="宋体"/>
          <w:szCs w:val="21"/>
        </w:rPr>
        <w:t>1.我单位满足《中华人民共和国政府采购法》第二十二条规定的条件。</w:t>
      </w:r>
    </w:p>
    <w:p>
      <w:pPr>
        <w:ind w:firstLine="424" w:firstLineChars="202"/>
        <w:rPr>
          <w:rFonts w:ascii="宋体" w:hAnsi="宋体"/>
          <w:szCs w:val="21"/>
        </w:rPr>
      </w:pPr>
      <w:r>
        <w:rPr>
          <w:rFonts w:hint="eastAsia" w:ascii="宋体" w:hAnsi="宋体"/>
          <w:szCs w:val="21"/>
        </w:rPr>
        <w:t>2.我单位参与本项目投标前三年内，在经营活动中没有重大违法记录。</w:t>
      </w:r>
    </w:p>
    <w:p>
      <w:pPr>
        <w:ind w:firstLine="424" w:firstLineChars="202"/>
        <w:rPr>
          <w:rFonts w:ascii="宋体" w:hAnsi="宋体"/>
          <w:szCs w:val="21"/>
        </w:rPr>
      </w:pPr>
      <w:r>
        <w:rPr>
          <w:rFonts w:hint="eastAsia" w:ascii="宋体" w:hAnsi="宋体"/>
          <w:szCs w:val="21"/>
        </w:rPr>
        <w:t>3.我单位参与本项目政府采购活动时不存在被有关部门禁止参与政府采购活动且在有效期内的情况；与其他投标供应商不存在“单位负责人为同一人或者存在直接控股、管理关系”的情况；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ascii="宋体" w:hAnsi="宋体"/>
          <w:szCs w:val="21"/>
        </w:rPr>
        <w:t>。</w:t>
      </w:r>
    </w:p>
    <w:p>
      <w:pPr>
        <w:ind w:firstLine="424" w:firstLineChars="202"/>
        <w:rPr>
          <w:rFonts w:ascii="宋体" w:hAnsi="宋体"/>
          <w:szCs w:val="21"/>
        </w:rPr>
      </w:pPr>
      <w:r>
        <w:rPr>
          <w:rFonts w:hint="eastAsia" w:ascii="宋体" w:hAnsi="宋体"/>
          <w:szCs w:val="21"/>
        </w:rPr>
        <w:t>4.我单位承诺不非法转包或分包。</w:t>
      </w:r>
    </w:p>
    <w:p>
      <w:pPr>
        <w:ind w:firstLine="424" w:firstLineChars="202"/>
        <w:rPr>
          <w:rFonts w:ascii="宋体" w:hAnsi="宋体"/>
          <w:szCs w:val="21"/>
        </w:rPr>
      </w:pPr>
      <w:r>
        <w:rPr>
          <w:rFonts w:hint="eastAsia" w:ascii="宋体" w:hAnsi="宋体"/>
          <w:szCs w:val="21"/>
        </w:rPr>
        <w:t>5.我单位本招标项目所提供的货物或服务未侵犯知识产权。</w:t>
      </w:r>
    </w:p>
    <w:p>
      <w:pPr>
        <w:ind w:firstLine="424" w:firstLineChars="202"/>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ind w:firstLine="424" w:firstLineChars="202"/>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ind w:firstLine="424" w:firstLineChars="202"/>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4" w:firstLineChars="202"/>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4" w:firstLineChars="202"/>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ind w:firstLine="424" w:firstLineChars="202"/>
        <w:rPr>
          <w:rFonts w:ascii="宋体" w:hAnsi="宋体"/>
          <w:szCs w:val="21"/>
        </w:rPr>
      </w:pPr>
      <w:r>
        <w:rPr>
          <w:rFonts w:hint="eastAsia" w:ascii="宋体" w:hAnsi="宋体"/>
          <w:szCs w:val="21"/>
        </w:rPr>
        <w:t>以上承诺，如有违反，愿依照相关法律法规处理，并承担由此给采购人带来的损失。</w:t>
      </w:r>
    </w:p>
    <w:p>
      <w:pPr>
        <w:ind w:firstLine="424" w:firstLineChars="202"/>
        <w:rPr>
          <w:rFonts w:ascii="宋体" w:hAnsi="宋体"/>
          <w:szCs w:val="21"/>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424" w:firstLineChars="202"/>
        <w:rPr>
          <w:rFonts w:ascii="宋体" w:hAnsi="宋体"/>
          <w:szCs w:val="21"/>
        </w:rPr>
      </w:pPr>
    </w:p>
    <w:p/>
    <w:p>
      <w:pPr>
        <w:rPr>
          <w:rFonts w:ascii="宋体" w:hAnsi="宋体"/>
          <w:szCs w:val="21"/>
        </w:rPr>
      </w:pPr>
      <w:r>
        <w:rPr>
          <w:rFonts w:hint="eastAsia"/>
          <w:szCs w:val="21"/>
          <w:u w:val="single"/>
        </w:rPr>
        <w:t>（备注：如联合体投标，投标人一栏需填写联合体双方的名称）</w:t>
      </w:r>
    </w:p>
    <w:p/>
    <w:p>
      <w:pPr>
        <w:ind w:firstLine="420" w:firstLineChars="200"/>
        <w:rPr>
          <w:rFonts w:cs="Courier New"/>
          <w:snapToGrid w:val="0"/>
          <w:szCs w:val="18"/>
        </w:rPr>
      </w:pPr>
    </w:p>
    <w:p>
      <w:pPr>
        <w:pStyle w:val="4"/>
        <w:jc w:val="center"/>
        <w:rPr>
          <w:rFonts w:ascii="黑体" w:eastAsia="黑体"/>
          <w:b w:val="0"/>
          <w:sz w:val="24"/>
        </w:rPr>
      </w:pPr>
      <w:r>
        <w:rPr>
          <w:rFonts w:hint="eastAsia" w:ascii="黑体" w:eastAsia="黑体"/>
          <w:b w:val="0"/>
          <w:sz w:val="24"/>
        </w:rPr>
        <w:t>三、投标人情况介绍</w:t>
      </w: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59"/>
        <w:gridCol w:w="4432"/>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序号</w:t>
            </w:r>
          </w:p>
        </w:tc>
        <w:tc>
          <w:tcPr>
            <w:tcW w:w="2559" w:type="dxa"/>
          </w:tcPr>
          <w:p>
            <w:pPr>
              <w:spacing w:after="6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4432" w:type="dxa"/>
            <w:vAlign w:val="center"/>
          </w:tcPr>
          <w:p>
            <w:pPr>
              <w:spacing w:after="60"/>
              <w:jc w:val="center"/>
              <w:rPr>
                <w:rFonts w:ascii="宋体" w:hAnsi="宋体"/>
                <w:b/>
                <w:szCs w:val="21"/>
              </w:rPr>
            </w:pPr>
            <w:r>
              <w:rPr>
                <w:rFonts w:hint="eastAsia" w:ascii="宋体" w:hAnsi="宋体"/>
                <w:b/>
                <w:szCs w:val="21"/>
              </w:rPr>
              <w:t>内容及说明</w:t>
            </w:r>
          </w:p>
        </w:tc>
        <w:tc>
          <w:tcPr>
            <w:tcW w:w="1411" w:type="dxa"/>
            <w:vAlign w:val="center"/>
          </w:tcPr>
          <w:p>
            <w:pPr>
              <w:spacing w:after="60"/>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一</w:t>
            </w:r>
          </w:p>
        </w:tc>
        <w:tc>
          <w:tcPr>
            <w:tcW w:w="6991" w:type="dxa"/>
            <w:gridSpan w:val="2"/>
          </w:tcPr>
          <w:p>
            <w:pPr>
              <w:spacing w:after="60"/>
              <w:rPr>
                <w:rFonts w:ascii="宋体" w:hAnsi="宋体"/>
                <w:b/>
                <w:szCs w:val="21"/>
              </w:rPr>
            </w:pPr>
            <w:r>
              <w:rPr>
                <w:rFonts w:hint="eastAsia" w:ascii="宋体" w:hAnsi="宋体"/>
                <w:b/>
                <w:szCs w:val="21"/>
              </w:rPr>
              <w:t>营业执照</w:t>
            </w: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hint="eastAsia" w:ascii="宋体" w:hAnsi="宋体"/>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hint="eastAsia" w:ascii="宋体" w:hAnsi="宋体"/>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3</w:t>
            </w:r>
          </w:p>
        </w:tc>
        <w:tc>
          <w:tcPr>
            <w:tcW w:w="2559" w:type="dxa"/>
            <w:vAlign w:val="center"/>
          </w:tcPr>
          <w:p>
            <w:pPr>
              <w:spacing w:after="60"/>
              <w:jc w:val="center"/>
              <w:rPr>
                <w:rFonts w:ascii="宋体" w:hAnsi="宋体"/>
                <w:szCs w:val="21"/>
              </w:rPr>
            </w:pPr>
            <w:r>
              <w:rPr>
                <w:rFonts w:hint="eastAsia" w:ascii="宋体" w:hAnsi="宋体"/>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4</w:t>
            </w:r>
          </w:p>
        </w:tc>
        <w:tc>
          <w:tcPr>
            <w:tcW w:w="2559" w:type="dxa"/>
            <w:vAlign w:val="center"/>
          </w:tcPr>
          <w:p>
            <w:pPr>
              <w:spacing w:after="60"/>
              <w:jc w:val="center"/>
              <w:rPr>
                <w:rFonts w:ascii="宋体" w:hAnsi="宋体"/>
                <w:szCs w:val="21"/>
              </w:rPr>
            </w:pPr>
            <w:r>
              <w:rPr>
                <w:rFonts w:hint="eastAsia" w:ascii="宋体" w:hAnsi="宋体"/>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5</w:t>
            </w:r>
          </w:p>
        </w:tc>
        <w:tc>
          <w:tcPr>
            <w:tcW w:w="2559" w:type="dxa"/>
            <w:vAlign w:val="center"/>
          </w:tcPr>
          <w:p>
            <w:pPr>
              <w:spacing w:after="60"/>
              <w:jc w:val="center"/>
              <w:rPr>
                <w:rFonts w:ascii="宋体" w:hAnsi="宋体"/>
                <w:szCs w:val="21"/>
              </w:rPr>
            </w:pPr>
            <w:r>
              <w:rPr>
                <w:rFonts w:hint="eastAsia" w:ascii="宋体" w:hAnsi="宋体"/>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6</w:t>
            </w:r>
          </w:p>
        </w:tc>
        <w:tc>
          <w:tcPr>
            <w:tcW w:w="2559" w:type="dxa"/>
            <w:vAlign w:val="center"/>
          </w:tcPr>
          <w:p>
            <w:pPr>
              <w:spacing w:after="60"/>
              <w:jc w:val="center"/>
              <w:rPr>
                <w:rFonts w:ascii="宋体" w:hAnsi="宋体"/>
                <w:szCs w:val="21"/>
              </w:rPr>
            </w:pPr>
            <w:r>
              <w:rPr>
                <w:rFonts w:hint="eastAsia" w:ascii="宋体" w:hAnsi="宋体"/>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7</w:t>
            </w:r>
          </w:p>
        </w:tc>
        <w:tc>
          <w:tcPr>
            <w:tcW w:w="2559" w:type="dxa"/>
            <w:vAlign w:val="center"/>
          </w:tcPr>
          <w:p>
            <w:pPr>
              <w:spacing w:after="60"/>
              <w:jc w:val="center"/>
              <w:rPr>
                <w:rFonts w:ascii="宋体" w:hAnsi="宋体"/>
                <w:szCs w:val="21"/>
              </w:rPr>
            </w:pPr>
            <w:r>
              <w:rPr>
                <w:rFonts w:hint="eastAsia" w:ascii="宋体" w:hAnsi="宋体"/>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二</w:t>
            </w:r>
          </w:p>
        </w:tc>
        <w:tc>
          <w:tcPr>
            <w:tcW w:w="2559" w:type="dxa"/>
            <w:vAlign w:val="center"/>
          </w:tcPr>
          <w:p>
            <w:pPr>
              <w:spacing w:after="60"/>
              <w:jc w:val="left"/>
              <w:rPr>
                <w:rFonts w:ascii="宋体" w:hAnsi="宋体"/>
                <w:b/>
                <w:szCs w:val="21"/>
              </w:rPr>
            </w:pPr>
            <w:r>
              <w:rPr>
                <w:rFonts w:hint="eastAsia" w:ascii="宋体" w:hAnsi="宋体"/>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2" w:hangingChars="300"/>
        <w:rPr>
          <w:b/>
          <w:bCs/>
        </w:rPr>
      </w:pPr>
    </w:p>
    <w:p>
      <w:pPr>
        <w:ind w:left="632" w:hanging="632" w:hangingChars="300"/>
        <w:rPr>
          <w:b/>
          <w:bCs/>
        </w:rPr>
      </w:pPr>
    </w:p>
    <w:p>
      <w:pPr>
        <w:ind w:left="632" w:hanging="632" w:hangingChars="300"/>
        <w:rPr>
          <w:b/>
          <w:bCs/>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四、中小企业声明函等符合政府采购优惠政策的证明材料</w:t>
      </w:r>
    </w:p>
    <w:p>
      <w:pPr>
        <w:jc w:val="left"/>
        <w:outlineLvl w:val="3"/>
        <w:rPr>
          <w:rFonts w:ascii="黑体" w:hAnsi="宋体" w:eastAsia="黑体"/>
          <w:bCs/>
          <w:kern w:val="0"/>
          <w:sz w:val="24"/>
          <w:szCs w:val="32"/>
        </w:rPr>
      </w:pPr>
    </w:p>
    <w:p>
      <w:pPr>
        <w:spacing w:line="360" w:lineRule="exact"/>
        <w:rPr>
          <w:rFonts w:ascii="Times New Roman" w:hAnsi="Times New Roman"/>
          <w:b/>
          <w:bCs/>
          <w:szCs w:val="24"/>
        </w:rPr>
      </w:pPr>
      <w:r>
        <w:rPr>
          <w:rFonts w:hint="eastAsia" w:ascii="黑体" w:hAnsi="宋体" w:eastAsia="黑体"/>
          <w:bCs/>
          <w:kern w:val="0"/>
          <w:sz w:val="24"/>
          <w:szCs w:val="32"/>
        </w:rPr>
        <w:t>备注：该部分内容由供应商根据自身情况提供相关内容，不符合要求的供应商可以不提供。</w:t>
      </w:r>
    </w:p>
    <w:p>
      <w:pPr>
        <w:jc w:val="center"/>
        <w:outlineLvl w:val="3"/>
        <w:rPr>
          <w:rFonts w:ascii="黑体" w:hAnsi="宋体" w:eastAsia="黑体"/>
          <w:bCs/>
          <w:kern w:val="0"/>
          <w:sz w:val="24"/>
          <w:szCs w:val="32"/>
        </w:rPr>
      </w:pPr>
    </w:p>
    <w:p>
      <w:pPr>
        <w:spacing w:after="60"/>
        <w:jc w:val="center"/>
        <w:outlineLvl w:val="3"/>
        <w:rPr>
          <w:b/>
          <w:sz w:val="24"/>
        </w:rPr>
      </w:pPr>
      <w:r>
        <w:rPr>
          <w:rFonts w:hint="eastAsia"/>
          <w:b/>
          <w:sz w:val="24"/>
        </w:rPr>
        <w:t>1、中小企业声明函</w:t>
      </w:r>
    </w:p>
    <w:p>
      <w:pPr>
        <w:pStyle w:val="19"/>
        <w:spacing w:line="360" w:lineRule="exact"/>
        <w:ind w:firstLine="412"/>
        <w:rPr>
          <w:rFonts w:asciiTheme="minorEastAsia" w:hAnsiTheme="minorEastAsia" w:eastAsiaTheme="minorEastAsia"/>
          <w:b w:val="0"/>
          <w:sz w:val="21"/>
          <w:szCs w:val="21"/>
        </w:rPr>
      </w:pPr>
      <w:r>
        <w:rPr>
          <w:rFonts w:asciiTheme="minorEastAsia" w:hAnsiTheme="minorEastAsia" w:eastAsiaTheme="minorEastAsia"/>
          <w:b w:val="0"/>
          <w:sz w:val="21"/>
          <w:szCs w:val="21"/>
        </w:rPr>
        <w:t>本公司（联合体）郑重声明，根据《政府采购促进中小企业发展管理办法》（财库</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2020</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46 号）的规定，本公司（联合体）参加</w:t>
      </w:r>
      <w:r>
        <w:rPr>
          <w:rFonts w:asciiTheme="minorEastAsia" w:hAnsiTheme="minorEastAsia" w:eastAsiaTheme="minorEastAsia"/>
          <w:b w:val="0"/>
          <w:sz w:val="21"/>
          <w:szCs w:val="21"/>
          <w:u w:val="single"/>
        </w:rPr>
        <w:t>（单位名称）</w:t>
      </w:r>
      <w:r>
        <w:rPr>
          <w:rFonts w:asciiTheme="minorEastAsia" w:hAnsiTheme="minorEastAsia" w:eastAsiaTheme="minorEastAsia"/>
          <w:b w:val="0"/>
          <w:sz w:val="21"/>
          <w:szCs w:val="21"/>
        </w:rPr>
        <w:t>的</w:t>
      </w:r>
      <w:r>
        <w:rPr>
          <w:rFonts w:asciiTheme="minorEastAsia" w:hAnsiTheme="minorEastAsia" w:eastAsiaTheme="minorEastAsia"/>
          <w:b w:val="0"/>
          <w:sz w:val="21"/>
          <w:szCs w:val="21"/>
          <w:u w:val="single"/>
        </w:rPr>
        <w:t>（项目名称）</w:t>
      </w:r>
      <w:r>
        <w:rPr>
          <w:rFonts w:asciiTheme="minorEastAsia" w:hAnsiTheme="minorEastAsia" w:eastAsiaTheme="minorEastAsia"/>
          <w:b w:val="0"/>
          <w:sz w:val="21"/>
          <w:szCs w:val="21"/>
        </w:rPr>
        <w:t>采购活动，</w:t>
      </w:r>
      <w:r>
        <w:rPr>
          <w:rFonts w:hint="eastAsia" w:asciiTheme="minorEastAsia" w:hAnsiTheme="minorEastAsia" w:eastAsiaTheme="minorEastAsia"/>
          <w:b w:val="0"/>
          <w:sz w:val="21"/>
          <w:szCs w:val="21"/>
        </w:rPr>
        <w:t>服务全部由符合政策要求的中小企业承接</w:t>
      </w:r>
      <w:r>
        <w:rPr>
          <w:rFonts w:asciiTheme="minorEastAsia" w:hAnsiTheme="minorEastAsia" w:eastAsiaTheme="minorEastAsia"/>
          <w:b w:val="0"/>
          <w:sz w:val="21"/>
          <w:szCs w:val="21"/>
        </w:rPr>
        <w:t>。相关企业（含联合体中的中小企业、签订分包意向协议的中小企业）的具体情况如下：</w:t>
      </w:r>
    </w:p>
    <w:p>
      <w:pPr>
        <w:pStyle w:val="19"/>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1.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9"/>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2.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9"/>
        <w:spacing w:before="11" w:line="360" w:lineRule="exact"/>
        <w:ind w:firstLine="424" w:firstLineChars="202"/>
        <w:rPr>
          <w:rFonts w:asciiTheme="minorEastAsia" w:hAnsiTheme="minorEastAsia" w:eastAsiaTheme="minorEastAsia"/>
          <w:b w:val="0"/>
          <w:sz w:val="21"/>
          <w:szCs w:val="21"/>
        </w:rPr>
      </w:pPr>
      <w:r>
        <w:rPr>
          <w:rFonts w:asciiTheme="minorEastAsia" w:hAnsiTheme="minorEastAsia" w:eastAsiaTheme="minorEastAsia"/>
          <w:b w:val="0"/>
          <w:sz w:val="21"/>
          <w:szCs w:val="21"/>
        </w:rPr>
        <w:t>……</w:t>
      </w:r>
    </w:p>
    <w:p>
      <w:pPr>
        <w:pStyle w:val="19"/>
        <w:spacing w:before="108" w:line="360" w:lineRule="exact"/>
        <w:ind w:firstLine="408"/>
        <w:rPr>
          <w:rFonts w:asciiTheme="minorEastAsia" w:hAnsiTheme="minorEastAsia" w:eastAsiaTheme="minorEastAsia"/>
          <w:b w:val="0"/>
          <w:sz w:val="21"/>
          <w:szCs w:val="21"/>
        </w:rPr>
      </w:pPr>
      <w:r>
        <w:rPr>
          <w:rFonts w:asciiTheme="minorEastAsia" w:hAnsiTheme="minorEastAsia" w:eastAsiaTheme="minorEastAsia"/>
          <w:b w:val="0"/>
          <w:sz w:val="21"/>
          <w:szCs w:val="21"/>
        </w:rPr>
        <w:t>以上企业，不属于大企业的分支机构，不存在控股股东为大企业的情形，也不存在与大企业的负责人为同一人的情形。</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0" w:firstLineChars="200"/>
        <w:rPr>
          <w:rFonts w:ascii="宋体" w:hAnsi="宋体"/>
          <w:szCs w:val="21"/>
        </w:rPr>
      </w:pPr>
      <w:r>
        <w:rPr>
          <w:rFonts w:hint="eastAsia" w:ascii="宋体" w:hAnsi="宋体"/>
          <w:szCs w:val="21"/>
        </w:rPr>
        <w:t>备注：</w:t>
      </w:r>
    </w:p>
    <w:p>
      <w:pPr>
        <w:spacing w:line="360" w:lineRule="exact"/>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exact"/>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hint="eastAsia" w:ascii="宋体" w:hAnsi="宋体"/>
          <w:szCs w:val="21"/>
        </w:rPr>
        <w:t>本单位郑重声明，根据《关于政府采购支持监狱企业发展有关问题的通知》（财库〔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645"/>
        <w:rPr>
          <w:rFonts w:ascii="宋体"/>
          <w:b/>
          <w:szCs w:val="21"/>
        </w:rPr>
      </w:pPr>
      <w:r>
        <w:rPr>
          <w:rFonts w:hint="eastAsia" w:ascii="宋体" w:hAnsi="宋体"/>
          <w:szCs w:val="21"/>
        </w:rPr>
        <w:t xml:space="preserve">                                    </w:t>
      </w:r>
    </w:p>
    <w:p>
      <w:pPr>
        <w:spacing w:after="60" w:line="360" w:lineRule="exact"/>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ind w:left="723" w:hanging="723" w:hangingChars="300"/>
        <w:rPr>
          <w:b/>
          <w:sz w:val="24"/>
        </w:rPr>
      </w:pPr>
    </w:p>
    <w:p>
      <w:pPr>
        <w:spacing w:line="360" w:lineRule="exact"/>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hint="eastAsia" w:ascii="宋体" w:hAnsi="宋体"/>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after="60" w:line="360" w:lineRule="exact"/>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4" w:firstLineChars="202"/>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pPr>
        <w:rPr>
          <w:rFonts w:ascii="仿宋_GB2312" w:eastAsia="仿宋_GB2312"/>
          <w:b/>
          <w:color w:val="FF0000"/>
          <w:sz w:val="30"/>
          <w:szCs w:val="30"/>
        </w:rPr>
      </w:pPr>
      <w:r>
        <w:rPr>
          <w:rFonts w:hint="eastAsia" w:ascii="仿宋_GB2312" w:eastAsia="仿宋_GB2312"/>
          <w:b/>
          <w:color w:val="FF0000"/>
          <w:sz w:val="30"/>
          <w:szCs w:val="30"/>
        </w:rPr>
        <w:t>投标文件附件（信息不公开部分）：</w:t>
      </w:r>
    </w:p>
    <w:p>
      <w:pPr>
        <w:rPr>
          <w:rFonts w:ascii="仿宋_GB2312" w:eastAsia="仿宋_GB2312"/>
          <w:b/>
          <w:sz w:val="30"/>
          <w:szCs w:val="30"/>
        </w:rPr>
      </w:pP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五、法定代表人（负责人）资格证明书</w:t>
      </w:r>
    </w:p>
    <w:p>
      <w:pPr>
        <w:rPr>
          <w:rFonts w:ascii="Times New Roman" w:hAnsi="Times New Roman"/>
          <w:sz w:val="24"/>
          <w:szCs w:val="24"/>
        </w:rPr>
      </w:pP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szCs w:val="21"/>
          <w:u w:val="single"/>
        </w:rPr>
        <w:t xml:space="preserve">         </w:t>
      </w:r>
      <w:r>
        <w:rPr>
          <w:rFonts w:hint="eastAsia" w:ascii="Times New Roman" w:hAnsi="Times New Roman"/>
          <w:szCs w:val="21"/>
        </w:rPr>
        <w:t>同志，现任我单位</w:t>
      </w:r>
      <w:r>
        <w:rPr>
          <w:rFonts w:hint="eastAsia" w:ascii="Times New Roman" w:hAnsi="Times New Roman"/>
          <w:szCs w:val="21"/>
          <w:u w:val="single"/>
        </w:rPr>
        <w:t xml:space="preserve">         </w:t>
      </w:r>
      <w:r>
        <w:rPr>
          <w:rFonts w:hint="eastAsia" w:ascii="Times New Roman" w:hAnsi="Times New Roman"/>
          <w:szCs w:val="21"/>
        </w:rPr>
        <w:t>职务，为法定代表人</w:t>
      </w:r>
      <w:r>
        <w:rPr>
          <w:rFonts w:hint="eastAsia" w:ascii="黑体" w:hAnsi="Times New Roman" w:eastAsia="黑体"/>
          <w:b/>
          <w:kern w:val="0"/>
          <w:sz w:val="24"/>
          <w:szCs w:val="24"/>
        </w:rPr>
        <w:t>（负责人）</w:t>
      </w:r>
      <w:r>
        <w:rPr>
          <w:rFonts w:hint="eastAsia" w:ascii="Times New Roman" w:hAnsi="Times New Roman"/>
          <w:szCs w:val="21"/>
        </w:rPr>
        <w:t>，特此证明。</w:t>
      </w:r>
    </w:p>
    <w:p>
      <w:pPr>
        <w:spacing w:line="360" w:lineRule="auto"/>
        <w:rPr>
          <w:rFonts w:ascii="Times New Roman" w:hAnsi="Times New Roman"/>
          <w:szCs w:val="21"/>
        </w:rPr>
      </w:pPr>
      <w:r>
        <w:rPr>
          <w:rFonts w:hint="eastAsia" w:ascii="Times New Roman" w:hAnsi="Times New Roman"/>
          <w:szCs w:val="21"/>
        </w:rPr>
        <w:t>说明：1、法定代表人为企业事业单位、国家机关、社会团体的主要负责人。</w:t>
      </w:r>
    </w:p>
    <w:p>
      <w:pPr>
        <w:rPr>
          <w:rFonts w:ascii="Times New Roman" w:hAnsi="Times New Roman"/>
          <w:szCs w:val="21"/>
        </w:rPr>
      </w:pPr>
      <w:r>
        <w:rPr>
          <w:rFonts w:hint="eastAsia" w:ascii="Times New Roman" w:hAnsi="Times New Roman"/>
          <w:szCs w:val="21"/>
        </w:rPr>
        <w:t xml:space="preserve">      2、内容必须填写真实、清楚，涂改无效，不得转让、买卖。</w:t>
      </w:r>
    </w:p>
    <w:p>
      <w:pPr>
        <w:spacing w:line="360" w:lineRule="auto"/>
        <w:rPr>
          <w:rFonts w:ascii="Times New Roman" w:hAnsi="Times New Roman"/>
          <w:b/>
          <w:szCs w:val="21"/>
        </w:rPr>
      </w:pPr>
    </w:p>
    <w:p>
      <w:pPr>
        <w:spacing w:line="360" w:lineRule="auto"/>
        <w:rPr>
          <w:rFonts w:ascii="Times New Roman" w:hAnsi="Times New Roman"/>
          <w:b/>
          <w:sz w:val="24"/>
          <w:szCs w:val="24"/>
        </w:rPr>
      </w:pPr>
      <w:r>
        <w:rPr>
          <w:rFonts w:hint="eastAsia" w:ascii="Times New Roman" w:hAnsi="Times New Roman"/>
          <w:b/>
          <w:sz w:val="24"/>
          <w:szCs w:val="24"/>
        </w:rPr>
        <w:t>附：要求必须提供法定代表人（负责人）身份证扫描件（正反两面）。</w:t>
      </w:r>
    </w:p>
    <w:p>
      <w:pPr>
        <w:spacing w:line="360" w:lineRule="auto"/>
        <w:rPr>
          <w:rFonts w:ascii="Times New Roman" w:hAnsi="Times New Roman"/>
          <w:b/>
          <w:sz w:val="24"/>
          <w:szCs w:val="24"/>
        </w:rPr>
      </w:pPr>
    </w:p>
    <w:p>
      <w:pPr>
        <w:keepNext/>
        <w:keepLines/>
        <w:spacing w:before="260" w:after="260"/>
        <w:jc w:val="center"/>
        <w:outlineLvl w:val="2"/>
        <w:rPr>
          <w:rFonts w:ascii="黑体" w:hAnsi="宋体" w:eastAsia="黑体"/>
          <w:bCs/>
          <w:sz w:val="24"/>
          <w:szCs w:val="24"/>
        </w:rPr>
      </w:pPr>
      <w:r>
        <w:rPr>
          <w:rFonts w:ascii="宋体" w:hAnsi="宋体"/>
          <w:b/>
          <w:bCs/>
          <w:sz w:val="28"/>
          <w:szCs w:val="32"/>
        </w:rPr>
        <w:tab/>
      </w:r>
      <w:r>
        <w:rPr>
          <w:rFonts w:hint="eastAsia" w:ascii="黑体" w:hAnsi="宋体" w:eastAsia="黑体"/>
          <w:bCs/>
          <w:kern w:val="0"/>
          <w:sz w:val="24"/>
          <w:szCs w:val="24"/>
        </w:rPr>
        <w:t>六、投标文件签署授权委托书</w:t>
      </w:r>
    </w:p>
    <w:p>
      <w:pPr>
        <w:spacing w:line="360" w:lineRule="auto"/>
        <w:ind w:firstLine="420" w:firstLineChars="200"/>
        <w:rPr>
          <w:rFonts w:ascii="Times New Roman" w:hAnsi="Times New Roman"/>
          <w:szCs w:val="21"/>
        </w:rPr>
      </w:pPr>
      <w:r>
        <w:rPr>
          <w:rFonts w:hint="eastAsia" w:ascii="Times New Roman" w:hAnsi="Times New Roman"/>
          <w:szCs w:val="21"/>
        </w:rPr>
        <w:t>本授权委托书声明：我</w:t>
      </w:r>
      <w:r>
        <w:rPr>
          <w:rFonts w:hint="eastAsia" w:ascii="Times New Roman" w:hAnsi="Times New Roman"/>
          <w:szCs w:val="21"/>
          <w:u w:val="single"/>
        </w:rPr>
        <w:t xml:space="preserve">           </w:t>
      </w:r>
      <w:r>
        <w:rPr>
          <w:rFonts w:hint="eastAsia" w:ascii="Times New Roman" w:hAnsi="Times New Roman"/>
          <w:szCs w:val="21"/>
        </w:rPr>
        <w:t>（姓名）系</w:t>
      </w:r>
      <w:r>
        <w:rPr>
          <w:rFonts w:hint="eastAsia" w:ascii="Times New Roman" w:hAnsi="Times New Roman"/>
          <w:szCs w:val="21"/>
          <w:u w:val="single"/>
        </w:rPr>
        <w:t xml:space="preserve">             </w:t>
      </w:r>
      <w:r>
        <w:rPr>
          <w:rFonts w:hint="eastAsia" w:ascii="Times New Roman" w:hAnsi="Times New Roman"/>
          <w:szCs w:val="21"/>
        </w:rPr>
        <w:t>（投标供应商名称）的法定代表人</w:t>
      </w:r>
      <w:r>
        <w:rPr>
          <w:rFonts w:hint="eastAsia" w:ascii="黑体" w:hAnsi="Times New Roman" w:eastAsia="黑体"/>
          <w:b/>
          <w:kern w:val="0"/>
          <w:sz w:val="24"/>
          <w:szCs w:val="24"/>
        </w:rPr>
        <w:t>（负责人）</w:t>
      </w:r>
      <w:r>
        <w:rPr>
          <w:rFonts w:hint="eastAsia" w:ascii="Times New Roman" w:hAnsi="Times New Roman"/>
          <w:szCs w:val="21"/>
        </w:rPr>
        <w:t>，现授权委托</w:t>
      </w:r>
      <w:r>
        <w:rPr>
          <w:rFonts w:hint="eastAsia" w:ascii="Times New Roman" w:hAnsi="Times New Roman"/>
          <w:szCs w:val="21"/>
          <w:u w:val="single"/>
        </w:rPr>
        <w:t xml:space="preserve">            </w:t>
      </w:r>
      <w:r>
        <w:rPr>
          <w:rFonts w:hint="eastAsia" w:ascii="Times New Roman" w:hAnsi="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rFonts w:ascii="Times New Roman" w:hAnsi="Times New Roman"/>
          <w:szCs w:val="21"/>
        </w:rPr>
      </w:pPr>
      <w:r>
        <w:rPr>
          <w:rFonts w:hint="eastAsia" w:ascii="Times New Roman" w:hAnsi="Times New Roman"/>
          <w:szCs w:val="21"/>
        </w:rPr>
        <w:t>代理人无转委托权，特此委托。</w:t>
      </w:r>
    </w:p>
    <w:p>
      <w:pPr>
        <w:spacing w:line="360" w:lineRule="auto"/>
        <w:ind w:firstLine="420"/>
        <w:rPr>
          <w:rFonts w:ascii="Times New Roman" w:hAnsi="Times New Roman"/>
          <w:szCs w:val="21"/>
        </w:rPr>
      </w:pPr>
    </w:p>
    <w:p>
      <w:pPr>
        <w:spacing w:line="360" w:lineRule="auto"/>
        <w:ind w:left="540" w:leftChars="257"/>
        <w:rPr>
          <w:rFonts w:ascii="Times New Roman" w:hAnsi="Times New Roman"/>
          <w:szCs w:val="21"/>
          <w:u w:val="single"/>
        </w:rPr>
      </w:pPr>
      <w:r>
        <w:rPr>
          <w:rFonts w:hint="eastAsia" w:ascii="Times New Roman" w:hAnsi="Times New Roman"/>
          <w:szCs w:val="21"/>
        </w:rPr>
        <w:t>代理人：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联系电话：</w:t>
      </w:r>
      <w:r>
        <w:rPr>
          <w:rFonts w:hint="eastAsia" w:ascii="Times New Roman" w:hAnsi="Times New Roman"/>
          <w:szCs w:val="21"/>
          <w:u w:val="single"/>
        </w:rPr>
        <w:t xml:space="preserve">            </w:t>
      </w:r>
      <w:r>
        <w:rPr>
          <w:rFonts w:hint="eastAsia" w:ascii="Times New Roman" w:hAnsi="Times New Roman"/>
          <w:szCs w:val="21"/>
        </w:rPr>
        <w:t xml:space="preserve">  手机：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u w:val="single"/>
        </w:rPr>
      </w:pPr>
      <w:r>
        <w:rPr>
          <w:rFonts w:hint="eastAsia" w:ascii="Times New Roman" w:hAnsi="Times New Roman"/>
          <w:szCs w:val="21"/>
        </w:rPr>
        <w:t>身份证号码：</w:t>
      </w:r>
      <w:r>
        <w:rPr>
          <w:rFonts w:hint="eastAsia" w:ascii="Times New Roman" w:hAnsi="Times New Roman"/>
          <w:szCs w:val="21"/>
          <w:u w:val="single"/>
        </w:rPr>
        <w:t xml:space="preserve">                        </w:t>
      </w:r>
      <w:r>
        <w:rPr>
          <w:rFonts w:hint="eastAsia" w:ascii="Times New Roman" w:hAnsi="Times New Roman"/>
          <w:szCs w:val="21"/>
        </w:rPr>
        <w:t>职务：</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授权委托日期：</w:t>
      </w:r>
      <w:r>
        <w:rPr>
          <w:rFonts w:hint="eastAsia" w:ascii="Times New Roman" w:hAnsi="Times New Roman"/>
          <w:szCs w:val="21"/>
          <w:u w:val="single"/>
        </w:rPr>
        <w:t xml:space="preserve">         </w:t>
      </w:r>
      <w:r>
        <w:rPr>
          <w:rFonts w:hint="eastAsia" w:ascii="Times New Roman" w:hAnsi="Times New Roman"/>
          <w:szCs w:val="21"/>
        </w:rPr>
        <w:t>年</w:t>
      </w:r>
      <w:r>
        <w:rPr>
          <w:rFonts w:hint="eastAsia" w:ascii="Times New Roman" w:hAnsi="Times New Roman"/>
          <w:szCs w:val="21"/>
          <w:u w:val="single"/>
        </w:rPr>
        <w:t xml:space="preserve">     </w:t>
      </w:r>
      <w:r>
        <w:rPr>
          <w:rFonts w:hint="eastAsia" w:ascii="Times New Roman" w:hAnsi="Times New Roman"/>
          <w:szCs w:val="21"/>
        </w:rPr>
        <w:t xml:space="preserve">月 </w:t>
      </w:r>
      <w:r>
        <w:rPr>
          <w:rFonts w:hint="eastAsia" w:ascii="Times New Roman" w:hAnsi="Times New Roman"/>
          <w:szCs w:val="21"/>
          <w:u w:val="single"/>
        </w:rPr>
        <w:t xml:space="preserve">      </w:t>
      </w:r>
      <w:r>
        <w:rPr>
          <w:rFonts w:hint="eastAsia" w:ascii="Times New Roman" w:hAnsi="Times New Roman"/>
          <w:szCs w:val="21"/>
        </w:rPr>
        <w:t>日</w:t>
      </w:r>
    </w:p>
    <w:p>
      <w:pPr>
        <w:spacing w:line="360" w:lineRule="auto"/>
        <w:ind w:left="540" w:leftChars="257"/>
        <w:rPr>
          <w:rFonts w:ascii="Times New Roman" w:hAnsi="Times New Roman"/>
          <w:szCs w:val="21"/>
          <w:u w:val="single"/>
        </w:rPr>
      </w:pPr>
    </w:p>
    <w:p>
      <w:pPr>
        <w:spacing w:line="360" w:lineRule="auto"/>
        <w:rPr>
          <w:rFonts w:ascii="Times New Roman" w:hAnsi="Times New Roman"/>
          <w:b/>
          <w:sz w:val="24"/>
          <w:szCs w:val="24"/>
        </w:rPr>
      </w:pPr>
      <w:r>
        <w:rPr>
          <w:rFonts w:hint="eastAsia" w:ascii="Times New Roman" w:hAnsi="Times New Roman"/>
          <w:b/>
          <w:sz w:val="24"/>
          <w:szCs w:val="24"/>
        </w:rPr>
        <w:t>附：要求必须提供代理人身份证扫描件（正反两面）。</w:t>
      </w:r>
    </w:p>
    <w:p>
      <w:pPr>
        <w:spacing w:line="360" w:lineRule="auto"/>
        <w:rPr>
          <w:rFonts w:ascii="黑体" w:eastAsia="黑体"/>
          <w:b/>
          <w:sz w:val="24"/>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七、实质性条款响应情况表</w:t>
      </w:r>
    </w:p>
    <w:tbl>
      <w:tblPr>
        <w:tblStyle w:val="4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9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4790"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3685"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4790" w:type="dxa"/>
          </w:tcPr>
          <w:p>
            <w:pPr>
              <w:adjustRightInd w:val="0"/>
              <w:snapToGrid w:val="0"/>
              <w:spacing w:line="360" w:lineRule="auto"/>
              <w:rPr>
                <w:rFonts w:ascii="Times New Roman" w:hAnsi="宋体"/>
                <w:kern w:val="0"/>
                <w:szCs w:val="21"/>
              </w:rPr>
            </w:pPr>
          </w:p>
        </w:tc>
        <w:tc>
          <w:tcPr>
            <w:tcW w:w="3685"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4790" w:type="dxa"/>
          </w:tcPr>
          <w:p>
            <w:pPr>
              <w:adjustRightInd w:val="0"/>
              <w:snapToGrid w:val="0"/>
              <w:spacing w:line="360" w:lineRule="auto"/>
              <w:rPr>
                <w:rFonts w:ascii="Times New Roman" w:hAnsi="宋体"/>
                <w:kern w:val="0"/>
                <w:szCs w:val="21"/>
              </w:rPr>
            </w:pPr>
          </w:p>
        </w:tc>
        <w:tc>
          <w:tcPr>
            <w:tcW w:w="3685"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w:t>
            </w:r>
          </w:p>
        </w:tc>
        <w:tc>
          <w:tcPr>
            <w:tcW w:w="4790" w:type="dxa"/>
          </w:tcPr>
          <w:p>
            <w:pPr>
              <w:adjustRightInd w:val="0"/>
              <w:snapToGrid w:val="0"/>
              <w:spacing w:line="360" w:lineRule="auto"/>
              <w:rPr>
                <w:rFonts w:ascii="宋体" w:hAnsi="宋体"/>
                <w:kern w:val="0"/>
                <w:szCs w:val="21"/>
              </w:rPr>
            </w:pPr>
          </w:p>
        </w:tc>
        <w:tc>
          <w:tcPr>
            <w:tcW w:w="3685" w:type="dxa"/>
          </w:tcPr>
          <w:p>
            <w:pPr>
              <w:adjustRightInd w:val="0"/>
              <w:snapToGrid w:val="0"/>
              <w:spacing w:line="360" w:lineRule="auto"/>
              <w:rPr>
                <w:rFonts w:ascii="宋体" w:hAnsi="宋体"/>
                <w:kern w:val="0"/>
                <w:szCs w:val="21"/>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w:t>
      </w:r>
      <w:r>
        <w:rPr>
          <w:rFonts w:hint="eastAsia" w:ascii="宋体" w:hAnsi="宋体"/>
          <w:kern w:val="0"/>
          <w:szCs w:val="21"/>
        </w:rPr>
        <w:t>采购人要求内容</w:t>
      </w:r>
      <w:r>
        <w:rPr>
          <w:rFonts w:hint="eastAsia" w:asciiTheme="minorEastAsia" w:hAnsiTheme="minorEastAsia" w:eastAsiaTheme="minorEastAsia"/>
          <w:bCs/>
          <w:kern w:val="0"/>
          <w:szCs w:val="21"/>
        </w:rPr>
        <w:t>”为</w:t>
      </w:r>
      <w:r>
        <w:rPr>
          <w:rFonts w:hint="eastAsia" w:asciiTheme="minorEastAsia" w:hAnsiTheme="minorEastAsia" w:eastAsiaTheme="minorEastAsia"/>
          <w:b/>
          <w:bCs/>
          <w:kern w:val="0"/>
          <w:szCs w:val="21"/>
          <w:highlight w:val="yellow"/>
        </w:rPr>
        <w:t>“第一册  专用条款/第二章  招标项目需求”</w:t>
      </w:r>
      <w:r>
        <w:rPr>
          <w:rFonts w:hint="eastAsia" w:asciiTheme="minorEastAsia" w:hAnsiTheme="minorEastAsia" w:eastAsiaTheme="minorEastAsia"/>
          <w:bCs/>
          <w:kern w:val="0"/>
          <w:szCs w:val="21"/>
        </w:rPr>
        <w:t>中的不可负偏离条款，即“实质性条款”。</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2.“投标人响应情况”一栏应如实填写“响应”或“不响应”。</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3.“实质性条款响应情况表”与投标文件其它内容冲突的，以“实质性条款响应情况表”为准。</w:t>
      </w:r>
    </w:p>
    <w:p>
      <w:pPr>
        <w:keepNext/>
        <w:keepLines/>
        <w:tabs>
          <w:tab w:val="left" w:pos="765"/>
        </w:tabs>
        <w:spacing w:line="376" w:lineRule="auto"/>
        <w:outlineLvl w:val="3"/>
        <w:rPr>
          <w:rFonts w:asciiTheme="minorEastAsia" w:hAnsiTheme="minorEastAsia" w:eastAsiaTheme="minorEastAsia"/>
          <w:szCs w:val="21"/>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八、详细分项报价清单</w:t>
      </w:r>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9"/>
        <w:gridCol w:w="2835"/>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28" w:type="dxa"/>
            <w:vAlign w:val="center"/>
          </w:tcPr>
          <w:p>
            <w:pPr>
              <w:adjustRightInd w:val="0"/>
              <w:snapToGrid w:val="0"/>
              <w:spacing w:line="300" w:lineRule="auto"/>
              <w:jc w:val="center"/>
              <w:rPr>
                <w:b/>
                <w:snapToGrid w:val="0"/>
                <w:kern w:val="0"/>
              </w:rPr>
            </w:pPr>
            <w:r>
              <w:rPr>
                <w:b/>
                <w:snapToGrid w:val="0"/>
                <w:kern w:val="0"/>
              </w:rPr>
              <w:t>序号</w:t>
            </w:r>
          </w:p>
        </w:tc>
        <w:tc>
          <w:tcPr>
            <w:tcW w:w="3249"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835"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28" w:type="dxa"/>
            <w:vAlign w:val="center"/>
          </w:tcPr>
          <w:p>
            <w:pPr>
              <w:adjustRightInd w:val="0"/>
              <w:snapToGrid w:val="0"/>
              <w:spacing w:line="300" w:lineRule="auto"/>
              <w:jc w:val="center"/>
              <w:rPr>
                <w:snapToGrid w:val="0"/>
                <w:kern w:val="0"/>
              </w:rPr>
            </w:pPr>
            <w:r>
              <w:rPr>
                <w:snapToGrid w:val="0"/>
                <w:kern w:val="0"/>
              </w:rPr>
              <w:t>1</w:t>
            </w:r>
          </w:p>
        </w:tc>
        <w:tc>
          <w:tcPr>
            <w:tcW w:w="3249" w:type="dxa"/>
            <w:vAlign w:val="center"/>
          </w:tcPr>
          <w:p>
            <w:pPr>
              <w:adjustRightInd w:val="0"/>
              <w:snapToGrid w:val="0"/>
              <w:spacing w:line="300" w:lineRule="auto"/>
              <w:rPr>
                <w:snapToGrid w:val="0"/>
                <w:kern w:val="0"/>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2</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3</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4</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077" w:type="dxa"/>
            <w:gridSpan w:val="2"/>
            <w:vAlign w:val="center"/>
          </w:tcPr>
          <w:p>
            <w:pPr>
              <w:adjustRightInd w:val="0"/>
              <w:snapToGrid w:val="0"/>
              <w:spacing w:line="300" w:lineRule="auto"/>
              <w:jc w:val="center"/>
              <w:rPr>
                <w:snapToGrid w:val="0"/>
                <w:kern w:val="0"/>
              </w:rPr>
            </w:pPr>
            <w:r>
              <w:rPr>
                <w:snapToGrid w:val="0"/>
                <w:kern w:val="0"/>
              </w:rPr>
              <w:t>合   计</w:t>
            </w:r>
            <w:r>
              <w:rPr>
                <w:rFonts w:hint="eastAsia"/>
                <w:snapToGrid w:val="0"/>
                <w:kern w:val="0"/>
              </w:rPr>
              <w:t>（</w:t>
            </w:r>
            <w:r>
              <w:rPr>
                <w:rFonts w:hint="eastAsia" w:ascii="宋体" w:hAnsi="宋体"/>
                <w:szCs w:val="21"/>
              </w:rPr>
              <w:t>即投标总价</w:t>
            </w:r>
            <w:r>
              <w:rPr>
                <w:rFonts w:hint="eastAsia"/>
                <w:snapToGrid w:val="0"/>
                <w:kern w:val="0"/>
              </w:rPr>
              <w:t>）</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注：1、本表格仅为指导性范本，供应商可根据项目具体情况对各分项内容进行调整。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2、投标总价应为以上各分项价格之和。</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3、开标一览表的投标总价必须与以上分项报价清单的投标总价一致。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tabs>
          <w:tab w:val="left" w:pos="765"/>
        </w:tabs>
        <w:spacing w:line="376" w:lineRule="auto"/>
        <w:outlineLvl w:val="3"/>
        <w:rPr>
          <w:rFonts w:asciiTheme="minorEastAsia" w:hAnsiTheme="minorEastAsia" w:eastAsiaTheme="minorEastAsia"/>
          <w:bCs/>
          <w:kern w:val="0"/>
          <w:szCs w:val="21"/>
        </w:rPr>
      </w:pPr>
    </w:p>
    <w:p>
      <w:pPr>
        <w:spacing w:afterLines="50"/>
        <w:jc w:val="center"/>
        <w:rPr>
          <w:rFonts w:ascii="黑体" w:hAnsi="宋体" w:eastAsia="黑体"/>
          <w:bCs/>
          <w:kern w:val="0"/>
          <w:sz w:val="24"/>
          <w:szCs w:val="24"/>
        </w:rPr>
      </w:pPr>
      <w:r>
        <w:rPr>
          <w:rFonts w:hint="eastAsia" w:ascii="黑体" w:hAnsi="宋体" w:eastAsia="黑体"/>
          <w:bCs/>
          <w:kern w:val="0"/>
          <w:sz w:val="24"/>
          <w:szCs w:val="24"/>
        </w:rPr>
        <w:t>九、服务要求偏离表</w:t>
      </w:r>
    </w:p>
    <w:tbl>
      <w:tblPr>
        <w:tblStyle w:val="4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1985"/>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vAlign w:val="center"/>
          </w:tcPr>
          <w:p>
            <w:pPr>
              <w:jc w:val="center"/>
              <w:rPr>
                <w:rFonts w:ascii="宋体" w:hAnsi="宋体"/>
                <w:szCs w:val="21"/>
              </w:rPr>
            </w:pPr>
            <w:r>
              <w:rPr>
                <w:rFonts w:hint="eastAsia" w:ascii="宋体" w:hAnsi="宋体"/>
                <w:szCs w:val="21"/>
              </w:rPr>
              <w:t>序号</w:t>
            </w:r>
          </w:p>
        </w:tc>
        <w:tc>
          <w:tcPr>
            <w:tcW w:w="2551" w:type="dxa"/>
            <w:vAlign w:val="center"/>
          </w:tcPr>
          <w:p>
            <w:pPr>
              <w:jc w:val="center"/>
              <w:rPr>
                <w:rFonts w:ascii="宋体" w:hAnsi="宋体"/>
                <w:szCs w:val="21"/>
              </w:rPr>
            </w:pPr>
            <w:r>
              <w:rPr>
                <w:rFonts w:hint="eastAsia" w:ascii="宋体" w:hAnsi="宋体"/>
                <w:szCs w:val="21"/>
              </w:rPr>
              <w:t>招标文件服务要求</w:t>
            </w:r>
          </w:p>
        </w:tc>
        <w:tc>
          <w:tcPr>
            <w:tcW w:w="1985" w:type="dxa"/>
            <w:vAlign w:val="center"/>
          </w:tcPr>
          <w:p>
            <w:pPr>
              <w:jc w:val="center"/>
              <w:rPr>
                <w:rFonts w:ascii="宋体" w:hAnsi="宋体"/>
                <w:szCs w:val="21"/>
              </w:rPr>
            </w:pPr>
            <w:r>
              <w:rPr>
                <w:rFonts w:hint="eastAsia" w:ascii="宋体" w:hAnsi="宋体"/>
                <w:szCs w:val="21"/>
              </w:rPr>
              <w:t>投标文件服务响应</w:t>
            </w:r>
          </w:p>
        </w:tc>
        <w:tc>
          <w:tcPr>
            <w:tcW w:w="1276" w:type="dxa"/>
            <w:vAlign w:val="center"/>
          </w:tcPr>
          <w:p>
            <w:pPr>
              <w:jc w:val="center"/>
              <w:rPr>
                <w:rFonts w:ascii="宋体" w:hAnsi="宋体"/>
                <w:szCs w:val="21"/>
              </w:rPr>
            </w:pPr>
            <w:r>
              <w:rPr>
                <w:rFonts w:hint="eastAsia" w:ascii="宋体" w:hAnsi="宋体"/>
                <w:szCs w:val="21"/>
              </w:rPr>
              <w:t>偏离情况</w:t>
            </w:r>
          </w:p>
        </w:tc>
        <w:tc>
          <w:tcPr>
            <w:tcW w:w="2551"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rPr>
                <w:sz w:val="24"/>
              </w:rPr>
            </w:pPr>
          </w:p>
        </w:tc>
        <w:tc>
          <w:tcPr>
            <w:tcW w:w="2551" w:type="dxa"/>
          </w:tcPr>
          <w:p>
            <w:pPr>
              <w:rPr>
                <w:sz w:val="24"/>
              </w:rPr>
            </w:pPr>
          </w:p>
        </w:tc>
        <w:tc>
          <w:tcPr>
            <w:tcW w:w="1985" w:type="dxa"/>
          </w:tcPr>
          <w:p>
            <w:pPr>
              <w:rPr>
                <w:sz w:val="24"/>
              </w:rPr>
            </w:pPr>
          </w:p>
        </w:tc>
        <w:tc>
          <w:tcPr>
            <w:tcW w:w="1276" w:type="dxa"/>
          </w:tcPr>
          <w:p>
            <w:pPr>
              <w:rPr>
                <w:sz w:val="24"/>
              </w:rPr>
            </w:pPr>
          </w:p>
        </w:tc>
        <w:tc>
          <w:tcPr>
            <w:tcW w:w="2551" w:type="dxa"/>
          </w:tcPr>
          <w:p>
            <w:pPr>
              <w:rPr>
                <w:szCs w:val="21"/>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rPr>
                <w:sz w:val="24"/>
              </w:rPr>
            </w:pPr>
          </w:p>
        </w:tc>
        <w:tc>
          <w:tcPr>
            <w:tcW w:w="2551" w:type="dxa"/>
          </w:tcPr>
          <w:p>
            <w:pPr>
              <w:rPr>
                <w:sz w:val="24"/>
              </w:rPr>
            </w:pPr>
          </w:p>
        </w:tc>
        <w:tc>
          <w:tcPr>
            <w:tcW w:w="1985" w:type="dxa"/>
          </w:tcPr>
          <w:p>
            <w:pPr>
              <w:rPr>
                <w:sz w:val="24"/>
              </w:rPr>
            </w:pPr>
          </w:p>
        </w:tc>
        <w:tc>
          <w:tcPr>
            <w:tcW w:w="1276" w:type="dxa"/>
          </w:tcPr>
          <w:p>
            <w:pPr>
              <w:rPr>
                <w:sz w:val="24"/>
              </w:rPr>
            </w:pPr>
          </w:p>
        </w:tc>
        <w:tc>
          <w:tcPr>
            <w:tcW w:w="2551" w:type="dxa"/>
          </w:tcPr>
          <w:p>
            <w:pPr>
              <w:rPr>
                <w:sz w:val="24"/>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1</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“招标文件服务要求”一栏填写招标文件第二章“招标项目需求”</w:t>
      </w:r>
      <w:r>
        <w:rPr>
          <w:rFonts w:asciiTheme="minorEastAsia" w:hAnsiTheme="minorEastAsia" w:eastAsiaTheme="minorEastAsia"/>
          <w:b/>
          <w:bCs/>
          <w:kern w:val="0"/>
          <w:szCs w:val="21"/>
          <w:highlight w:val="yellow"/>
        </w:rPr>
        <w:t>“</w:t>
      </w:r>
      <w:r>
        <w:rPr>
          <w:rFonts w:hint="eastAsia" w:asciiTheme="minorEastAsia" w:hAnsiTheme="minorEastAsia" w:eastAsiaTheme="minorEastAsia"/>
          <w:b/>
          <w:bCs/>
          <w:kern w:val="0"/>
          <w:szCs w:val="21"/>
          <w:highlight w:val="yellow"/>
        </w:rPr>
        <w:t>四、项目</w:t>
      </w:r>
      <w:r>
        <w:rPr>
          <w:rFonts w:asciiTheme="minorEastAsia" w:hAnsiTheme="minorEastAsia" w:eastAsiaTheme="minorEastAsia"/>
          <w:b/>
          <w:bCs/>
          <w:kern w:val="0"/>
          <w:szCs w:val="21"/>
          <w:highlight w:val="yellow"/>
        </w:rPr>
        <w:t>服务</w:t>
      </w:r>
      <w:r>
        <w:rPr>
          <w:rFonts w:hint="eastAsia" w:asciiTheme="minorEastAsia" w:hAnsiTheme="minorEastAsia" w:eastAsiaTheme="minorEastAsia"/>
          <w:b/>
          <w:bCs/>
          <w:kern w:val="0"/>
          <w:szCs w:val="21"/>
          <w:highlight w:val="yellow"/>
        </w:rPr>
        <w:t>要求</w:t>
      </w:r>
      <w:r>
        <w:rPr>
          <w:rFonts w:asciiTheme="minorEastAsia" w:hAnsiTheme="minorEastAsia" w:eastAsiaTheme="minorEastAsia"/>
          <w:b/>
          <w:bCs/>
          <w:kern w:val="0"/>
          <w:szCs w:val="21"/>
          <w:highlight w:val="yellow"/>
        </w:rPr>
        <w:t>”</w:t>
      </w:r>
      <w:r>
        <w:rPr>
          <w:rFonts w:asciiTheme="minorEastAsia" w:hAnsiTheme="minorEastAsia" w:eastAsiaTheme="minorEastAsia"/>
          <w:bCs/>
          <w:kern w:val="0"/>
          <w:szCs w:val="21"/>
        </w:rPr>
        <w:t>的内容。</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2</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“投标文件服务</w:t>
      </w:r>
      <w:r>
        <w:rPr>
          <w:rFonts w:hint="eastAsia" w:asciiTheme="minorEastAsia" w:hAnsiTheme="minorEastAsia" w:eastAsiaTheme="minorEastAsia"/>
          <w:bCs/>
          <w:kern w:val="0"/>
          <w:szCs w:val="21"/>
        </w:rPr>
        <w:t>响应</w:t>
      </w:r>
      <w:r>
        <w:rPr>
          <w:rFonts w:asciiTheme="minorEastAsia" w:hAnsiTheme="minorEastAsia" w:eastAsiaTheme="minorEastAsia"/>
          <w:bCs/>
          <w:kern w:val="0"/>
          <w:szCs w:val="21"/>
        </w:rPr>
        <w:t>”一栏详细填写响应情况，并应对照</w:t>
      </w:r>
      <w:r>
        <w:rPr>
          <w:rFonts w:hint="eastAsia" w:asciiTheme="minorEastAsia" w:hAnsiTheme="minorEastAsia" w:eastAsiaTheme="minorEastAsia"/>
          <w:bCs/>
          <w:kern w:val="0"/>
          <w:szCs w:val="21"/>
        </w:rPr>
        <w:t>招</w:t>
      </w:r>
      <w:r>
        <w:rPr>
          <w:rFonts w:asciiTheme="minorEastAsia" w:hAnsiTheme="minorEastAsia" w:eastAsiaTheme="minorEastAsia"/>
          <w:bCs/>
          <w:kern w:val="0"/>
          <w:szCs w:val="21"/>
        </w:rPr>
        <w:t>标文件</w:t>
      </w:r>
      <w:r>
        <w:rPr>
          <w:rFonts w:hint="eastAsia" w:asciiTheme="minorEastAsia" w:hAnsiTheme="minorEastAsia" w:eastAsiaTheme="minorEastAsia"/>
          <w:bCs/>
          <w:kern w:val="0"/>
          <w:szCs w:val="21"/>
        </w:rPr>
        <w:t>服务</w:t>
      </w:r>
      <w:r>
        <w:rPr>
          <w:rFonts w:asciiTheme="minorEastAsia" w:hAnsiTheme="minorEastAsia" w:eastAsiaTheme="minorEastAsia"/>
          <w:bCs/>
          <w:kern w:val="0"/>
          <w:szCs w:val="21"/>
        </w:rPr>
        <w:t>要求一一对应响应。</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3</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“偏离情况”一栏应如实填写“正偏离”、“负偏离”或“无偏离”。</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十、商务要求偏离表</w:t>
      </w:r>
    </w:p>
    <w:tbl>
      <w:tblPr>
        <w:tblStyle w:val="42"/>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551"/>
        <w:gridCol w:w="1344"/>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1" w:type="dxa"/>
            <w:vAlign w:val="center"/>
          </w:tcPr>
          <w:p>
            <w:pPr>
              <w:jc w:val="center"/>
              <w:rPr>
                <w:rFonts w:ascii="宋体" w:hAnsi="宋体"/>
                <w:szCs w:val="21"/>
              </w:rPr>
            </w:pPr>
            <w:r>
              <w:rPr>
                <w:rFonts w:hint="eastAsia" w:ascii="宋体" w:hAnsi="宋体"/>
                <w:szCs w:val="21"/>
              </w:rPr>
              <w:t>序号</w:t>
            </w:r>
          </w:p>
        </w:tc>
        <w:tc>
          <w:tcPr>
            <w:tcW w:w="2410" w:type="dxa"/>
            <w:vAlign w:val="center"/>
          </w:tcPr>
          <w:p>
            <w:pPr>
              <w:jc w:val="center"/>
              <w:rPr>
                <w:rFonts w:ascii="宋体" w:hAnsi="宋体"/>
                <w:szCs w:val="21"/>
              </w:rPr>
            </w:pPr>
            <w:r>
              <w:rPr>
                <w:rFonts w:hint="eastAsia" w:ascii="宋体" w:hAnsi="宋体"/>
                <w:szCs w:val="21"/>
              </w:rPr>
              <w:t>招标文件商务要求</w:t>
            </w:r>
          </w:p>
        </w:tc>
        <w:tc>
          <w:tcPr>
            <w:tcW w:w="2551" w:type="dxa"/>
            <w:vAlign w:val="center"/>
          </w:tcPr>
          <w:p>
            <w:pPr>
              <w:jc w:val="center"/>
              <w:rPr>
                <w:rFonts w:ascii="宋体" w:hAnsi="宋体"/>
                <w:szCs w:val="21"/>
              </w:rPr>
            </w:pPr>
            <w:r>
              <w:rPr>
                <w:rFonts w:hint="eastAsia" w:ascii="宋体" w:hAnsi="宋体"/>
                <w:szCs w:val="21"/>
              </w:rPr>
              <w:t>投标文件商务响应</w:t>
            </w:r>
          </w:p>
        </w:tc>
        <w:tc>
          <w:tcPr>
            <w:tcW w:w="1344" w:type="dxa"/>
            <w:vAlign w:val="center"/>
          </w:tcPr>
          <w:p>
            <w:pPr>
              <w:jc w:val="center"/>
              <w:rPr>
                <w:rFonts w:ascii="宋体" w:hAnsi="宋体"/>
                <w:szCs w:val="21"/>
              </w:rPr>
            </w:pPr>
            <w:r>
              <w:rPr>
                <w:rFonts w:hint="eastAsia" w:ascii="宋体" w:hAnsi="宋体"/>
                <w:szCs w:val="21"/>
              </w:rPr>
              <w:t>偏离情况</w:t>
            </w:r>
          </w:p>
        </w:tc>
        <w:tc>
          <w:tcPr>
            <w:tcW w:w="2008"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1、“招标文件商务服务要求”一栏填写招标文件第二章“招标项目需求”</w:t>
      </w:r>
      <w:r>
        <w:rPr>
          <w:rFonts w:hint="eastAsia" w:asciiTheme="minorEastAsia" w:hAnsiTheme="minorEastAsia" w:eastAsiaTheme="minorEastAsia"/>
          <w:b/>
          <w:bCs/>
          <w:kern w:val="0"/>
          <w:szCs w:val="21"/>
          <w:highlight w:val="yellow"/>
        </w:rPr>
        <w:t>“五、项目商务要求”</w:t>
      </w:r>
      <w:r>
        <w:rPr>
          <w:rFonts w:hint="eastAsia" w:asciiTheme="minorEastAsia" w:hAnsiTheme="minorEastAsia" w:eastAsiaTheme="minorEastAsia"/>
          <w:bCs/>
          <w:kern w:val="0"/>
          <w:szCs w:val="21"/>
        </w:rPr>
        <w:t>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2、“投标文件商务响应”一栏详细填写投标商务条款的内容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3、“偏离情况”栏中应如实填写“正偏离”、“负偏离”或“无偏离”</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十一、实施方案（格式自定）</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w:t>
      </w:r>
    </w:p>
    <w:p>
      <w:pPr>
        <w:spacing w:afterLines="50"/>
        <w:jc w:val="center"/>
        <w:rPr>
          <w:rFonts w:ascii="黑体" w:hAnsi="宋体" w:eastAsia="黑体"/>
          <w:bCs/>
          <w:kern w:val="0"/>
          <w:sz w:val="24"/>
          <w:szCs w:val="24"/>
        </w:rPr>
      </w:pPr>
    </w:p>
    <w:p>
      <w:pPr>
        <w:jc w:val="center"/>
        <w:rPr>
          <w:rFonts w:ascii="黑体" w:hAnsi="宋体" w:eastAsia="黑体"/>
          <w:bCs/>
          <w:kern w:val="0"/>
          <w:sz w:val="24"/>
          <w:szCs w:val="24"/>
        </w:rPr>
      </w:pPr>
    </w:p>
    <w:p>
      <w:pPr>
        <w:jc w:val="center"/>
        <w:rPr>
          <w:rFonts w:ascii="黑体" w:hAnsi="宋体" w:eastAsia="黑体"/>
          <w:bCs/>
          <w:kern w:val="0"/>
          <w:sz w:val="24"/>
          <w:szCs w:val="24"/>
        </w:rPr>
      </w:pPr>
      <w:r>
        <w:rPr>
          <w:rFonts w:hint="eastAsia" w:ascii="黑体" w:hAnsi="宋体" w:eastAsia="黑体"/>
          <w:bCs/>
          <w:kern w:val="0"/>
          <w:sz w:val="24"/>
          <w:szCs w:val="24"/>
          <w:highlight w:val="yellow"/>
        </w:rPr>
        <w:t>十</w:t>
      </w:r>
      <w:r>
        <w:rPr>
          <w:rFonts w:hint="eastAsia" w:ascii="黑体" w:eastAsia="黑体"/>
          <w:bCs/>
          <w:sz w:val="24"/>
          <w:szCs w:val="24"/>
          <w:highlight w:val="yellow"/>
        </w:rPr>
        <w:t>*</w:t>
      </w:r>
      <w:r>
        <w:rPr>
          <w:rFonts w:hint="eastAsia" w:ascii="黑体" w:hAnsi="宋体" w:eastAsia="黑体"/>
          <w:bCs/>
          <w:kern w:val="0"/>
          <w:sz w:val="24"/>
          <w:szCs w:val="24"/>
          <w:highlight w:val="yellow"/>
        </w:rPr>
        <w:t>、招标文件要求的其它内容或投标人认为需要补充的资料（格式自定）</w:t>
      </w:r>
    </w:p>
    <w:p>
      <w:pPr>
        <w:widowControl/>
        <w:jc w:val="left"/>
        <w:rPr>
          <w:rFonts w:ascii="黑体" w:hAnsi="宋体" w:eastAsia="黑体"/>
          <w:bCs/>
          <w:kern w:val="0"/>
          <w:sz w:val="24"/>
          <w:szCs w:val="24"/>
        </w:rPr>
      </w:pPr>
      <w:r>
        <w:rPr>
          <w:rFonts w:ascii="黑体" w:hAnsi="宋体" w:eastAsia="黑体"/>
          <w:bCs/>
          <w:kern w:val="0"/>
          <w:sz w:val="24"/>
          <w:szCs w:val="24"/>
        </w:rPr>
        <w:br w:type="page"/>
      </w:r>
    </w:p>
    <w:p>
      <w:pPr>
        <w:jc w:val="center"/>
        <w:rPr>
          <w:rFonts w:ascii="宋体" w:hAnsi="宋体"/>
          <w:b/>
          <w:bCs/>
          <w:kern w:val="0"/>
          <w:sz w:val="24"/>
          <w:szCs w:val="20"/>
        </w:rPr>
      </w:pPr>
      <w:r>
        <w:rPr>
          <w:rFonts w:hint="eastAsia" w:ascii="宋体" w:hAnsi="宋体"/>
          <w:b/>
          <w:bCs/>
          <w:kern w:val="0"/>
          <w:sz w:val="24"/>
          <w:szCs w:val="20"/>
        </w:rPr>
        <w:t>第四章  合同及履约情况反馈格式</w:t>
      </w:r>
    </w:p>
    <w:p>
      <w:pPr>
        <w:ind w:firstLine="411" w:firstLineChars="196"/>
        <w:rPr>
          <w:rFonts w:ascii="Times New Roman" w:hAnsi="Times New Roman"/>
          <w:szCs w:val="24"/>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一、合同条款及格式（</w:t>
      </w:r>
      <w:r>
        <w:rPr>
          <w:rFonts w:hint="eastAsia" w:ascii="黑体" w:eastAsia="黑体"/>
          <w:kern w:val="0"/>
          <w:sz w:val="24"/>
          <w:szCs w:val="24"/>
        </w:rPr>
        <w:t>仅供参考</w:t>
      </w:r>
      <w:r>
        <w:rPr>
          <w:rFonts w:hint="eastAsia" w:ascii="黑体" w:hAnsi="宋体" w:eastAsia="黑体"/>
          <w:bCs/>
          <w:kern w:val="0"/>
          <w:sz w:val="24"/>
          <w:szCs w:val="24"/>
        </w:rPr>
        <w:t>）</w:t>
      </w:r>
    </w:p>
    <w:p>
      <w:pPr>
        <w:ind w:firstLine="470" w:firstLineChars="196"/>
        <w:jc w:val="center"/>
        <w:rPr>
          <w:rFonts w:ascii="Times New Roman" w:hAnsi="Times New Roman"/>
          <w:sz w:val="24"/>
          <w:szCs w:val="24"/>
        </w:rPr>
      </w:pPr>
      <w:bookmarkStart w:id="13" w:name="_Toc101074886"/>
      <w:bookmarkStart w:id="14" w:name="_Toc73518163"/>
      <w:bookmarkStart w:id="15" w:name="_Toc84303603"/>
      <w:bookmarkStart w:id="16" w:name="_Toc73521592"/>
      <w:bookmarkStart w:id="17" w:name="_Toc73521680"/>
      <w:bookmarkStart w:id="18" w:name="_Toc100052414"/>
      <w:bookmarkStart w:id="19" w:name="_Toc73517685"/>
    </w:p>
    <w:p>
      <w:pPr>
        <w:ind w:firstLine="470" w:firstLineChars="196"/>
        <w:jc w:val="center"/>
        <w:rPr>
          <w:rFonts w:ascii="Times New Roman" w:hAnsi="Times New Roman"/>
          <w:sz w:val="24"/>
          <w:szCs w:val="24"/>
        </w:rPr>
      </w:pPr>
    </w:p>
    <w:bookmarkEnd w:id="13"/>
    <w:bookmarkEnd w:id="14"/>
    <w:bookmarkEnd w:id="15"/>
    <w:bookmarkEnd w:id="16"/>
    <w:bookmarkEnd w:id="17"/>
    <w:bookmarkEnd w:id="18"/>
    <w:bookmarkEnd w:id="19"/>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3"/>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ind w:firstLine="422" w:firstLineChars="200"/>
        <w:rPr>
          <w:rFonts w:ascii="宋体" w:hAnsi="宋体"/>
          <w:b/>
          <w:bCs/>
          <w:szCs w:val="21"/>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3"/>
        <w:snapToGrid w:val="0"/>
        <w:spacing w:line="360" w:lineRule="auto"/>
        <w:ind w:firstLine="422" w:firstLineChars="200"/>
        <w:rPr>
          <w:rFonts w:hAnsi="宋体"/>
          <w:b/>
          <w:sz w:val="21"/>
          <w:szCs w:val="21"/>
        </w:rPr>
      </w:pPr>
      <w:r>
        <w:rPr>
          <w:rFonts w:hint="eastAsia" w:hAnsi="宋体"/>
          <w:b/>
          <w:sz w:val="21"/>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3"/>
        <w:snapToGrid w:val="0"/>
        <w:spacing w:line="360" w:lineRule="auto"/>
        <w:ind w:firstLine="422" w:firstLineChars="200"/>
        <w:rPr>
          <w:rFonts w:hAnsi="宋体"/>
          <w:b/>
          <w:sz w:val="21"/>
          <w:szCs w:val="21"/>
        </w:rPr>
      </w:pPr>
      <w:r>
        <w:rPr>
          <w:rFonts w:hint="eastAsia" w:hAnsi="宋体"/>
          <w:b/>
          <w:sz w:val="21"/>
          <w:szCs w:val="21"/>
        </w:rPr>
        <w:t>二、合同金额</w:t>
      </w:r>
    </w:p>
    <w:p>
      <w:pPr>
        <w:pStyle w:val="23"/>
        <w:snapToGrid w:val="0"/>
        <w:spacing w:line="360" w:lineRule="auto"/>
        <w:ind w:firstLine="420" w:firstLineChars="200"/>
        <w:rPr>
          <w:rFonts w:hAnsi="宋体"/>
          <w:sz w:val="21"/>
          <w:szCs w:val="21"/>
        </w:rPr>
      </w:pPr>
      <w:r>
        <w:rPr>
          <w:rFonts w:hint="eastAsia" w:hAnsi="宋体"/>
          <w:sz w:val="21"/>
          <w:szCs w:val="21"/>
        </w:rPr>
        <w:t>本合同金额为（大写）：____________________________________元（￥_______________元）人民币。</w:t>
      </w:r>
    </w:p>
    <w:p>
      <w:pPr>
        <w:pStyle w:val="23"/>
        <w:snapToGrid w:val="0"/>
        <w:spacing w:line="360" w:lineRule="auto"/>
        <w:ind w:firstLine="422" w:firstLineChars="200"/>
        <w:rPr>
          <w:rFonts w:hAnsi="宋体"/>
          <w:b/>
          <w:sz w:val="21"/>
          <w:szCs w:val="21"/>
        </w:rPr>
      </w:pPr>
      <w:r>
        <w:rPr>
          <w:rFonts w:hint="eastAsia" w:hAnsi="宋体"/>
          <w:b/>
          <w:sz w:val="21"/>
          <w:szCs w:val="21"/>
        </w:rPr>
        <w:t>三、技术资料</w:t>
      </w:r>
    </w:p>
    <w:p>
      <w:pPr>
        <w:pStyle w:val="23"/>
        <w:snapToGrid w:val="0"/>
        <w:spacing w:line="360" w:lineRule="auto"/>
        <w:ind w:firstLine="420" w:firstLineChars="200"/>
        <w:rPr>
          <w:rFonts w:hAnsi="宋体"/>
          <w:sz w:val="21"/>
          <w:szCs w:val="21"/>
        </w:rPr>
      </w:pPr>
      <w:r>
        <w:rPr>
          <w:rFonts w:hint="eastAsia" w:hAnsi="宋体"/>
          <w:sz w:val="21"/>
          <w:szCs w:val="21"/>
        </w:rPr>
        <w:t>1、中标人应按招标文件规定的时间向采购人提供有关技术资料。</w:t>
      </w:r>
    </w:p>
    <w:p>
      <w:pPr>
        <w:pStyle w:val="23"/>
        <w:snapToGrid w:val="0"/>
        <w:spacing w:line="360" w:lineRule="auto"/>
        <w:ind w:firstLine="420" w:firstLineChars="200"/>
        <w:rPr>
          <w:rFonts w:hAnsi="宋体"/>
          <w:sz w:val="21"/>
          <w:szCs w:val="21"/>
        </w:rPr>
      </w:pPr>
      <w:r>
        <w:rPr>
          <w:rFonts w:hint="eastAsia" w:hAnsi="宋体"/>
          <w:sz w:val="21"/>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3"/>
        <w:snapToGrid w:val="0"/>
        <w:spacing w:line="360" w:lineRule="auto"/>
        <w:ind w:firstLine="420" w:firstLineChars="200"/>
        <w:rPr>
          <w:rFonts w:hAnsi="宋体"/>
          <w:sz w:val="21"/>
          <w:szCs w:val="21"/>
        </w:rPr>
      </w:pPr>
      <w:r>
        <w:rPr>
          <w:rFonts w:hint="eastAsia" w:hAnsi="宋体"/>
          <w:sz w:val="21"/>
          <w:szCs w:val="21"/>
        </w:rPr>
        <w:t>3、合同履行完毕，未经采购人的书面同意，中标人不得保存在履行合同过程中所获得或接触到的任何内部数据资料。</w:t>
      </w:r>
    </w:p>
    <w:p>
      <w:pPr>
        <w:pStyle w:val="23"/>
        <w:snapToGrid w:val="0"/>
        <w:spacing w:line="360" w:lineRule="auto"/>
        <w:ind w:firstLine="422" w:firstLineChars="200"/>
        <w:rPr>
          <w:rFonts w:hAnsi="宋体"/>
          <w:b/>
          <w:sz w:val="21"/>
          <w:szCs w:val="21"/>
        </w:rPr>
      </w:pPr>
      <w:r>
        <w:rPr>
          <w:rFonts w:hint="eastAsia" w:hAnsi="宋体"/>
          <w:b/>
          <w:sz w:val="21"/>
          <w:szCs w:val="21"/>
        </w:rPr>
        <w:t>四、知识产权</w:t>
      </w:r>
    </w:p>
    <w:p>
      <w:pPr>
        <w:pStyle w:val="23"/>
        <w:snapToGrid w:val="0"/>
        <w:spacing w:line="360" w:lineRule="auto"/>
        <w:ind w:firstLine="420" w:firstLineChars="200"/>
        <w:rPr>
          <w:rFonts w:hAnsi="宋体"/>
          <w:bCs/>
          <w:sz w:val="21"/>
          <w:szCs w:val="21"/>
        </w:rPr>
      </w:pPr>
      <w:r>
        <w:rPr>
          <w:rFonts w:hint="eastAsia" w:hAnsi="宋体"/>
          <w:sz w:val="21"/>
          <w:szCs w:val="21"/>
        </w:rPr>
        <w:t>中标人应保证提供服务过程中不会侵犯任何第三方的知识产权</w:t>
      </w:r>
      <w:r>
        <w:rPr>
          <w:rFonts w:hint="eastAsia" w:hAnsi="宋体"/>
          <w:bCs/>
          <w:sz w:val="21"/>
          <w:szCs w:val="21"/>
        </w:rPr>
        <w:t>。</w:t>
      </w:r>
    </w:p>
    <w:p>
      <w:pPr>
        <w:pStyle w:val="23"/>
        <w:snapToGrid w:val="0"/>
        <w:spacing w:line="360" w:lineRule="auto"/>
        <w:ind w:firstLine="422" w:firstLineChars="200"/>
        <w:rPr>
          <w:rFonts w:hAnsi="宋体"/>
          <w:b/>
          <w:sz w:val="21"/>
          <w:szCs w:val="21"/>
        </w:rPr>
      </w:pPr>
      <w:r>
        <w:rPr>
          <w:rFonts w:hint="eastAsia" w:hAnsi="宋体"/>
          <w:b/>
          <w:sz w:val="21"/>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3"/>
        <w:snapToGrid w:val="0"/>
        <w:spacing w:line="360" w:lineRule="auto"/>
        <w:ind w:firstLine="422" w:firstLineChars="200"/>
        <w:rPr>
          <w:rFonts w:hAnsi="宋体"/>
          <w:b/>
          <w:sz w:val="21"/>
          <w:szCs w:val="21"/>
        </w:rPr>
      </w:pPr>
      <w:r>
        <w:rPr>
          <w:rFonts w:hint="eastAsia" w:hAnsi="宋体"/>
          <w:b/>
          <w:sz w:val="21"/>
          <w:szCs w:val="21"/>
        </w:rPr>
        <w:t>八、合同履行时间、履行方式及履行地点</w:t>
      </w:r>
    </w:p>
    <w:p>
      <w:pPr>
        <w:pStyle w:val="23"/>
        <w:snapToGrid w:val="0"/>
        <w:spacing w:line="360" w:lineRule="auto"/>
        <w:ind w:firstLine="420" w:firstLineChars="200"/>
        <w:rPr>
          <w:rFonts w:hAnsi="宋体"/>
          <w:bCs/>
          <w:sz w:val="21"/>
          <w:szCs w:val="21"/>
        </w:rPr>
      </w:pPr>
      <w:r>
        <w:rPr>
          <w:rFonts w:hint="eastAsia" w:hAnsi="宋体"/>
          <w:bCs/>
          <w:sz w:val="21"/>
          <w:szCs w:val="21"/>
        </w:rPr>
        <w:t>1、</w:t>
      </w:r>
      <w:r>
        <w:rPr>
          <w:rFonts w:hint="eastAsia" w:hAnsi="宋体"/>
          <w:sz w:val="21"/>
          <w:szCs w:val="21"/>
        </w:rPr>
        <w:t>履行时间</w:t>
      </w:r>
      <w:r>
        <w:rPr>
          <w:rFonts w:hint="eastAsia" w:hAnsi="宋体"/>
          <w:bCs/>
          <w:sz w:val="21"/>
          <w:szCs w:val="21"/>
        </w:rPr>
        <w:t>：</w:t>
      </w:r>
      <w:r>
        <w:rPr>
          <w:rFonts w:hint="eastAsia" w:hAnsi="宋体"/>
          <w:sz w:val="21"/>
          <w:szCs w:val="21"/>
        </w:rPr>
        <w:t>______________________</w:t>
      </w:r>
    </w:p>
    <w:p>
      <w:pPr>
        <w:pStyle w:val="23"/>
        <w:snapToGrid w:val="0"/>
        <w:spacing w:line="360" w:lineRule="auto"/>
        <w:ind w:firstLine="420" w:firstLineChars="200"/>
        <w:rPr>
          <w:rFonts w:hAnsi="宋体"/>
          <w:bCs/>
          <w:sz w:val="21"/>
          <w:szCs w:val="21"/>
        </w:rPr>
      </w:pPr>
      <w:r>
        <w:rPr>
          <w:rFonts w:hint="eastAsia" w:hAnsi="宋体"/>
          <w:bCs/>
          <w:sz w:val="21"/>
          <w:szCs w:val="21"/>
        </w:rPr>
        <w:t>2、</w:t>
      </w:r>
      <w:r>
        <w:rPr>
          <w:rFonts w:hint="eastAsia" w:hAnsi="宋体"/>
          <w:sz w:val="21"/>
          <w:szCs w:val="21"/>
        </w:rPr>
        <w:t>履行方式</w:t>
      </w:r>
      <w:r>
        <w:rPr>
          <w:rFonts w:hint="eastAsia" w:hAnsi="宋体"/>
          <w:bCs/>
          <w:sz w:val="21"/>
          <w:szCs w:val="21"/>
        </w:rPr>
        <w:t>：</w:t>
      </w:r>
      <w:r>
        <w:rPr>
          <w:rFonts w:hint="eastAsia" w:hAnsi="宋体"/>
          <w:sz w:val="21"/>
          <w:szCs w:val="21"/>
        </w:rPr>
        <w:t>______________________</w:t>
      </w:r>
    </w:p>
    <w:p>
      <w:pPr>
        <w:pStyle w:val="23"/>
        <w:snapToGrid w:val="0"/>
        <w:spacing w:line="360" w:lineRule="auto"/>
        <w:ind w:firstLine="420" w:firstLineChars="200"/>
        <w:rPr>
          <w:rFonts w:hAnsi="宋体"/>
          <w:sz w:val="21"/>
          <w:szCs w:val="21"/>
        </w:rPr>
      </w:pPr>
      <w:r>
        <w:rPr>
          <w:rFonts w:hint="eastAsia" w:hAnsi="宋体"/>
          <w:bCs/>
          <w:sz w:val="21"/>
          <w:szCs w:val="21"/>
        </w:rPr>
        <w:t>3、</w:t>
      </w:r>
      <w:r>
        <w:rPr>
          <w:rFonts w:hint="eastAsia" w:hAnsi="宋体"/>
          <w:sz w:val="21"/>
          <w:szCs w:val="21"/>
        </w:rPr>
        <w:t>履行地点</w:t>
      </w:r>
      <w:r>
        <w:rPr>
          <w:rFonts w:hint="eastAsia" w:hAnsi="宋体"/>
          <w:bCs/>
          <w:sz w:val="21"/>
          <w:szCs w:val="21"/>
        </w:rPr>
        <w:t>：</w:t>
      </w:r>
      <w:r>
        <w:rPr>
          <w:rFonts w:hint="eastAsia" w:hAnsi="宋体"/>
          <w:sz w:val="21"/>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3"/>
        <w:snapToGrid w:val="0"/>
        <w:spacing w:line="360" w:lineRule="auto"/>
        <w:ind w:firstLine="422" w:firstLineChars="200"/>
        <w:rPr>
          <w:rFonts w:hAnsi="宋体"/>
          <w:b/>
          <w:sz w:val="21"/>
          <w:szCs w:val="21"/>
        </w:rPr>
      </w:pPr>
      <w:r>
        <w:rPr>
          <w:rFonts w:hint="eastAsia" w:hAnsi="宋体"/>
          <w:b/>
          <w:sz w:val="21"/>
          <w:szCs w:val="21"/>
        </w:rPr>
        <w:t>十、付款方式和税费</w:t>
      </w:r>
    </w:p>
    <w:p>
      <w:pPr>
        <w:pStyle w:val="23"/>
        <w:snapToGrid w:val="0"/>
        <w:spacing w:line="360" w:lineRule="auto"/>
        <w:ind w:firstLine="420" w:firstLineChars="200"/>
        <w:rPr>
          <w:rFonts w:hAnsi="宋体"/>
          <w:bCs/>
          <w:sz w:val="21"/>
          <w:szCs w:val="21"/>
        </w:rPr>
      </w:pPr>
      <w:r>
        <w:rPr>
          <w:rFonts w:hAnsi="宋体" w:cs="宋体"/>
          <w:sz w:val="21"/>
          <w:szCs w:val="21"/>
        </w:rPr>
        <w:t>本合同付款方式为</w:t>
      </w:r>
      <w:r>
        <w:rPr>
          <w:rFonts w:hint="eastAsia" w:hAnsi="宋体" w:cs="宋体"/>
          <w:sz w:val="21"/>
          <w:szCs w:val="21"/>
        </w:rPr>
        <w:t>：</w:t>
      </w:r>
      <w:r>
        <w:rPr>
          <w:rFonts w:hint="eastAsia" w:hAnsi="宋体" w:cs="宋体"/>
          <w:sz w:val="21"/>
          <w:szCs w:val="21"/>
          <w:u w:val="single"/>
        </w:rPr>
        <w:t xml:space="preserve">                </w:t>
      </w:r>
      <w:r>
        <w:rPr>
          <w:rFonts w:hint="eastAsia" w:hAnsi="宋体"/>
          <w:bCs/>
          <w:sz w:val="21"/>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3"/>
        <w:snapToGrid w:val="0"/>
        <w:spacing w:line="360" w:lineRule="auto"/>
        <w:ind w:firstLine="422" w:firstLineChars="200"/>
        <w:rPr>
          <w:rFonts w:hAnsi="宋体"/>
          <w:b/>
          <w:sz w:val="21"/>
          <w:szCs w:val="21"/>
        </w:rPr>
      </w:pPr>
      <w:r>
        <w:rPr>
          <w:rFonts w:hint="eastAsia" w:hAnsi="宋体"/>
          <w:b/>
          <w:sz w:val="21"/>
          <w:szCs w:val="21"/>
        </w:rPr>
        <w:t>十二、违约责任</w:t>
      </w:r>
    </w:p>
    <w:p>
      <w:pPr>
        <w:pStyle w:val="23"/>
        <w:snapToGrid w:val="0"/>
        <w:spacing w:line="360" w:lineRule="auto"/>
        <w:ind w:firstLine="420" w:firstLineChars="200"/>
        <w:rPr>
          <w:rFonts w:hAnsi="宋体"/>
          <w:sz w:val="21"/>
          <w:szCs w:val="21"/>
        </w:rPr>
      </w:pPr>
      <w:r>
        <w:rPr>
          <w:rFonts w:hint="eastAsia" w:hAnsi="宋体"/>
          <w:sz w:val="21"/>
          <w:szCs w:val="21"/>
        </w:rPr>
        <w:t>1、因中标人原因，未能按规定完成本项目有关工作的，采购人可在支付合同余款中扣除合同价款</w:t>
      </w:r>
      <w:r>
        <w:rPr>
          <w:rFonts w:hint="eastAsia" w:hAnsi="宋体"/>
          <w:sz w:val="21"/>
          <w:szCs w:val="21"/>
          <w:u w:val="single"/>
        </w:rPr>
        <w:t xml:space="preserve">        </w:t>
      </w:r>
      <w:r>
        <w:rPr>
          <w:rFonts w:hint="eastAsia" w:hAnsi="宋体"/>
          <w:sz w:val="21"/>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3"/>
        <w:snapToGrid w:val="0"/>
        <w:spacing w:line="360" w:lineRule="auto"/>
        <w:ind w:firstLine="420" w:firstLineChars="200"/>
        <w:rPr>
          <w:rFonts w:hAnsi="宋体"/>
          <w:sz w:val="21"/>
          <w:szCs w:val="21"/>
        </w:rPr>
      </w:pPr>
      <w:r>
        <w:rPr>
          <w:rFonts w:hint="eastAsia" w:hAnsi="宋体"/>
          <w:sz w:val="21"/>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ind w:firstLine="420" w:firstLineChars="200"/>
        <w:rPr>
          <w:rFonts w:ascii="宋体" w:hAnsi="宋体"/>
          <w:szCs w:val="21"/>
        </w:rPr>
      </w:pPr>
    </w:p>
    <w:p>
      <w:pPr>
        <w:ind w:firstLine="420" w:firstLineChars="200"/>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widowControl/>
        <w:jc w:val="left"/>
        <w:rPr>
          <w:rFonts w:ascii="宋体" w:hAnsi="宋体"/>
          <w:b/>
          <w:szCs w:val="21"/>
        </w:rPr>
      </w:pPr>
      <w:r>
        <w:rPr>
          <w:bCs/>
          <w:szCs w:val="21"/>
        </w:rPr>
        <w:br w:type="page"/>
      </w:r>
    </w:p>
    <w:p>
      <w:pPr>
        <w:pStyle w:val="4"/>
        <w:spacing w:before="0"/>
        <w:jc w:val="center"/>
        <w:rPr>
          <w:rFonts w:ascii="黑体" w:eastAsia="黑体"/>
          <w:b w:val="0"/>
          <w:sz w:val="24"/>
          <w:szCs w:val="24"/>
        </w:rPr>
      </w:pPr>
      <w:r>
        <w:rPr>
          <w:rFonts w:hint="eastAsia" w:ascii="黑体" w:eastAsia="黑体"/>
          <w:b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9"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履约情况评价分为优、良、中、差四个等级，请在对应的框前打“√”，然后在“具体情况说明”一栏详细说明有关情况。</w:t>
      </w:r>
      <w:r>
        <w:rPr>
          <w:rFonts w:ascii="宋体" w:hAnsi="宋体"/>
          <w:szCs w:val="21"/>
        </w:rPr>
        <w:tab/>
      </w:r>
      <w:r>
        <w:rPr>
          <w:rFonts w:ascii="宋体" w:hAnsi="宋体"/>
          <w:szCs w:val="21"/>
        </w:rPr>
        <w:tab/>
      </w:r>
    </w:p>
    <w:p>
      <w:pPr>
        <w:spacing w:line="240" w:lineRule="atLeast"/>
        <w:rPr>
          <w:rFonts w:ascii="宋体" w:hAnsi="宋体"/>
          <w:szCs w:val="21"/>
        </w:rPr>
        <w:sectPr>
          <w:footerReference r:id="rId3" w:type="default"/>
          <w:pgSz w:w="11906" w:h="16838"/>
          <w:pgMar w:top="1440" w:right="1417" w:bottom="1440" w:left="1417" w:header="851" w:footer="992" w:gutter="0"/>
          <w:cols w:space="720" w:num="1"/>
          <w:titlePg/>
          <w:docGrid w:type="lines" w:linePitch="312" w:charSpace="0"/>
        </w:sectPr>
      </w:pPr>
    </w:p>
    <w:p>
      <w:pPr>
        <w:jc w:val="center"/>
        <w:rPr>
          <w:rFonts w:ascii="宋体" w:hAnsi="宋体"/>
          <w:b/>
          <w:bCs/>
          <w:kern w:val="0"/>
          <w:sz w:val="24"/>
          <w:szCs w:val="20"/>
        </w:rPr>
      </w:pPr>
      <w:r>
        <w:rPr>
          <w:rFonts w:hint="eastAsia" w:ascii="宋体" w:hAnsi="宋体"/>
          <w:b/>
          <w:bCs/>
          <w:kern w:val="0"/>
          <w:sz w:val="24"/>
          <w:szCs w:val="20"/>
        </w:rPr>
        <w:t>第五章  附件</w:t>
      </w:r>
    </w:p>
    <w:p>
      <w:pPr>
        <w:jc w:val="center"/>
        <w:rPr>
          <w:rFonts w:ascii="宋体" w:hAnsi="宋体"/>
          <w:b/>
          <w:bCs/>
          <w:kern w:val="0"/>
          <w:sz w:val="24"/>
          <w:szCs w:val="20"/>
        </w:rPr>
      </w:pPr>
    </w:p>
    <w:p>
      <w:pPr>
        <w:pStyle w:val="4"/>
        <w:spacing w:before="0" w:after="0"/>
        <w:jc w:val="center"/>
      </w:pPr>
      <w:bookmarkStart w:id="20" w:name="_Toc73613644"/>
      <w:bookmarkStart w:id="21" w:name="_Toc73610162"/>
      <w:r>
        <w:rPr>
          <w:rFonts w:hint="eastAsia"/>
        </w:rPr>
        <w:t>一、财政部 工业和信息化部关于印发《政府采购促进中小企业发展管理办法》的通知</w:t>
      </w:r>
      <w:bookmarkEnd w:id="20"/>
      <w:bookmarkEnd w:id="21"/>
    </w:p>
    <w:p>
      <w:pPr>
        <w:pStyle w:val="3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3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3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3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22" w:name="_Toc73610163"/>
      <w:bookmarkStart w:id="23" w:name="_Toc73613645"/>
      <w:r>
        <w:rPr>
          <w:rFonts w:hint="eastAsia"/>
        </w:rPr>
        <w:t>二、关于印发中小企业划型标准规定的通知</w:t>
      </w:r>
      <w:bookmarkEnd w:id="22"/>
      <w:bookmarkEnd w:id="23"/>
    </w:p>
    <w:p>
      <w:pPr>
        <w:pStyle w:val="3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3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37"/>
        <w:shd w:val="clear" w:color="auto" w:fill="FFFFFF"/>
        <w:spacing w:line="360" w:lineRule="auto"/>
        <w:jc w:val="center"/>
        <w:rPr>
          <w:rFonts w:asciiTheme="minorEastAsia" w:hAnsiTheme="minorEastAsia" w:eastAsiaTheme="minorEastAsia"/>
          <w:color w:val="000000"/>
          <w:sz w:val="21"/>
          <w:szCs w:val="21"/>
        </w:rPr>
      </w:pPr>
      <w:r>
        <w:rPr>
          <w:rStyle w:val="45"/>
          <w:rFonts w:hint="eastAsia" w:asciiTheme="minorEastAsia" w:hAnsiTheme="minorEastAsia" w:eastAsiaTheme="minorEastAsia"/>
          <w:color w:val="000000"/>
          <w:sz w:val="21"/>
          <w:szCs w:val="21"/>
        </w:rPr>
        <w:t>中小企业划型标准规定</w:t>
      </w:r>
    </w:p>
    <w:p>
      <w:pPr>
        <w:pStyle w:val="3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37"/>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24" w:name="_Toc73610164"/>
      <w:bookmarkStart w:id="25" w:name="_Toc73613646"/>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24"/>
      <w:bookmarkEnd w:id="2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4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26" w:name="_Toc73610165"/>
      <w:bookmarkStart w:id="27" w:name="_Toc73613647"/>
      <w:r>
        <w:rPr>
          <w:rFonts w:hint="eastAsia"/>
        </w:rPr>
        <w:t>四、</w:t>
      </w:r>
      <w:r>
        <w:t>财政部 民政部 中国残疾人联合会关于促进残疾人就业 政府采购政策的通知</w:t>
      </w:r>
      <w:bookmarkEnd w:id="26"/>
      <w:bookmarkEnd w:id="27"/>
      <w:r>
        <w:t xml:space="preserve"> </w:t>
      </w:r>
    </w:p>
    <w:p>
      <w:pPr>
        <w:pStyle w:val="37"/>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p/>
    <w:p>
      <w:pPr>
        <w:pStyle w:val="6"/>
        <w:spacing w:beforeLines="50" w:afterLines="50" w:line="360" w:lineRule="auto"/>
        <w:ind w:left="562"/>
        <w:rPr>
          <w:rFonts w:asciiTheme="majorEastAsia" w:hAnsiTheme="majorEastAsia" w:eastAsiaTheme="majorEastAsia"/>
          <w:sz w:val="32"/>
          <w:szCs w:val="32"/>
        </w:rPr>
      </w:pPr>
      <w:r>
        <w:rPr>
          <w:b w:val="0"/>
          <w:bCs w:val="0"/>
        </w:rPr>
        <w:br w:type="page"/>
      </w:r>
      <w:r>
        <w:rPr>
          <w:rFonts w:hint="eastAsia" w:asciiTheme="majorEastAsia" w:hAnsiTheme="majorEastAsia" w:eastAsiaTheme="majorEastAsia"/>
          <w:sz w:val="32"/>
          <w:szCs w:val="32"/>
        </w:rPr>
        <w:t>第二册  通用条款（公开招标）</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28" w:name="_Hlk72399513"/>
      <w:r>
        <w:rPr>
          <w:rFonts w:hint="eastAsia" w:asciiTheme="majorEastAsia" w:hAnsiTheme="majorEastAsia" w:eastAsiaTheme="majorEastAsia"/>
          <w:b/>
          <w:bCs/>
          <w:kern w:val="0"/>
          <w:sz w:val="28"/>
          <w:szCs w:val="28"/>
        </w:rPr>
        <w:t>总则</w:t>
      </w:r>
    </w:p>
    <w:bookmarkEnd w:id="28"/>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 通用条款说明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1.1采购代理机构发出招标文件通用条款版本，列出深圳市政府采购项目进行招标采购所适用的通用条款内容。</w:t>
      </w:r>
      <w:bookmarkStart w:id="29" w:name="_Hlk72399729"/>
      <w:r>
        <w:rPr>
          <w:rFonts w:hint="eastAsia" w:asciiTheme="majorEastAsia" w:hAnsiTheme="majorEastAsia" w:eastAsiaTheme="majorEastAsia"/>
          <w:szCs w:val="21"/>
        </w:rPr>
        <w:t>如有需要，采购代理机构可以对通用条款的内容进行补充。</w:t>
      </w:r>
      <w:bookmarkEnd w:id="2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1.2招标文件分为第一册“专用条款”和第二册“通用条款”。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1.4“通用条款”是适用于政府采购公开招标项目的基础性条款，具有普遍性和通用性。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1.5 “专用条款”和“通用条款”表述不一致或有冲突时，以“专用条款”为准。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2</w:t>
      </w:r>
      <w:r>
        <w:rPr>
          <w:rFonts w:asciiTheme="majorEastAsia" w:hAnsiTheme="majorEastAsia" w:eastAsiaTheme="majorEastAsia"/>
          <w:b/>
          <w:bCs/>
          <w:szCs w:val="21"/>
        </w:rPr>
        <w:t>．</w:t>
      </w:r>
      <w:r>
        <w:rPr>
          <w:rFonts w:hint="eastAsia" w:asciiTheme="majorEastAsia" w:hAnsiTheme="majorEastAsia" w:eastAsiaTheme="majorEastAsia"/>
          <w:b/>
          <w:bCs/>
          <w:szCs w:val="21"/>
        </w:rPr>
        <w:t>招标说明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3．定义</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招标文件中下列术语应解释为：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1</w:t>
      </w:r>
      <w:r>
        <w:rPr>
          <w:rFonts w:hint="eastAsia" w:asciiTheme="majorEastAsia" w:hAnsiTheme="majorEastAsia" w:eastAsiaTheme="majorEastAsia"/>
          <w:szCs w:val="21"/>
        </w:rPr>
        <w:t>“采购人”：指利用财政性资金依法进行政府采购的国家机关、事业单位、团体组织；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 “政府集中采购机构”</w:t>
      </w:r>
      <w:r>
        <w:rPr>
          <w:rFonts w:hint="eastAsia" w:cs="Arial" w:asciiTheme="majorEastAsia" w:hAnsiTheme="majorEastAsia" w:eastAsiaTheme="majorEastAsia"/>
          <w:szCs w:val="21"/>
          <w:shd w:val="clear" w:color="auto" w:fill="FFFFFF"/>
        </w:rPr>
        <w:t>是指市政府设立的，对纳入集中采购目录内的采购项目组织实施采购，并对政府采购活动提供服务的专门机构；</w:t>
      </w:r>
      <w:r>
        <w:rPr>
          <w:rFonts w:hint="eastAsia" w:asciiTheme="majorEastAsia" w:hAnsiTheme="majorEastAsia" w:eastAsiaTheme="majorEastAsia"/>
          <w:szCs w:val="21"/>
        </w:rPr>
        <w:t>本文件所述的“政府集中采购机构”</w:t>
      </w:r>
      <w:r>
        <w:rPr>
          <w:rFonts w:asciiTheme="majorEastAsia" w:hAnsiTheme="majorEastAsia" w:eastAsiaTheme="majorEastAsia"/>
          <w:szCs w:val="21"/>
        </w:rPr>
        <w:t>指</w:t>
      </w:r>
      <w:r>
        <w:rPr>
          <w:rFonts w:hint="eastAsia" w:asciiTheme="majorEastAsia" w:hAnsiTheme="majorEastAsia" w:eastAsiaTheme="majorEastAsia"/>
          <w:szCs w:val="21"/>
        </w:rPr>
        <w:t>深圳公共资源交易中心；</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3.3“采购代理机构”是指根据采购人委托，代理政府采购事宜的社会采购代理机构。本招标文件的招标机构特指</w:t>
      </w:r>
      <w:r>
        <w:rPr>
          <w:rFonts w:hint="eastAsia" w:asciiTheme="majorEastAsia" w:hAnsiTheme="majorEastAsia" w:eastAsiaTheme="majorEastAsia"/>
          <w:b/>
          <w:bCs/>
          <w:szCs w:val="21"/>
        </w:rPr>
        <w:t>深圳市中正招标有限公司；</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3.4“投标人”，即供应商，指参加投标竞争并愿意按照招标文件要求向采购人提供货物、工程或者服务的依法成立的法人、其他组织或者自然人；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3.6“日期”</w:t>
      </w:r>
      <w:r>
        <w:rPr>
          <w:rFonts w:asciiTheme="majorEastAsia" w:hAnsiTheme="majorEastAsia" w:eastAsiaTheme="majorEastAsia"/>
          <w:szCs w:val="21"/>
        </w:rPr>
        <w:t>指</w:t>
      </w:r>
      <w:r>
        <w:rPr>
          <w:rFonts w:hint="eastAsia" w:asciiTheme="majorEastAsia" w:hAnsiTheme="majorEastAsia" w:eastAsiaTheme="majorEastAsia"/>
          <w:szCs w:val="21"/>
        </w:rPr>
        <w:t>公历日；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3.7“合同”指由本次招标所产生的合同或合约文件；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3.8“电子投标文件”指利用</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站提供的深圳智慧采购平台投标文件制作专用软件（以下简称：投标文件制作软件）制作并加密的投标文件,适用于网上投标；（投标文件制作软件可从“下载地址：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TPBidder/DownLoad/深圳市智慧采购平台投标文件制作专用软件.zip”下载）；</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3.9“网上投标”指通过</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站上传电子投标文件；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3.10招标文件中的标题或题名仅起引导作用，而不应视为对招标文件内容的理解和解释。</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 xml:space="preserve">4. </w:t>
      </w:r>
      <w:bookmarkStart w:id="30" w:name="_Hlk72398643"/>
      <w:r>
        <w:rPr>
          <w:rFonts w:hint="eastAsia" w:asciiTheme="majorEastAsia" w:hAnsiTheme="majorEastAsia" w:eastAsiaTheme="majorEastAsia"/>
          <w:b/>
          <w:bCs/>
          <w:szCs w:val="21"/>
        </w:rPr>
        <w:t>政府采购供应商责任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4.1欢迎诚信、有实力和有社会责任心的供应商参与政府采购事业。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5．投标人参加政府采购的条件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5.1投标人应在投标前到</w:t>
      </w:r>
      <w:r>
        <w:rPr>
          <w:rFonts w:hint="eastAsia" w:asciiTheme="majorEastAsia" w:hAnsiTheme="majorEastAsia" w:eastAsiaTheme="majorEastAsia"/>
          <w:b/>
          <w:bCs/>
          <w:szCs w:val="21"/>
        </w:rPr>
        <w:t>深圳公共资源交易中心（具体在深圳交易集团有限公司政府采购业务分公司进行办理）</w:t>
      </w:r>
      <w:r>
        <w:rPr>
          <w:rFonts w:hint="eastAsia" w:asciiTheme="majorEastAsia" w:hAnsiTheme="majorEastAsia" w:eastAsiaTheme="major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hAnsiTheme="majorEastAsia" w:eastAsiaTheme="majorEastAsia"/>
          <w:szCs w:val="21"/>
        </w:rPr>
        <w:t>供应商注册及电子密钥新申请指引</w:t>
      </w:r>
      <w:r>
        <w:rPr>
          <w:rFonts w:asciiTheme="majorEastAsia" w:hAnsiTheme="majorEastAsia" w:eastAsiaTheme="majorEastAsia"/>
          <w:szCs w:val="21"/>
        </w:rPr>
        <w:fldChar w:fldCharType="end"/>
      </w:r>
      <w:r>
        <w:rPr>
          <w:rFonts w:hint="eastAsia" w:asciiTheme="majorEastAsia" w:hAnsiTheme="majorEastAsia" w:eastAsiaTheme="majorEastAsia"/>
          <w:szCs w:val="21"/>
        </w:rPr>
        <w:t>》详见</w:t>
      </w:r>
      <w:r>
        <w:rPr>
          <w:rFonts w:asciiTheme="majorEastAsia" w:hAnsiTheme="majorEastAsia" w:eastAsiaTheme="majorEastAsia"/>
          <w:szCs w:val="21"/>
        </w:rPr>
        <w:t>http://zfcg.szggzy.com/</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5.2投标人资格要求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参加本项目的投标人应具备的资格条件详见本项目招标公告中 “投标人资格要求”（即申请人的资格要求）的内容。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5.3联合体投标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5.3.1　以下有关联合体投标的条款仅适用于允许投标人组成联合体投标的项目。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5.3.2  由两个或两个以上的自然人、法人或者其他组织可以组成一个联合体，以一个供应商的身份共同投标时，应符合以下原则：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（1）投标联合体各方参加政府采购活动应当具备下列条件：</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1、具有独立承担民事责任的能力；</w:t>
      </w:r>
    </w:p>
    <w:p>
      <w:pPr>
        <w:spacing w:line="360" w:lineRule="auto"/>
        <w:ind w:left="420" w:firstLine="411" w:firstLineChars="196"/>
        <w:rPr>
          <w:rFonts w:asciiTheme="majorEastAsia" w:hAnsiTheme="majorEastAsia" w:eastAsiaTheme="majorEastAsia"/>
          <w:szCs w:val="21"/>
        </w:rPr>
      </w:pPr>
      <w:r>
        <w:rPr>
          <w:rFonts w:hint="eastAsia" w:asciiTheme="majorEastAsia" w:hAnsiTheme="majorEastAsia" w:eastAsiaTheme="majorEastAsia"/>
          <w:szCs w:val="21"/>
        </w:rPr>
        <w:t>2、有良好的商业信誉和健全的财务会计制度；</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3、具有履行合同所必需的设备和专业技术能力；</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4、有依法缴纳税收和社会保障资金的良好记录；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5、参加政府采购活动前三年内，在经营活动中没有重大违法记录；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6、法律、行政法规规定的其他条件。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（2）在投标截止前，投标联合体各方均应注册成深圳市政府采购供应商；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（3）联合体中有同类资质的供应商按照联合体分工承担相同工作的，应当按照资质等级较低的供应商确定资质等级；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（5）投标人的投标文件及中标后签署的合同协议对联合体各方均具法律约束力；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（6）联合体各方应当签订联合体投标协议，明确约定各方拟承担的工作和责任，并将该协议随投标文件一并递交给采购代理机构；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（7）联合体中标后，联合体各方应当共同与采购人签订合同，就中标项目向采购人承担连带责任；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（9）本通用条款中“投标人”一词亦指联合体各方，专用条款另有规定或说明的除外。</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6．政策导向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6.1政府采购扶持贫困地区、中小企业、监狱企业和残疾人福利性单位发展，支持节能减排、环境保护。</w:t>
      </w:r>
    </w:p>
    <w:p>
      <w:pPr>
        <w:spacing w:line="360" w:lineRule="auto"/>
        <w:ind w:firstLine="405"/>
        <w:rPr>
          <w:rFonts w:asciiTheme="majorEastAsia" w:hAnsiTheme="majorEastAsia" w:eastAsiaTheme="majorEastAsia"/>
          <w:szCs w:val="21"/>
          <w:shd w:val="clear" w:color="auto" w:fill="FFFFFF"/>
        </w:rPr>
      </w:pPr>
      <w:r>
        <w:rPr>
          <w:rFonts w:hint="eastAsia" w:asciiTheme="majorEastAsia" w:hAnsiTheme="majorEastAsia" w:eastAsiaTheme="majorEastAsia"/>
          <w:szCs w:val="21"/>
        </w:rPr>
        <w:t>6.2本项目落实深圳市政府采购供应商诚信管理政策要求。</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7. 本项目若涉及采购货物，则合格的货物及相应服务应满足以下要求：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 xml:space="preserve">.1  </w:t>
      </w:r>
      <w:r>
        <w:rPr>
          <w:rFonts w:hint="eastAsia" w:asciiTheme="majorEastAsia" w:hAnsiTheme="majorEastAsia" w:eastAsiaTheme="majorEastAsia"/>
          <w:szCs w:val="21"/>
        </w:rPr>
        <w:t>必须是全新、未使用过的原装合格正品（包括零部件），如安装或配置了软件的，须为正版软件。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7.2  国产的货物及其有关服务必须符合中华人民共和国的设计、制造生产标准及行业标准。招标公告有其他要求的，亦应符合其要求。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4投标人</w:t>
      </w:r>
      <w:bookmarkStart w:id="31" w:name="_Hlk72152753"/>
      <w:r>
        <w:rPr>
          <w:rFonts w:hint="eastAsia" w:asciiTheme="majorEastAsia" w:hAnsiTheme="majorEastAsia" w:eastAsiaTheme="major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7.6  工期要求：投标人在投标时对其所投项目应提交交货进度、交货计划等，在合同规定的时间内完成项目实施工作。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7.7  投标人必须承担的设备运输、安装调试、验收检测和提供设备操作说明书、图纸等其他相关及类似的义务。</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8．投标费用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不论投标结果如何，投标人应承担其编制投标文件与递交投标文件所涉及的一切费用。</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9．踏勘现场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9.2投标人及其人员经过采购人的允许，可以进入采购人的项目现场踏勘。若招标文件要求投标人于统一时间地点踏勘现场的，投标人应当按时前往。</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9.3采购人应当通过采购代理机构向投标人提供有关现场的书面资料和数据。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9.4任何人或任何组织在踏勘现场时向投标人提供的任何书面资料或口头承诺，未经采购代理机构在网上发布或书面通知，均作无效处理。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5</w:t>
      </w:r>
      <w:r>
        <w:rPr>
          <w:rFonts w:hint="eastAsia" w:asciiTheme="majorEastAsia" w:hAnsiTheme="majorEastAsia" w:eastAsiaTheme="majorEastAsia"/>
          <w:szCs w:val="21"/>
        </w:rPr>
        <w:t>未参与踏勘现场不作为否定投标人资格的理由。</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0</w:t>
      </w:r>
      <w:r>
        <w:rPr>
          <w:rFonts w:hint="eastAsia" w:asciiTheme="majorEastAsia" w:hAnsiTheme="majorEastAsia" w:eastAsiaTheme="majorEastAsia"/>
          <w:b/>
          <w:bCs/>
          <w:szCs w:val="21"/>
        </w:rPr>
        <w:t>．标前会议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任何人或任何组织在标前会议时向投标人提供的任何书面资料或口头承诺，未经采购代理机构在网上发布或书面通知，均作无效处理。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未参与标前会议不作为否定投标人资格的理由。</w:t>
      </w:r>
    </w:p>
    <w:bookmarkEnd w:id="30"/>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招标文件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1</w:t>
      </w:r>
      <w:r>
        <w:rPr>
          <w:rFonts w:hint="eastAsia" w:asciiTheme="majorEastAsia" w:hAnsiTheme="majorEastAsia" w:eastAsiaTheme="majorEastAsia"/>
          <w:b/>
          <w:bCs/>
          <w:szCs w:val="21"/>
        </w:rPr>
        <w:t>．</w:t>
      </w:r>
      <w:bookmarkStart w:id="32" w:name="_Hlk72399819"/>
      <w:r>
        <w:rPr>
          <w:rFonts w:hint="eastAsia" w:asciiTheme="majorEastAsia" w:hAnsiTheme="majorEastAsia" w:eastAsiaTheme="majorEastAsia"/>
          <w:b/>
          <w:bCs/>
          <w:szCs w:val="21"/>
        </w:rPr>
        <w:t>招标文件的编制与组成</w:t>
      </w:r>
    </w:p>
    <w:p>
      <w:pPr>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.1招标文件除以下内容外，采购代理机构在招标期间发出的澄清或修改等相关公告或通知内容，均是招标文件的组成部分，对投标人起约束作用；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招标文件包括下列内容：</w:t>
      </w:r>
    </w:p>
    <w:p>
      <w:pPr>
        <w:spacing w:line="360" w:lineRule="auto"/>
        <w:ind w:left="420" w:leftChars="200"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第一册  专用条款</w:t>
      </w:r>
    </w:p>
    <w:p>
      <w:pPr>
        <w:spacing w:line="360" w:lineRule="auto"/>
        <w:ind w:left="1079" w:leftChars="514"/>
        <w:rPr>
          <w:rFonts w:asciiTheme="majorEastAsia" w:hAnsiTheme="majorEastAsia" w:eastAsiaTheme="majorEastAsia"/>
          <w:b/>
          <w:szCs w:val="21"/>
        </w:rPr>
      </w:pPr>
      <w:r>
        <w:rPr>
          <w:rFonts w:hint="eastAsia" w:asciiTheme="majorEastAsia" w:hAnsiTheme="majorEastAsia" w:eastAsiaTheme="majorEastAsia"/>
          <w:b/>
          <w:szCs w:val="21"/>
        </w:rPr>
        <w:t>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招标公告</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对通用条款的补充内容及其他关键信息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用户需求书</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投标文件格式及附件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合同条款及格式</w:t>
      </w:r>
    </w:p>
    <w:p>
      <w:pPr>
        <w:spacing w:line="360" w:lineRule="auto"/>
        <w:ind w:left="420" w:leftChars="200" w:firstLine="413" w:firstLineChars="196"/>
        <w:outlineLvl w:val="0"/>
        <w:rPr>
          <w:rFonts w:asciiTheme="majorEastAsia" w:hAnsiTheme="majorEastAsia" w:eastAsiaTheme="majorEastAsia"/>
          <w:b/>
          <w:szCs w:val="21"/>
        </w:rPr>
      </w:pPr>
      <w:r>
        <w:rPr>
          <w:rFonts w:hint="eastAsia" w:asciiTheme="majorEastAsia" w:hAnsiTheme="majorEastAsia" w:eastAsiaTheme="majorEastAsia"/>
          <w:b/>
          <w:szCs w:val="21"/>
        </w:rPr>
        <w:t>第二册  通用条款</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总则</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招标文件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投标文件的编制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投标文件的递交</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开标</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第六章  评审要求</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第七章  评审程序及评审方法</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第八章  定标及公示</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第九章  公开招标失败的后续处理</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第十章  合同的授予与备案</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第十一章  质疑处理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2</w:t>
      </w:r>
      <w:r>
        <w:rPr>
          <w:rFonts w:hint="eastAsia" w:asciiTheme="majorEastAsia" w:hAnsiTheme="majorEastAsia" w:eastAsiaTheme="majorEastAsia"/>
          <w:b/>
          <w:bCs/>
          <w:szCs w:val="21"/>
        </w:rPr>
        <w:t>．招标文件的澄清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.1招标文件澄清的目的是澄清、解答投标人在查阅招标文件后或现场踏勘中可能提出的与投标有关的疑问或询问。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.2投标人如对招标文件内容有疑问，应当在招标公告规定的澄清（提问）截止时间前以网上提问的形式通过网上政府采购系统提交采购代理机构。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hAnsiTheme="majorEastAsia" w:eastAsiaTheme="majorEastAsia"/>
          <w:szCs w:val="21"/>
        </w:rPr>
        <w:t>3.3</w:t>
      </w:r>
      <w:r>
        <w:rPr>
          <w:rFonts w:hint="eastAsia" w:asciiTheme="majorEastAsia" w:hAnsiTheme="majorEastAsia" w:eastAsiaTheme="majorEastAsia"/>
          <w:szCs w:val="21"/>
        </w:rPr>
        <w:t>、1</w:t>
      </w:r>
      <w:r>
        <w:rPr>
          <w:rFonts w:asciiTheme="majorEastAsia" w:hAnsiTheme="majorEastAsia" w:eastAsiaTheme="majorEastAsia"/>
          <w:szCs w:val="21"/>
        </w:rPr>
        <w:t>3.4</w:t>
      </w:r>
      <w:r>
        <w:rPr>
          <w:rFonts w:hint="eastAsia" w:asciiTheme="majorEastAsia" w:hAnsiTheme="majorEastAsia" w:eastAsiaTheme="majorEastAsia"/>
          <w:szCs w:val="21"/>
        </w:rPr>
        <w:t>款规定执行。</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w:t>
      </w:r>
      <w:r>
        <w:rPr>
          <w:rFonts w:hint="eastAsia" w:asciiTheme="majorEastAsia" w:hAnsiTheme="majorEastAsia" w:eastAsiaTheme="majorEastAsia"/>
          <w:b/>
          <w:bCs/>
          <w:szCs w:val="21"/>
        </w:rPr>
        <w:t>3．招标文件的修改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32"/>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投标文件的编制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14．</w:t>
      </w:r>
      <w:bookmarkStart w:id="33" w:name="_Hlk72400236"/>
      <w:r>
        <w:rPr>
          <w:rFonts w:hint="eastAsia" w:asciiTheme="majorEastAsia" w:hAnsiTheme="majorEastAsia" w:eastAsiaTheme="majorEastAsia"/>
          <w:b/>
          <w:bCs/>
          <w:szCs w:val="21"/>
        </w:rPr>
        <w:t>投标文件的语言及度量单位</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14.2 除技术规范另有规定外，投标文件使用的度量单位，均采用中华人民共和国法定计量单位。</w:t>
      </w:r>
    </w:p>
    <w:bookmarkEnd w:id="33"/>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15．</w:t>
      </w:r>
      <w:bookmarkStart w:id="34" w:name="_Hlk72401567"/>
      <w:r>
        <w:rPr>
          <w:rFonts w:hint="eastAsia" w:asciiTheme="majorEastAsia" w:hAnsiTheme="majorEastAsia" w:eastAsiaTheme="majorEastAsia"/>
          <w:b/>
          <w:bCs/>
          <w:szCs w:val="21"/>
        </w:rPr>
        <w:t>投标文件的组成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具体内容在招标文件专用条款中进行规定。</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16．投标文件格式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投标文件包括本通用条款第</w:t>
      </w:r>
      <w:r>
        <w:rPr>
          <w:rFonts w:asciiTheme="majorEastAsia" w:hAnsiTheme="majorEastAsia" w:eastAsiaTheme="majorEastAsia"/>
          <w:szCs w:val="21"/>
        </w:rPr>
        <w:t>15条中规定的内容。如招标文件提供了投标文件格式，则</w:t>
      </w:r>
      <w:r>
        <w:rPr>
          <w:rFonts w:hint="eastAsia" w:asciiTheme="majorEastAsia" w:hAnsiTheme="majorEastAsia" w:eastAsiaTheme="majorEastAsia"/>
          <w:b/>
          <w:bCs/>
          <w:szCs w:val="21"/>
        </w:rPr>
        <w:t>投标人提交的投标文件应毫无例外地使用招标文件所提供的相应格式</w:t>
      </w:r>
      <w:r>
        <w:rPr>
          <w:rFonts w:hint="eastAsia" w:asciiTheme="majorEastAsia" w:hAnsiTheme="majorEastAsia" w:eastAsiaTheme="majorEastAsia"/>
          <w:szCs w:val="21"/>
        </w:rPr>
        <w:t>（表格均可按同样格式扩展）。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17．投标货币</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本项目的投标报价应以人民币计。</w:t>
      </w:r>
    </w:p>
    <w:bookmarkEnd w:id="34"/>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18．</w:t>
      </w:r>
      <w:bookmarkStart w:id="35" w:name="_Hlk72401735"/>
      <w:r>
        <w:rPr>
          <w:rFonts w:hint="eastAsia" w:asciiTheme="majorEastAsia" w:hAnsiTheme="majorEastAsia" w:eastAsiaTheme="majorEastAsia"/>
          <w:b/>
          <w:bCs/>
          <w:szCs w:val="21"/>
        </w:rPr>
        <w:t>证明投标文件投标技术方案的合格性和符合招标文件规定的文件要求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w:t>
      </w:r>
      <w:r>
        <w:rPr>
          <w:rFonts w:asciiTheme="majorEastAsia" w:hAnsiTheme="majorEastAsia" w:eastAsiaTheme="majorEastAsia"/>
          <w:szCs w:val="21"/>
        </w:rPr>
        <w:t xml:space="preserve">.1 </w:t>
      </w:r>
      <w:r>
        <w:rPr>
          <w:rFonts w:hint="eastAsia" w:asciiTheme="majorEastAsia" w:hAnsiTheme="majorEastAsia" w:eastAsiaTheme="major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 xml:space="preserve">.2 </w:t>
      </w:r>
      <w:r>
        <w:rPr>
          <w:rFonts w:hint="eastAsia" w:asciiTheme="majorEastAsia" w:hAnsiTheme="majorEastAsia" w:eastAsiaTheme="major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18.2.1主要技术指标和性能的详细说明。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2</w:t>
      </w:r>
      <w:r>
        <w:rPr>
          <w:rFonts w:hint="eastAsia" w:asciiTheme="majorEastAsia" w:hAnsiTheme="majorEastAsia" w:eastAsiaTheme="majorEastAsia"/>
          <w:szCs w:val="21"/>
        </w:rPr>
        <w:t>投标产品从采购人开始使用至招标文件中规定的周期内正常、连续地使用所必须的备件和专用工具清单，包括备件和专用工具的货源及现行价格。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3</w:t>
      </w:r>
      <w:r>
        <w:rPr>
          <w:rFonts w:hint="eastAsia" w:asciiTheme="majorEastAsia" w:hAnsiTheme="majorEastAsia" w:eastAsiaTheme="major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18.3相关资料不符合18.2款要求的，评审委员会有权认定为投标技术方案不合格响应，其相关分数予以扣减或作投标无效处理。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18.5除非另有规定或说明，投标人对同一项目投标时，不得同时提供两套或两套以上的投标方案。</w:t>
      </w:r>
    </w:p>
    <w:bookmarkEnd w:id="35"/>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19．</w:t>
      </w:r>
      <w:bookmarkStart w:id="36" w:name="_Hlk72402034"/>
      <w:r>
        <w:rPr>
          <w:rFonts w:hint="eastAsia" w:asciiTheme="majorEastAsia" w:hAnsiTheme="majorEastAsia" w:eastAsiaTheme="majorEastAsia"/>
          <w:b/>
          <w:bCs/>
          <w:szCs w:val="21"/>
        </w:rPr>
        <w:t>投标文件其他证明文件的要求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7" w:name="_Hlk71407299"/>
    </w:p>
    <w:bookmarkEnd w:id="37"/>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20．投标有效期</w:t>
      </w:r>
    </w:p>
    <w:bookmarkEnd w:id="36"/>
    <w:p>
      <w:pPr>
        <w:spacing w:line="360" w:lineRule="auto"/>
        <w:ind w:firstLine="411" w:firstLineChars="196"/>
        <w:rPr>
          <w:rFonts w:asciiTheme="majorEastAsia" w:hAnsiTheme="majorEastAsia" w:eastAsiaTheme="majorEastAsia"/>
          <w:szCs w:val="21"/>
        </w:rPr>
      </w:pPr>
      <w:bookmarkStart w:id="38" w:name="_Hlk72402214"/>
      <w:r>
        <w:rPr>
          <w:rFonts w:hint="eastAsia" w:asciiTheme="majorEastAsia" w:hAnsiTheme="majorEastAsia" w:eastAsiaTheme="majorEastAsia"/>
          <w:szCs w:val="21"/>
        </w:rPr>
        <w:t>20.1 投标有效期为</w:t>
      </w:r>
      <w:r>
        <w:rPr>
          <w:rFonts w:hint="eastAsia" w:cs="Arial" w:asciiTheme="majorEastAsia" w:hAnsiTheme="majorEastAsia" w:eastAsiaTheme="majorEastAsia"/>
          <w:szCs w:val="21"/>
        </w:rPr>
        <w:t>从投标截止之日算起的日历天数。</w:t>
      </w:r>
      <w:r>
        <w:rPr>
          <w:rFonts w:hint="eastAsia" w:asciiTheme="majorEastAsia" w:hAnsiTheme="majorEastAsia" w:eastAsiaTheme="majorEastAsia"/>
          <w:szCs w:val="21"/>
        </w:rPr>
        <w:t>在此期限内，所有投标文件均保持有效。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.3</w:t>
      </w:r>
      <w:r>
        <w:rPr>
          <w:rFonts w:hint="eastAsia" w:asciiTheme="majorEastAsia" w:hAnsiTheme="majorEastAsia" w:eastAsiaTheme="majorEastAsia"/>
          <w:szCs w:val="21"/>
        </w:rPr>
        <w:t xml:space="preserve"> 中标供应商的投标文件有效期，截止于完成本招标文件规定的全部项目内容，并通过竣工验收及保修期结束。</w:t>
      </w:r>
    </w:p>
    <w:bookmarkEnd w:id="38"/>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21．</w:t>
      </w:r>
      <w:bookmarkStart w:id="39" w:name="_Hlk72402325"/>
      <w:r>
        <w:rPr>
          <w:rFonts w:hint="eastAsia" w:asciiTheme="majorEastAsia" w:hAnsiTheme="majorEastAsia" w:eastAsiaTheme="majorEastAsia"/>
          <w:szCs w:val="21"/>
        </w:rPr>
        <w:t xml:space="preserve">关于投标保证金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21.1 根据《</w:t>
      </w:r>
      <w:r>
        <w:rPr>
          <w:rFonts w:asciiTheme="majorEastAsia" w:hAnsiTheme="majorEastAsia" w:eastAsiaTheme="majorEastAsia"/>
          <w:szCs w:val="21"/>
        </w:rPr>
        <w:t>深圳市财政局关于明确政府采购保证金管理工作的通知</w:t>
      </w:r>
      <w:r>
        <w:rPr>
          <w:rFonts w:hint="eastAsia" w:asciiTheme="majorEastAsia" w:hAnsiTheme="majorEastAsia" w:eastAsiaTheme="majorEastAsia"/>
          <w:szCs w:val="21"/>
        </w:rPr>
        <w:t>》（深财购[</w:t>
      </w:r>
      <w:r>
        <w:rPr>
          <w:rFonts w:asciiTheme="majorEastAsia" w:hAnsiTheme="majorEastAsia" w:eastAsiaTheme="majorEastAsia"/>
          <w:szCs w:val="21"/>
        </w:rPr>
        <w:t>2019]42</w:t>
      </w:r>
      <w:r>
        <w:rPr>
          <w:rFonts w:hint="eastAsia" w:asciiTheme="majorEastAsia" w:hAnsiTheme="majorEastAsia" w:eastAsiaTheme="majorEastAsia"/>
          <w:szCs w:val="21"/>
        </w:rPr>
        <w:t>号）文的规定，本项目不收取投标保证金。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22．投标人的替代方案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9"/>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23．</w:t>
      </w:r>
      <w:bookmarkStart w:id="40" w:name="_Hlk72402860"/>
      <w:r>
        <w:rPr>
          <w:rFonts w:asciiTheme="majorEastAsia" w:hAnsiTheme="majorEastAsia" w:eastAsiaTheme="majorEastAsia"/>
          <w:b/>
          <w:bCs/>
          <w:szCs w:val="21"/>
        </w:rPr>
        <w:t>投标文件的</w:t>
      </w:r>
      <w:r>
        <w:rPr>
          <w:rFonts w:hint="eastAsia" w:asciiTheme="majorEastAsia" w:hAnsiTheme="majorEastAsia" w:eastAsiaTheme="majorEastAsia"/>
          <w:b/>
          <w:bCs/>
          <w:szCs w:val="21"/>
        </w:rPr>
        <w:t>制作</w:t>
      </w:r>
      <w:r>
        <w:rPr>
          <w:rFonts w:asciiTheme="majorEastAsia" w:hAnsiTheme="majorEastAsia" w:eastAsiaTheme="majorEastAsia"/>
          <w:b/>
          <w:bCs/>
          <w:szCs w:val="21"/>
        </w:rPr>
        <w:t>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23.2投标人在使用《投标文件制作软件》编制投标书时须注意：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23.2.2不能用非本公司的电子密钥加密本公司的投标文件，或者用其它公司的登录用户上传本公司的投标文件。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23.2.3要求用《投标文件制作软件》编制投标书的包，不能用其它方式编制投标书。编制投标文件时，电脑须连通互联网。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23.2.5完整填写“投标关键信息”，如下图所示：</w:t>
      </w:r>
    </w:p>
    <w:p>
      <w:pPr>
        <w:tabs>
          <w:tab w:val="left" w:pos="0"/>
        </w:tabs>
        <w:spacing w:line="360" w:lineRule="auto"/>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8"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备注：上述“开标一览表”中的“投标总价”将作为价格分计算依据；其它信息仅是对投标文件相关内容的概括性表述，不作为评审依据。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23.2.6投标人在编辑投标文件时，</w:t>
      </w:r>
      <w:r>
        <w:rPr>
          <w:rFonts w:hint="eastAsia" w:asciiTheme="majorEastAsia" w:hAnsiTheme="majorEastAsia" w:eastAsiaTheme="majorEastAsia"/>
          <w:b/>
          <w:szCs w:val="21"/>
        </w:rPr>
        <w:t>在投标文件目录中属于本节点内容的必须在本节点中填写，填写到其他节点或附件，</w:t>
      </w:r>
      <w:r>
        <w:rPr>
          <w:rFonts w:hint="eastAsia" w:asciiTheme="majorEastAsia" w:hAnsiTheme="majorEastAsia" w:eastAsiaTheme="majorEastAsia"/>
          <w:szCs w:val="21"/>
        </w:rPr>
        <w:t>一切后果由供应商自行承担。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23.2.7投标文件编写完成后，</w:t>
      </w:r>
      <w:r>
        <w:rPr>
          <w:rFonts w:hint="eastAsia" w:asciiTheme="majorEastAsia" w:hAnsiTheme="majorEastAsia" w:eastAsiaTheme="majorEastAsia"/>
          <w:b/>
          <w:szCs w:val="21"/>
        </w:rPr>
        <w:t>必须用属于投标人的电子密钥进行加密，否则视同未盖公章，将导致投标文件无效。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23.3电报、电话、传真形式的投标概不接受。</w:t>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23.4经投标人电子密钥加密的投标文件无须盖章或签字，</w:t>
      </w:r>
      <w:r>
        <w:rPr>
          <w:rFonts w:hint="eastAsia" w:asciiTheme="majorEastAsia" w:hAnsiTheme="majorEastAsia" w:eastAsiaTheme="majorEastAsia"/>
          <w:szCs w:val="21"/>
        </w:rPr>
        <w:t>专用条款另有要求的除外。</w:t>
      </w:r>
    </w:p>
    <w:p>
      <w:pPr>
        <w:spacing w:line="360" w:lineRule="auto"/>
        <w:ind w:firstLine="413" w:firstLineChars="196"/>
        <w:rPr>
          <w:rFonts w:asciiTheme="majorEastAsia" w:hAnsiTheme="majorEastAsia" w:eastAsiaTheme="majorEastAsia"/>
          <w:szCs w:val="21"/>
        </w:rPr>
      </w:pPr>
      <w:r>
        <w:rPr>
          <w:rFonts w:hint="eastAsia" w:asciiTheme="majorEastAsia" w:hAnsiTheme="majorEastAsia" w:eastAsiaTheme="majorEastAsia"/>
          <w:b/>
          <w:szCs w:val="21"/>
        </w:rPr>
        <w:t>23.5</w:t>
      </w:r>
      <w:r>
        <w:rPr>
          <w:rFonts w:hint="eastAsia" w:asciiTheme="majorEastAsia" w:hAnsiTheme="majorEastAsia" w:eastAsiaTheme="majorEastAsia"/>
          <w:szCs w:val="21"/>
        </w:rPr>
        <w:t xml:space="preserve"> 各类资格（资质）文件提供扫描件，专用条款另有要求的除外。</w:t>
      </w:r>
      <w:bookmarkEnd w:id="40"/>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投标文件的递交</w:t>
      </w:r>
      <w:bookmarkStart w:id="41" w:name="_Hlk72405459"/>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24．投标书的保密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9"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在投标文件制作软件点击【生成标书】按钮进入【填写开标一览表界面】界面，在该界面填写完开标一览表信息后点击【确定】，进入投标文件生成环节。</w:t>
      </w:r>
      <w:r>
        <w:rPr>
          <w:rFonts w:asciiTheme="majorEastAsia" w:hAnsiTheme="majorEastAsia" w:eastAsiaTheme="majorEastAsia"/>
          <w:szCs w:val="21"/>
        </w:rPr>
        <w:drawing>
          <wp:inline distT="0" distB="0" distL="0" distR="0">
            <wp:extent cx="5278755" cy="2732405"/>
            <wp:effectExtent l="0" t="0" r="0" b="0"/>
            <wp:docPr id="12"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图形用户界面&#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投标文件制作软件会在投标文件生成过程中，提示用户输入密码，输入密码后对标文件自动进行加密。</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24.2若采购项目出现延期情况：</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）有更新，投标人必须重新下载招标文件、重新制作投标文件、重新加密投标文件、重新上传投标文件；如果供下载的招标文件（后缀名为.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25．上传投标文件及投标截止日期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1实行网上投标，</w:t>
      </w:r>
      <w:r>
        <w:rPr>
          <w:rFonts w:asciiTheme="majorEastAsia" w:hAnsiTheme="majorEastAsia" w:eastAsiaTheme="majorEastAsia"/>
          <w:szCs w:val="21"/>
        </w:rPr>
        <w:t>投标人必须</w:t>
      </w:r>
      <w:r>
        <w:rPr>
          <w:rFonts w:hint="eastAsia" w:asciiTheme="majorEastAsia" w:hAnsiTheme="majorEastAsia" w:eastAsiaTheme="majorEastAsia"/>
          <w:szCs w:val="21"/>
        </w:rPr>
        <w:t>在招标</w:t>
      </w:r>
      <w:r>
        <w:rPr>
          <w:rFonts w:asciiTheme="majorEastAsia" w:hAnsiTheme="majorEastAsia" w:eastAsiaTheme="majorEastAsia"/>
          <w:szCs w:val="21"/>
        </w:rPr>
        <w:t>文件规定的投标截止时间前</w:t>
      </w:r>
      <w:r>
        <w:rPr>
          <w:rFonts w:hint="eastAsia" w:asciiTheme="majorEastAsia" w:hAnsiTheme="majorEastAsia" w:eastAsiaTheme="major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3投标截止时间以后不得上传投标文件。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bookmarkEnd w:id="41"/>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26. 样品、现场演示、方案讲解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26.1 样品、现场演示、方案讲解等事项在招标文件专用条款中进行规定。</w:t>
      </w:r>
    </w:p>
    <w:p>
      <w:pPr>
        <w:spacing w:line="360" w:lineRule="auto"/>
        <w:rPr>
          <w:rFonts w:asciiTheme="majorEastAsia" w:hAnsiTheme="majorEastAsia" w:eastAsiaTheme="majorEastAsia"/>
          <w:b/>
          <w:bCs/>
          <w:szCs w:val="21"/>
        </w:rPr>
      </w:pPr>
      <w:bookmarkStart w:id="42" w:name="_Hlk72428346"/>
      <w:r>
        <w:rPr>
          <w:rFonts w:asciiTheme="majorEastAsia" w:hAnsiTheme="majorEastAsia" w:eastAsiaTheme="majorEastAsia"/>
          <w:b/>
          <w:bCs/>
          <w:szCs w:val="21"/>
        </w:rPr>
        <w:t>2</w:t>
      </w:r>
      <w:r>
        <w:rPr>
          <w:rFonts w:hint="eastAsia" w:asciiTheme="majorEastAsia" w:hAnsiTheme="majorEastAsia" w:eastAsiaTheme="majorEastAsia"/>
          <w:b/>
          <w:bCs/>
          <w:szCs w:val="21"/>
        </w:rPr>
        <w:t>7．</w:t>
      </w:r>
      <w:r>
        <w:rPr>
          <w:rFonts w:asciiTheme="majorEastAsia" w:hAnsiTheme="majorEastAsia" w:eastAsiaTheme="majorEastAsia"/>
          <w:b/>
          <w:bCs/>
          <w:szCs w:val="21"/>
        </w:rPr>
        <w:t>投标文件的修改和撤销</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1</w:t>
      </w:r>
      <w:r>
        <w:rPr>
          <w:rFonts w:asciiTheme="majorEastAsia" w:hAnsiTheme="majorEastAsia" w:eastAsiaTheme="majorEastAsia"/>
          <w:szCs w:val="21"/>
        </w:rPr>
        <w:t>投标方在提交投标文件后可对其投标文件进行修改</w:t>
      </w:r>
      <w:r>
        <w:rPr>
          <w:rFonts w:hint="eastAsia" w:asciiTheme="majorEastAsia" w:hAnsiTheme="majorEastAsia" w:eastAsiaTheme="majorEastAsia"/>
          <w:szCs w:val="21"/>
        </w:rPr>
        <w:t>并重新上传投标文件</w:t>
      </w:r>
      <w:r>
        <w:rPr>
          <w:rFonts w:asciiTheme="majorEastAsia" w:hAnsiTheme="majorEastAsia" w:eastAsiaTheme="majorEastAsia"/>
          <w:szCs w:val="21"/>
        </w:rPr>
        <w:t>或</w:t>
      </w:r>
      <w:r>
        <w:rPr>
          <w:rFonts w:hint="eastAsia" w:asciiTheme="majorEastAsia" w:hAnsiTheme="majorEastAsia" w:eastAsiaTheme="majorEastAsia"/>
          <w:szCs w:val="21"/>
        </w:rPr>
        <w:t>在网上进行</w:t>
      </w:r>
      <w:r>
        <w:rPr>
          <w:rFonts w:asciiTheme="majorEastAsia" w:hAnsiTheme="majorEastAsia" w:eastAsiaTheme="majorEastAsia"/>
          <w:szCs w:val="21"/>
        </w:rPr>
        <w:t>撤销</w:t>
      </w:r>
      <w:r>
        <w:rPr>
          <w:rFonts w:hint="eastAsia" w:asciiTheme="majorEastAsia" w:hAnsiTheme="majorEastAsia" w:eastAsiaTheme="majorEastAsia"/>
          <w:szCs w:val="21"/>
        </w:rPr>
        <w:t>投标的操作</w:t>
      </w:r>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投标截止时间以后不得修改投标文件。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3从投标截止期至投标人在投标文件中确定的投标有效期之间的这段时间内，投标人不得撤回其投标。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27.4采购代理机构不退还投标文件，专用条款另有规定的除外。</w:t>
      </w:r>
    </w:p>
    <w:bookmarkEnd w:id="42"/>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开标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28．开标</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1投标人须在开标当日的开标时间至解密截止时间内进行解密，逾期未解密的作无效处理。解密方法：登录“深圳政府采购智慧平台用户网上办事子系统（</w:t>
      </w:r>
      <w:r>
        <w:rPr>
          <w:rFonts w:asciiTheme="majorEastAsia" w:hAnsiTheme="majorEastAsia" w:eastAsiaTheme="majorEastAsia"/>
          <w:szCs w:val="21"/>
        </w:rPr>
        <w:t>http://zfcg.szggzy.com/</w:t>
      </w:r>
      <w:r>
        <w:rPr>
          <w:rFonts w:hint="eastAsia" w:asciiTheme="majorEastAsia" w:hAnsiTheme="majorEastAsia" w:eastAsiaTheme="major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8.2 </w:t>
      </w:r>
      <w:r>
        <w:rPr>
          <w:rFonts w:hint="eastAsia" w:asciiTheme="majorEastAsia" w:hAnsiTheme="majorEastAsia" w:eastAsiaTheme="majorEastAsia"/>
          <w:szCs w:val="21"/>
        </w:rPr>
        <w:t>采购代理机构将在满足开标条件（</w:t>
      </w:r>
      <w:r>
        <w:rPr>
          <w:rFonts w:hint="eastAsia" w:cs="宋体" w:asciiTheme="majorEastAsia" w:hAnsiTheme="majorEastAsia" w:eastAsiaTheme="majorEastAsia"/>
          <w:color w:val="333333"/>
          <w:szCs w:val="21"/>
          <w:shd w:val="clear" w:color="auto" w:fill="FFFFFF"/>
        </w:rPr>
        <w:t>①</w:t>
      </w:r>
      <w:r>
        <w:rPr>
          <w:rFonts w:hint="eastAsia" w:asciiTheme="majorEastAsia" w:hAnsiTheme="majorEastAsia" w:eastAsiaTheme="majorEastAsia"/>
          <w:szCs w:val="21"/>
        </w:rPr>
        <w:t>解密时间结束，解密后的投标供应商数量满足开标要求或</w:t>
      </w:r>
      <w:r>
        <w:rPr>
          <w:rFonts w:hint="eastAsia" w:cs="宋体" w:asciiTheme="majorEastAsia" w:hAnsiTheme="majorEastAsia" w:eastAsiaTheme="majorEastAsia"/>
          <w:color w:val="333333"/>
          <w:szCs w:val="21"/>
          <w:shd w:val="clear" w:color="auto" w:fill="FFFFFF"/>
        </w:rPr>
        <w:t>②</w:t>
      </w:r>
      <w:r>
        <w:rPr>
          <w:rFonts w:hint="eastAsia" w:asciiTheme="majorEastAsia" w:hAnsiTheme="majorEastAsia" w:eastAsiaTheme="majorEastAsia"/>
          <w:szCs w:val="21"/>
        </w:rPr>
        <w:t>解密时间结束前所有投标供应商均完成投标文件解密）后，对投标文件进行开标，并在网上公布开标结果。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评审要求</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29．评审委员会组成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29.1网上开标结束后召开评审会议，评审委员会由采购代理机构依法组建，负责评审活动。</w:t>
      </w:r>
    </w:p>
    <w:p>
      <w:pPr>
        <w:spacing w:line="360" w:lineRule="auto"/>
        <w:ind w:firstLine="411" w:firstLineChars="196"/>
        <w:rPr>
          <w:rFonts w:asciiTheme="majorEastAsia" w:hAnsiTheme="majorEastAsia" w:eastAsiaTheme="majorEastAsia"/>
          <w:szCs w:val="21"/>
        </w:rPr>
      </w:pPr>
      <w:bookmarkStart w:id="43" w:name="_Hlk72436580"/>
      <w:r>
        <w:rPr>
          <w:rFonts w:hint="eastAsia" w:asciiTheme="majorEastAsia" w:hAnsiTheme="majorEastAsia" w:eastAsiaTheme="majorEastAsia"/>
          <w:szCs w:val="21"/>
        </w:rPr>
        <w:t>评审委员会由采购人代表和评审专家组成，成员人数应当为5人以上单数（部分条件下为7人以上单数），其中评审专家不得少于成员总数的三分之二。</w:t>
      </w:r>
      <w:bookmarkEnd w:id="43"/>
      <w:r>
        <w:rPr>
          <w:rFonts w:hint="eastAsia" w:asciiTheme="majorEastAsia" w:hAnsiTheme="majorEastAsia" w:eastAsiaTheme="majorEastAsia"/>
          <w:szCs w:val="21"/>
        </w:rPr>
        <w:t>评定分离项目</w:t>
      </w:r>
      <w:r>
        <w:rPr>
          <w:rFonts w:asciiTheme="majorEastAsia" w:hAnsiTheme="majorEastAsia" w:eastAsiaTheme="majorEastAsia"/>
          <w:szCs w:val="21"/>
        </w:rPr>
        <w:t>评审专家</w:t>
      </w:r>
      <w:r>
        <w:rPr>
          <w:rFonts w:hint="eastAsia" w:asciiTheme="majorEastAsia" w:hAnsiTheme="majorEastAsia" w:eastAsiaTheme="majorEastAsia"/>
          <w:szCs w:val="21"/>
        </w:rPr>
        <w:t>均</w:t>
      </w:r>
      <w:r>
        <w:rPr>
          <w:rFonts w:asciiTheme="majorEastAsia" w:hAnsiTheme="majorEastAsia" w:eastAsiaTheme="majorEastAsia"/>
          <w:szCs w:val="21"/>
        </w:rPr>
        <w:t>由</w:t>
      </w:r>
      <w:r>
        <w:rPr>
          <w:rFonts w:hint="eastAsia" w:asciiTheme="majorEastAsia" w:hAnsiTheme="majorEastAsia" w:eastAsiaTheme="majorEastAsia"/>
          <w:szCs w:val="21"/>
        </w:rPr>
        <w:t>评审专家组成。评审专家一般是从深圳市政府采购评审专家库中随机抽取。采购人代表须持本单位签发的《评审授权书》参加评审。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29.2评审定标应当遵循公平、公正、科学、择优的原则。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29.3评审活动依法进行，任何单位和个人不得非法干预评标过程和结果。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29.4评审过程中不允许违背评标程序或采用招标文件未载明的评标方法或评标因素进行评标。</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29.5 开标后，直到签订合同为止，凡属于对投标文件的审查、澄清、评价和比较的有关资料以及中标候选人的推荐情况、与评审有关的其他任何情况均严格保密（</w:t>
      </w:r>
      <w:r>
        <w:rPr>
          <w:rFonts w:hint="eastAsia" w:asciiTheme="majorEastAsia" w:hAnsiTheme="majorEastAsia" w:eastAsiaTheme="majorEastAsia"/>
          <w:szCs w:val="21"/>
        </w:rPr>
        <w:t>信息公开的内容除外</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30．向评审委员会提供的资料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30.1公开发布的招标文件，包括图纸、服务清单、答疑文件等；</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30.2其他评标必须的资料。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30.3评审委员会应当认真研究招标文件，至少应了解熟悉以下内容：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（1）招标的目的；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（2）招标项目需求的范围和性质；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（3）招标文件规定的投标人的资格、财政预算限额、商务条款；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（4）招标文件规定的评标程序、评标方法和评标因素；</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（5）招标文件所列示的资格性审查表及符合性审查表。</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31．独立评审</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bCs/>
          <w:szCs w:val="21"/>
        </w:rPr>
        <w:t>1</w:t>
      </w:r>
      <w:r>
        <w:rPr>
          <w:rFonts w:hint="eastAsia" w:asciiTheme="majorEastAsia" w:hAnsiTheme="majorEastAsia" w:eastAsiaTheme="majorEastAsia"/>
          <w:bCs/>
          <w:szCs w:val="21"/>
        </w:rPr>
        <w:t>.1</w:t>
      </w:r>
      <w:r>
        <w:rPr>
          <w:rFonts w:hint="eastAsia" w:asciiTheme="majorEastAsia" w:hAnsiTheme="majorEastAsia" w:eastAsiaTheme="majorEastAsia"/>
          <w:szCs w:val="21"/>
        </w:rPr>
        <w:t>评审委员会</w:t>
      </w:r>
      <w:r>
        <w:rPr>
          <w:rFonts w:hint="eastAsia" w:asciiTheme="majorEastAsia" w:hAnsiTheme="majorEastAsia" w:eastAsiaTheme="majorEastAsia"/>
          <w:bCs/>
          <w:szCs w:val="21"/>
        </w:rPr>
        <w:t>成员的评标活动应当独立进行，并应遵循投标文件初审、澄清有关问题、比较与评价、确定中标供应商、编写评审报告的工作程序。</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评审程序及评审方法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32．投标文件初审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32.1投标文件初审包括资格性审查和符合性审查。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资格性审查：依据法律法规和招标文件的规定，对投标文件中的资格证明等进行审查，以确定投标供应商是否具备投标资格。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符合性审查：依据招标文件的规定，对投标文件的有效性、完整性和对招标文件的响应程度进行审查，以确定是否满足符合性审查的要求。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32.2 投标文件初审内容请详见《资格性审查表》和《符合性审查表》部分。投标人若有一条审查不通过则按投标无效处理。</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 投标文件初审中关于供应商家数的计算:</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32.4投标人投标文件作无效处理的情形，具体包括但不限于以下：</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32.4.1不同投标人的投标文件由同一单位或者同一个人编制，或者由同一个人分阶段参与编制；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32.4.</w:t>
      </w:r>
      <w:r>
        <w:rPr>
          <w:rFonts w:hint="eastAsia" w:asciiTheme="majorEastAsia" w:hAnsiTheme="majorEastAsia" w:eastAsiaTheme="majorEastAsia"/>
          <w:szCs w:val="21"/>
        </w:rPr>
        <w:t>2不同投标人委托同一单位或者个人办理投标事宜；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32.4.3不同投标人的投标文件载明的项目管理成员或者联系人员为同一人；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32.4.4不同投标人的投标文件异常一致或者投标报价呈规律性差异；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32.4.5</w:t>
      </w:r>
      <w:r>
        <w:rPr>
          <w:rFonts w:asciiTheme="majorEastAsia" w:hAnsiTheme="majorEastAsia" w:eastAsiaTheme="majorEastAsia"/>
          <w:szCs w:val="21"/>
        </w:rPr>
        <w:t>不同投标供应商的投标文件或部分投标文件相互混装</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32.4.6投标供应商之间相互约定给予未中标的供应商利益补偿；</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32.4.8不同投标供应商的投标文件内容存在非正常一致；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32.4.9在同一单位工作人员为两家以上（含两家）供应商进行同一项投标活动；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32.4.10主管部门依照法律、法规认定的其他情形。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32.5对不属于《资格性审查表》和《符合性审查表》所列的其他情形，除专用条款另有规定和32.4条款所列情形外，不得作为投标无效的理由。</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33．澄清有关问题</w:t>
      </w:r>
    </w:p>
    <w:p>
      <w:pPr>
        <w:spacing w:line="360" w:lineRule="auto"/>
        <w:ind w:firstLine="411" w:firstLineChars="196"/>
        <w:rPr>
          <w:rFonts w:asciiTheme="majorEastAsia" w:hAnsiTheme="majorEastAsia" w:eastAsiaTheme="majorEastAsia"/>
          <w:szCs w:val="21"/>
        </w:rPr>
      </w:pPr>
      <w:bookmarkStart w:id="44" w:name="_Hlk71407321"/>
      <w:r>
        <w:rPr>
          <w:rFonts w:hint="eastAsia" w:asciiTheme="majorEastAsia" w:hAnsiTheme="majorEastAsia" w:eastAsiaTheme="majorEastAsia"/>
          <w:szCs w:val="21"/>
        </w:rPr>
        <w:t>3</w:t>
      </w:r>
      <w:r>
        <w:rPr>
          <w:rFonts w:asciiTheme="majorEastAsia" w:hAnsiTheme="majorEastAsia" w:eastAsiaTheme="majorEastAsia"/>
          <w:szCs w:val="21"/>
        </w:rPr>
        <w:t>3.1</w:t>
      </w:r>
      <w:r>
        <w:rPr>
          <w:rFonts w:hint="eastAsia" w:asciiTheme="majorEastAsia" w:hAnsiTheme="majorEastAsia" w:eastAsiaTheme="majorEastAsia"/>
          <w:szCs w:val="21"/>
        </w:rPr>
        <w:t>对招标文件中描述有歧义或前后不一致的地方（不含</w:t>
      </w:r>
      <w:r>
        <w:rPr>
          <w:rFonts w:asciiTheme="majorEastAsia" w:hAnsiTheme="majorEastAsia" w:eastAsiaTheme="majorEastAsia"/>
          <w:szCs w:val="21"/>
        </w:rPr>
        <w:t>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w:t>
      </w:r>
      <w:r>
        <w:rPr>
          <w:rFonts w:hint="eastAsia" w:asciiTheme="majorEastAsia" w:hAnsiTheme="majorEastAsia" w:eastAsiaTheme="majorEastAsia"/>
          <w:szCs w:val="21"/>
        </w:rPr>
        <w:t>的情况），评审委员会有权进行评判，但对同一条款的评判应适用于每个投标人。</w:t>
      </w:r>
      <w:bookmarkEnd w:id="4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3.2评</w:t>
      </w:r>
      <w:r>
        <w:rPr>
          <w:rFonts w:hint="eastAsia" w:asciiTheme="majorEastAsia" w:hAnsiTheme="majorEastAsia" w:eastAsiaTheme="majorEastAsia"/>
          <w:szCs w:val="21"/>
        </w:rPr>
        <w:t>审</w:t>
      </w:r>
      <w:r>
        <w:rPr>
          <w:rFonts w:asciiTheme="majorEastAsia" w:hAnsiTheme="majorEastAsia" w:eastAsiaTheme="majorEastAsia"/>
          <w:szCs w:val="21"/>
        </w:rPr>
        <w:t>委员会发现招标文件存在歧义、重大缺陷导致评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工作无法进行，或者招标文件内容违反国家有关强制性规定的，应当停止评</w:t>
      </w:r>
      <w:r>
        <w:rPr>
          <w:rFonts w:hint="eastAsia" w:asciiTheme="majorEastAsia" w:hAnsiTheme="majorEastAsia" w:eastAsiaTheme="majorEastAsia"/>
          <w:szCs w:val="21"/>
        </w:rPr>
        <w:t>审</w:t>
      </w:r>
      <w:r>
        <w:rPr>
          <w:rFonts w:asciiTheme="majorEastAsia" w:hAnsiTheme="majorEastAsia" w:eastAsiaTheme="majorEastAsia"/>
          <w:szCs w:val="21"/>
        </w:rPr>
        <w:t>工作，与</w:t>
      </w:r>
      <w:r>
        <w:rPr>
          <w:rFonts w:hint="eastAsia" w:asciiTheme="majorEastAsia" w:hAnsiTheme="majorEastAsia" w:eastAsiaTheme="majorEastAsia"/>
          <w:szCs w:val="21"/>
        </w:rPr>
        <w:t>采购代理机构</w:t>
      </w:r>
      <w:r>
        <w:rPr>
          <w:rFonts w:asciiTheme="majorEastAsia" w:hAnsiTheme="majorEastAsia" w:eastAsiaTheme="majorEastAsia"/>
          <w:szCs w:val="21"/>
        </w:rPr>
        <w:t>沟通并作书面记录。</w:t>
      </w:r>
      <w:r>
        <w:rPr>
          <w:rFonts w:hint="eastAsia" w:asciiTheme="majorEastAsia" w:hAnsiTheme="majorEastAsia" w:eastAsiaTheme="majorEastAsia"/>
          <w:szCs w:val="21"/>
        </w:rPr>
        <w:t>经</w:t>
      </w:r>
      <w:r>
        <w:rPr>
          <w:rFonts w:asciiTheme="majorEastAsia" w:hAnsiTheme="majorEastAsia" w:eastAsiaTheme="majorEastAsia"/>
          <w:szCs w:val="21"/>
        </w:rPr>
        <w:t>确认后，</w:t>
      </w:r>
      <w:r>
        <w:rPr>
          <w:rFonts w:hint="eastAsia" w:asciiTheme="majorEastAsia" w:hAnsiTheme="majorEastAsia" w:eastAsiaTheme="majorEastAsia"/>
          <w:szCs w:val="21"/>
        </w:rPr>
        <w:t>项目</w:t>
      </w:r>
      <w:r>
        <w:rPr>
          <w:rFonts w:asciiTheme="majorEastAsia" w:hAnsiTheme="majorEastAsia" w:eastAsiaTheme="majorEastAsia"/>
          <w:szCs w:val="21"/>
        </w:rPr>
        <w:t>应当修改招标文件，重新组织采购活动。</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33.3</w:t>
      </w:r>
      <w:r>
        <w:rPr>
          <w:rFonts w:hint="eastAsia" w:asciiTheme="majorEastAsia" w:hAnsiTheme="majorEastAsia" w:eastAsiaTheme="major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根据本通用条款第34条，凡属于评审委员会在评审中发现的算术错误进行核实的修改不在此列。</w:t>
      </w:r>
    </w:p>
    <w:p>
      <w:pPr>
        <w:spacing w:line="360" w:lineRule="auto"/>
        <w:rPr>
          <w:rFonts w:asciiTheme="majorEastAsia" w:hAnsiTheme="majorEastAsia" w:eastAsiaTheme="majorEastAsia"/>
          <w:b/>
          <w:bCs/>
          <w:szCs w:val="21"/>
        </w:rPr>
      </w:pPr>
      <w:bookmarkStart w:id="45" w:name="_Toc73518151"/>
      <w:bookmarkStart w:id="46" w:name="_Toc73521581"/>
      <w:bookmarkStart w:id="47" w:name="_Toc73521669"/>
      <w:bookmarkStart w:id="48" w:name="_Toc100052400"/>
      <w:bookmarkStart w:id="49" w:name="_Toc73517673"/>
      <w:r>
        <w:rPr>
          <w:rFonts w:hint="eastAsia" w:asciiTheme="majorEastAsia" w:hAnsiTheme="majorEastAsia" w:eastAsiaTheme="majorEastAsia"/>
          <w:b/>
          <w:bCs/>
          <w:szCs w:val="21"/>
        </w:rPr>
        <w:t>34．错误的修正</w:t>
      </w:r>
      <w:bookmarkEnd w:id="45"/>
      <w:bookmarkEnd w:id="46"/>
      <w:bookmarkEnd w:id="47"/>
      <w:bookmarkEnd w:id="48"/>
      <w:bookmarkEnd w:id="4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投标文件报价出现前后不一致的，除专用条款另有规定外，按照下列规定修正：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34.1投标文件中开标一览表投标报价内容与投标文件中投标报价相应内容不一致的，以开标一览表为准；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34.2大写金额和小写金额不一致的，以大写金额为准；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34.3单价金额小数点或者百分比有明显错位，以开标一览表的总价为准，并修改单价；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34.4总价金额与按单价汇总金额不一致的，以单价金额计算结果为准。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35．投标文件的比较与评价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36. 实地考察或资料查验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37．评审方法</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37.1.1最低价法</w:t>
      </w:r>
    </w:p>
    <w:p>
      <w:pPr>
        <w:spacing w:line="360" w:lineRule="auto"/>
        <w:ind w:firstLine="411" w:firstLineChars="196"/>
        <w:rPr>
          <w:rFonts w:asciiTheme="majorEastAsia" w:hAnsiTheme="majorEastAsia" w:eastAsiaTheme="majorEastAsia"/>
          <w:szCs w:val="21"/>
        </w:rPr>
      </w:pPr>
      <w:bookmarkStart w:id="50" w:name="_Hlk72438142"/>
      <w:r>
        <w:rPr>
          <w:rFonts w:asciiTheme="majorEastAsia" w:hAnsiTheme="majorEastAsia" w:eastAsiaTheme="majorEastAsia"/>
          <w:szCs w:val="21"/>
        </w:rPr>
        <w:t>最低价法，是指</w:t>
      </w:r>
      <w:r>
        <w:rPr>
          <w:rFonts w:hint="eastAsia" w:asciiTheme="majorEastAsia" w:hAnsiTheme="majorEastAsia" w:eastAsiaTheme="majorEastAsia"/>
          <w:szCs w:val="21"/>
        </w:rPr>
        <w:t>完全</w:t>
      </w:r>
      <w:r>
        <w:rPr>
          <w:rFonts w:asciiTheme="majorEastAsia" w:hAnsiTheme="majorEastAsia" w:eastAsiaTheme="majorEastAsia"/>
          <w:szCs w:val="21"/>
        </w:rPr>
        <w:t>满足招标文件实质性要求，</w:t>
      </w:r>
      <w:r>
        <w:rPr>
          <w:rFonts w:hint="eastAsia" w:asciiTheme="majorEastAsia" w:hAnsiTheme="majorEastAsia" w:eastAsiaTheme="majorEastAsia"/>
          <w:szCs w:val="21"/>
        </w:rPr>
        <w:t>按照报价由低到高的顺序，依据招标文件中规定的数量或者比例推荐候选中标供应商。</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37.1.2综合评分法</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综合评分法，是指</w:t>
      </w:r>
      <w:r>
        <w:rPr>
          <w:rFonts w:hint="eastAsia" w:asciiTheme="majorEastAsia" w:hAnsiTheme="majorEastAsia" w:eastAsiaTheme="majorEastAsia"/>
          <w:szCs w:val="21"/>
        </w:rPr>
        <w:t>在</w:t>
      </w:r>
      <w:r>
        <w:rPr>
          <w:rFonts w:asciiTheme="majorEastAsia" w:hAnsiTheme="majorEastAsia" w:eastAsiaTheme="majorEastAsia"/>
          <w:szCs w:val="21"/>
        </w:rPr>
        <w:t>满足招标文件全部实质性要求</w:t>
      </w:r>
      <w:r>
        <w:rPr>
          <w:rFonts w:hint="eastAsia" w:asciiTheme="majorEastAsia" w:hAnsiTheme="majorEastAsia" w:eastAsiaTheme="majorEastAsia"/>
          <w:szCs w:val="21"/>
        </w:rPr>
        <w:t>的前提下</w:t>
      </w:r>
      <w:r>
        <w:rPr>
          <w:rFonts w:asciiTheme="majorEastAsia" w:hAnsiTheme="majorEastAsia" w:eastAsiaTheme="majorEastAsia"/>
          <w:szCs w:val="21"/>
        </w:rPr>
        <w:t>，</w:t>
      </w:r>
      <w:r>
        <w:rPr>
          <w:rFonts w:hint="eastAsia" w:asciiTheme="majorEastAsia" w:hAnsiTheme="majorEastAsia" w:eastAsiaTheme="majorEastAsia"/>
          <w:szCs w:val="21"/>
        </w:rPr>
        <w:t>按照招标文件中规定的各项因素进行综合评审，评审总得分排名前列的投标人，作为推荐的候选中标供应商。</w:t>
      </w:r>
      <w:bookmarkEnd w:id="50"/>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37.2 本项目采用的评审方法见本项目招标文件第一册“专用条款”的相关内容。</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37.3重新评审的情形</w:t>
      </w:r>
    </w:p>
    <w:p>
      <w:pPr>
        <w:spacing w:line="360" w:lineRule="auto"/>
        <w:ind w:firstLine="411" w:firstLineChars="196"/>
        <w:rPr>
          <w:rFonts w:asciiTheme="majorEastAsia" w:hAnsiTheme="majorEastAsia" w:eastAsiaTheme="majorEastAsia"/>
          <w:b/>
          <w:bCs/>
          <w:szCs w:val="21"/>
        </w:rPr>
      </w:pPr>
      <w:r>
        <w:rPr>
          <w:rFonts w:hint="eastAsia" w:cs="宋体" w:asciiTheme="majorEastAsia" w:hAnsiTheme="majorEastAsia" w:eastAsiaTheme="majorEastAsia"/>
          <w:szCs w:val="21"/>
        </w:rPr>
        <w:t>评审结果汇总完成后，除下列情形外，任何人不得修改评审结果：</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37.3.1分值汇总计算错误的；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37.3.2分项评分超出评分标准范围的；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37.3.3评审委员会成员对客观评审因素评分不一致的；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37.3.4经评审委员会认定评分畸高、畸低的。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 xml:space="preserve"> 37.4重新组建评审委员会的情形</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评审委员会或者其成员存在下列情形导致评审结果无效的，重新组建评审委员会进行评标，并书面报告本级财政部门：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37.4.1评审委员会组成不符合《政府采购货物和服务招标投标管理办法》规定的；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37.4.2有《政府采购货物和服务招标投标管理办法》第六十二条第一至五项情形的；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37.4.3评审委员会及其成员独立评标受到非法干预的；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37.4.4有政府采购法实施条例第七十五条规定的违法行为的。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有违法违规行为的原评审委员会成员不得参加重新组建的评审委员会。</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定标及公示</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38．定标方法</w:t>
      </w:r>
    </w:p>
    <w:p>
      <w:pPr>
        <w:spacing w:line="360" w:lineRule="auto"/>
        <w:ind w:firstLine="411" w:firstLineChars="196"/>
        <w:rPr>
          <w:rFonts w:asciiTheme="majorEastAsia" w:hAnsiTheme="majorEastAsia" w:eastAsiaTheme="majorEastAsia"/>
          <w:szCs w:val="21"/>
        </w:rPr>
      </w:pPr>
      <w:bookmarkStart w:id="51" w:name="_Hlk73782795"/>
      <w:r>
        <w:rPr>
          <w:rFonts w:hint="eastAsia" w:asciiTheme="majorEastAsia" w:hAnsiTheme="majorEastAsia" w:eastAsiaTheme="majorEastAsia"/>
          <w:szCs w:val="21"/>
        </w:rPr>
        <w:t>38.1非评定分离项目定标方法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1.2</w:t>
      </w:r>
      <w:r>
        <w:rPr>
          <w:rFonts w:asciiTheme="majorEastAsia" w:hAnsiTheme="majorEastAsia" w:eastAsiaTheme="majorEastAsia"/>
          <w:szCs w:val="21"/>
        </w:rPr>
        <w:t>采用最低价法的，评</w:t>
      </w:r>
      <w:r>
        <w:rPr>
          <w:rFonts w:hint="eastAsia" w:asciiTheme="majorEastAsia" w:hAnsiTheme="majorEastAsia" w:eastAsiaTheme="majorEastAsia"/>
          <w:szCs w:val="21"/>
        </w:rPr>
        <w:t>审</w:t>
      </w:r>
      <w:r>
        <w:rPr>
          <w:rFonts w:asciiTheme="majorEastAsia" w:hAnsiTheme="majorEastAsia" w:eastAsiaTheme="majorEastAsia"/>
          <w:szCs w:val="21"/>
        </w:rPr>
        <w:t>结果按投标报价由低到高顺序排列。投标报价相同的并列。投标文件满足招标文件全部实质性要求且投标报价最低的</w:t>
      </w:r>
      <w:r>
        <w:rPr>
          <w:rFonts w:hint="eastAsia" w:asciiTheme="majorEastAsia" w:hAnsiTheme="majorEastAsia" w:eastAsiaTheme="majorEastAsia"/>
          <w:szCs w:val="21"/>
        </w:rPr>
        <w:t>投标人为</w:t>
      </w:r>
      <w:bookmarkStart w:id="52" w:name="_Hlk73821177"/>
      <w:r>
        <w:rPr>
          <w:rFonts w:hint="eastAsia" w:asciiTheme="majorEastAsia" w:hAnsiTheme="majorEastAsia" w:eastAsiaTheme="majorEastAsia"/>
          <w:szCs w:val="21"/>
        </w:rPr>
        <w:t>中标供应商</w:t>
      </w:r>
      <w:r>
        <w:rPr>
          <w:rFonts w:asciiTheme="majorEastAsia" w:hAnsiTheme="majorEastAsia" w:eastAsiaTheme="majorEastAsia"/>
          <w:szCs w:val="21"/>
        </w:rPr>
        <w:t>（</w:t>
      </w:r>
      <w:r>
        <w:rPr>
          <w:rFonts w:hint="eastAsia" w:asciiTheme="majorEastAsia" w:hAnsiTheme="majorEastAsia" w:eastAsiaTheme="majorEastAsia"/>
          <w:szCs w:val="21"/>
        </w:rPr>
        <w:t>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bookmarkEnd w:id="52"/>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1.3</w:t>
      </w:r>
      <w:r>
        <w:rPr>
          <w:rFonts w:asciiTheme="majorEastAsia" w:hAnsiTheme="majorEastAsia" w:eastAsia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Theme="majorEastAsia" w:hAnsiTheme="majorEastAsia" w:eastAsiaTheme="majorEastAsia"/>
          <w:szCs w:val="21"/>
        </w:rPr>
        <w:t>为中标供应商</w:t>
      </w:r>
      <w:r>
        <w:rPr>
          <w:rFonts w:asciiTheme="majorEastAsia" w:hAnsiTheme="majorEastAsia" w:eastAsiaTheme="majorEastAsia"/>
          <w:szCs w:val="21"/>
        </w:rPr>
        <w:t>（</w:t>
      </w:r>
      <w:r>
        <w:rPr>
          <w:rFonts w:hint="eastAsia" w:asciiTheme="majorEastAsia" w:hAnsiTheme="majorEastAsia" w:eastAsiaTheme="majorEastAsia"/>
          <w:szCs w:val="21"/>
        </w:rPr>
        <w:t>中标候选人如不止一名，则推选排名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r>
        <w:rPr>
          <w:rFonts w:asciiTheme="majorEastAsia" w:hAnsiTheme="majorEastAsia" w:eastAsiaTheme="majorEastAsia"/>
          <w:szCs w:val="21"/>
        </w:rPr>
        <w:t>）。</w:t>
      </w:r>
      <w:r>
        <w:rPr>
          <w:rFonts w:hint="eastAsia" w:asciiTheme="majorEastAsia" w:hAnsiTheme="majorEastAsia" w:eastAsiaTheme="majorEastAsia"/>
          <w:szCs w:val="21"/>
        </w:rPr>
        <w:t>出现</w:t>
      </w:r>
      <w:r>
        <w:rPr>
          <w:rFonts w:asciiTheme="majorEastAsia" w:hAnsiTheme="majorEastAsia" w:eastAsiaTheme="majorEastAsia"/>
          <w:szCs w:val="21"/>
        </w:rPr>
        <w:t>得分且投标报价相同的并列</w:t>
      </w:r>
      <w:r>
        <w:rPr>
          <w:rFonts w:hint="eastAsia" w:asciiTheme="majorEastAsia" w:hAnsiTheme="majorEastAsia" w:eastAsiaTheme="majorEastAsia"/>
          <w:szCs w:val="21"/>
        </w:rPr>
        <w:t>情况时，采取随机抽取的方式确定，具体操作办法及流程由评审委员会确定。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 xml:space="preserve">38.2.2 </w:t>
      </w:r>
      <w:bookmarkStart w:id="53" w:name="_Hlk71469733"/>
      <w:r>
        <w:rPr>
          <w:rFonts w:asciiTheme="majorEastAsia" w:hAnsiTheme="majorEastAsia" w:eastAsiaTheme="majorEastAsia"/>
          <w:szCs w:val="21"/>
        </w:rPr>
        <w:t>适用评定分离的政府采购项目，采用综合评分法评</w:t>
      </w:r>
      <w:r>
        <w:rPr>
          <w:rFonts w:hint="eastAsia" w:asciiTheme="majorEastAsia" w:hAnsiTheme="majorEastAsia" w:eastAsiaTheme="majorEastAsia"/>
          <w:szCs w:val="21"/>
        </w:rPr>
        <w:t>审。评审委员会按照评审结果，推荐</w:t>
      </w:r>
      <w:r>
        <w:rPr>
          <w:rFonts w:asciiTheme="majorEastAsia" w:hAnsiTheme="majorEastAsia" w:eastAsiaTheme="majorEastAsia"/>
          <w:szCs w:val="21"/>
        </w:rPr>
        <w:t>三个合格的候选中标供应商。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38.2.3</w:t>
      </w:r>
      <w:bookmarkStart w:id="54" w:name="_Hlk71469688"/>
      <w:r>
        <w:rPr>
          <w:rFonts w:asciiTheme="majorEastAsia" w:hAnsiTheme="majorEastAsia" w:eastAsiaTheme="majorEastAsia"/>
          <w:szCs w:val="21"/>
        </w:rPr>
        <w:t>适用评定分离的政府采购项目，</w:t>
      </w:r>
      <w:r>
        <w:rPr>
          <w:rFonts w:hint="eastAsia" w:asciiTheme="majorEastAsia" w:hAnsiTheme="majorEastAsia" w:eastAsiaTheme="majorEastAsia"/>
          <w:szCs w:val="21"/>
        </w:rPr>
        <w:t>按照自定法确定中标供应商：自定法是指采购人组织定标委员会，由定标委员会在三家候选中标供应商中确定中标供应商。</w:t>
      </w:r>
      <w:bookmarkEnd w:id="53"/>
      <w:bookmarkEnd w:id="54"/>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38.2.4</w:t>
      </w:r>
      <w:r>
        <w:rPr>
          <w:rFonts w:hint="eastAsia" w:asciiTheme="majorEastAsia" w:hAnsiTheme="majorEastAsia" w:eastAsiaTheme="majorEastAsia"/>
          <w:szCs w:val="21"/>
        </w:rPr>
        <w:t>采购代理机构</w:t>
      </w:r>
      <w:r>
        <w:rPr>
          <w:rFonts w:asciiTheme="majorEastAsia" w:hAnsiTheme="majorEastAsia" w:eastAsiaTheme="majorEastAsia"/>
          <w:szCs w:val="21"/>
        </w:rPr>
        <w:t>应当自评审结束之日起两个工作日内将候选中标供应商名单及其投标文件、评审报告送交采购人</w:t>
      </w:r>
      <w:r>
        <w:rPr>
          <w:rFonts w:hint="eastAsia" w:asciiTheme="majorEastAsia" w:hAnsiTheme="majorEastAsia" w:eastAsiaTheme="majorEastAsia"/>
          <w:szCs w:val="21"/>
        </w:rPr>
        <w:t>。</w:t>
      </w:r>
      <w:r>
        <w:rPr>
          <w:rFonts w:asciiTheme="majorEastAsia" w:hAnsiTheme="majorEastAsia" w:eastAsiaTheme="majorEastAsia"/>
          <w:szCs w:val="21"/>
        </w:rPr>
        <w:t>采购人应当安排专人对定标过程进行书面记录，形成定标报告，作为采购文件的组成部分存档，并及时将定标结果反馈</w:t>
      </w:r>
      <w:r>
        <w:rPr>
          <w:rFonts w:hint="eastAsia" w:asciiTheme="majorEastAsia" w:hAnsiTheme="majorEastAsia" w:eastAsiaTheme="majorEastAsia"/>
          <w:szCs w:val="21"/>
        </w:rPr>
        <w:t>采购代理机构。具体定标程序及相关要求以按照《</w:t>
      </w:r>
      <w:r>
        <w:rPr>
          <w:rFonts w:asciiTheme="majorEastAsia" w:hAnsiTheme="majorEastAsia" w:eastAsiaTheme="majorEastAsia"/>
          <w:szCs w:val="21"/>
        </w:rPr>
        <w:t>深圳市财政局关于印发</w:t>
      </w:r>
      <w:r>
        <w:rPr>
          <w:rFonts w:hint="eastAsia" w:asciiTheme="majorEastAsia" w:hAnsiTheme="majorEastAsia" w:eastAsiaTheme="majorEastAsia"/>
          <w:szCs w:val="21"/>
        </w:rPr>
        <w:t>〈</w:t>
      </w:r>
      <w:r>
        <w:rPr>
          <w:rFonts w:asciiTheme="majorEastAsia" w:hAnsiTheme="majorEastAsia" w:eastAsiaTheme="majorEastAsia"/>
          <w:szCs w:val="21"/>
        </w:rPr>
        <w:t>深圳市政府采购评标定标分离管理办法</w:t>
      </w:r>
      <w:r>
        <w:rPr>
          <w:rFonts w:hint="eastAsia" w:asciiTheme="majorEastAsia" w:hAnsiTheme="majorEastAsia" w:eastAsiaTheme="majorEastAsia"/>
          <w:szCs w:val="21"/>
        </w:rPr>
        <w:t>〉</w:t>
      </w:r>
      <w:r>
        <w:rPr>
          <w:rFonts w:asciiTheme="majorEastAsia" w:hAnsiTheme="majorEastAsia" w:eastAsiaTheme="majorEastAsia"/>
          <w:szCs w:val="21"/>
        </w:rPr>
        <w:t>的通知</w:t>
      </w:r>
      <w:r>
        <w:rPr>
          <w:rFonts w:hint="eastAsia" w:asciiTheme="majorEastAsia" w:hAnsiTheme="majorEastAsia" w:eastAsiaTheme="majorEastAsia"/>
          <w:szCs w:val="21"/>
        </w:rPr>
        <w:t>》（深财规【2</w:t>
      </w:r>
      <w:r>
        <w:rPr>
          <w:rFonts w:asciiTheme="majorEastAsia" w:hAnsiTheme="majorEastAsia" w:eastAsiaTheme="majorEastAsia"/>
          <w:szCs w:val="21"/>
        </w:rPr>
        <w:t>020</w:t>
      </w:r>
      <w:r>
        <w:rPr>
          <w:rFonts w:hint="eastAsia" w:asciiTheme="majorEastAsia" w:hAnsiTheme="majorEastAsia" w:eastAsiaTheme="majorEastAsia"/>
          <w:szCs w:val="21"/>
        </w:rPr>
        <w:t>】1号）执行。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说明：采购人及投标供应商应按照上述方法提前做好相关准备。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38.3专用条款另有规定的，按专用条款相关要求定标。</w:t>
      </w:r>
      <w:bookmarkEnd w:id="51"/>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39．编写评审报告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40．中标公告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40.1</w:t>
      </w:r>
      <w:bookmarkStart w:id="55" w:name="_Hlk72438709"/>
      <w:r>
        <w:rPr>
          <w:rFonts w:hint="eastAsia" w:asciiTheme="majorEastAsia" w:hAnsiTheme="majorEastAsia" w:eastAsiaTheme="majorEastAsia"/>
          <w:szCs w:val="21"/>
        </w:rPr>
        <w:t>为体现“公开、公平、公正”的原则，评审结束后经采购人确认（确定）评审结果，采购代理机构将在“深圳政府采购智慧平台（http://zfcg.szggzy.com/）”上发布中标结果公告。</w:t>
      </w:r>
      <w:bookmarkEnd w:id="55"/>
      <w:bookmarkStart w:id="56" w:name="_Hlk72438751"/>
      <w:r>
        <w:rPr>
          <w:rFonts w:hint="eastAsia" w:asciiTheme="majorEastAsia" w:hAnsiTheme="majorEastAsia" w:eastAsiaTheme="majorEastAsia"/>
          <w:szCs w:val="21"/>
        </w:rPr>
        <w:t>供应商如对评审结果有异议，</w:t>
      </w:r>
      <w:r>
        <w:rPr>
          <w:rFonts w:asciiTheme="majorEastAsia" w:hAnsiTheme="majorEastAsia" w:eastAsiaTheme="majorEastAsia"/>
          <w:szCs w:val="21"/>
        </w:rPr>
        <w:t>可在发布公示日期起</w:t>
      </w:r>
      <w:r>
        <w:rPr>
          <w:rFonts w:hint="eastAsia" w:asciiTheme="majorEastAsia" w:hAnsiTheme="majorEastAsia" w:eastAsiaTheme="majorEastAsia"/>
          <w:szCs w:val="21"/>
        </w:rPr>
        <w:t>七</w:t>
      </w:r>
      <w:r>
        <w:rPr>
          <w:rFonts w:asciiTheme="majorEastAsia" w:hAnsiTheme="majorEastAsia" w:eastAsiaTheme="majorEastAsia"/>
          <w:szCs w:val="21"/>
        </w:rPr>
        <w:t>个工作日内向</w:t>
      </w:r>
      <w:r>
        <w:rPr>
          <w:rFonts w:hint="eastAsia" w:asciiTheme="majorEastAsia" w:hAnsiTheme="majorEastAsia" w:eastAsiaTheme="majorEastAsia"/>
          <w:szCs w:val="21"/>
        </w:rPr>
        <w:t>采购代理机构</w:t>
      </w:r>
      <w:r>
        <w:rPr>
          <w:rFonts w:asciiTheme="majorEastAsia" w:hAnsiTheme="majorEastAsia" w:eastAsiaTheme="majorEastAsia"/>
          <w:szCs w:val="21"/>
        </w:rPr>
        <w:t>提出。 监督电话：0755-83948143。</w:t>
      </w:r>
      <w:r>
        <w:rPr>
          <w:rFonts w:hint="eastAsia" w:asciiTheme="majorEastAsia" w:hAnsiTheme="majorEastAsia" w:eastAsiaTheme="majorEastAsia"/>
          <w:szCs w:val="21"/>
        </w:rPr>
        <w:t>若在公示期内未提出质疑，则视为认同该评审结果。</w:t>
      </w:r>
    </w:p>
    <w:bookmarkEnd w:id="56"/>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40.2质疑、投诉供应商应保证质疑、投诉内容的真实性和可靠性，并承担相应的法律责任。</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41．中标通知书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w:t>
      </w:r>
      <w:r>
        <w:rPr>
          <w:rFonts w:hint="eastAsia" w:asciiTheme="majorEastAsia" w:hAnsiTheme="majorEastAsia" w:eastAsiaTheme="majorEastAsia"/>
          <w:szCs w:val="21"/>
        </w:rPr>
        <w:t>1</w:t>
      </w:r>
      <w:bookmarkStart w:id="57" w:name="_Hlk72438863"/>
      <w:r>
        <w:rPr>
          <w:rFonts w:hint="eastAsia" w:asciiTheme="majorEastAsia" w:hAnsiTheme="majorEastAsia" w:eastAsiaTheme="majorEastAsia"/>
          <w:szCs w:val="21"/>
        </w:rPr>
        <w:t>中标公告公布以后无异常的情况下,采购代理机构将向中标供应商和采购人发出中标通知书。</w:t>
      </w:r>
      <w:bookmarkEnd w:id="57"/>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.2</w:t>
      </w:r>
      <w:r>
        <w:rPr>
          <w:rFonts w:hint="eastAsia" w:asciiTheme="majorEastAsia" w:hAnsiTheme="majorEastAsia" w:eastAsiaTheme="majorEastAsia"/>
          <w:szCs w:val="21"/>
        </w:rPr>
        <w:t>中标通知书是合同的重要组成部分。</w:t>
      </w:r>
    </w:p>
    <w:p>
      <w:pPr>
        <w:spacing w:line="360" w:lineRule="auto"/>
        <w:ind w:firstLine="411" w:firstLineChars="196"/>
        <w:rPr>
          <w:rFonts w:asciiTheme="majorEastAsia" w:hAnsiTheme="majorEastAsia" w:eastAsiaTheme="majorEastAsia"/>
          <w:szCs w:val="21"/>
        </w:rPr>
      </w:pPr>
      <w:bookmarkStart w:id="58" w:name="_Hlk71407340"/>
      <w:r>
        <w:rPr>
          <w:rFonts w:hint="eastAsia" w:asciiTheme="majorEastAsia" w:hAnsiTheme="majorEastAsia" w:eastAsiaTheme="majorEastAsia"/>
          <w:szCs w:val="21"/>
        </w:rPr>
        <w:t>41.3因质疑投诉或其它原因导致项目结果变更或采购终止的，采购代理机构有权吊销中标通知书。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41.4中标服务费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027"/>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802" w:type="dxa"/>
          </w:tcPr>
          <w:p>
            <w:pPr>
              <w:spacing w:line="360" w:lineRule="auto"/>
              <w:ind w:firstLine="1629" w:firstLineChars="776"/>
              <w:rPr>
                <w:rFonts w:asciiTheme="majorEastAsia" w:hAnsiTheme="majorEastAsia" w:eastAsiaTheme="majorEastAsia"/>
                <w:b/>
                <w:szCs w:val="21"/>
              </w:rPr>
            </w:pPr>
            <w:r>
              <w:rPr>
                <w:rFonts w:asciiTheme="majorEastAsia" w:hAnsiTheme="majorEastAsia" w:eastAsiaTheme="majorEastAsia"/>
                <w:szCs w:val="21"/>
              </w:rPr>
              <mc:AlternateContent>
                <mc:Choice Requires="wps">
                  <w:drawing>
                    <wp:anchor distT="0" distB="0" distL="114300" distR="114300" simplePos="0" relativeHeight="251661312" behindDoc="0" locked="0" layoutInCell="0" allowOverlap="1">
                      <wp:simplePos x="0" y="0"/>
                      <wp:positionH relativeFrom="column">
                        <wp:posOffset>-19050</wp:posOffset>
                      </wp:positionH>
                      <wp:positionV relativeFrom="paragraph">
                        <wp:posOffset>436245</wp:posOffset>
                      </wp:positionV>
                      <wp:extent cx="1733550" cy="394335"/>
                      <wp:effectExtent l="1270" t="4445" r="17780" b="20320"/>
                      <wp:wrapNone/>
                      <wp:docPr id="7" name="直接连接符 7"/>
                      <wp:cNvGraphicFramePr/>
                      <a:graphic xmlns:a="http://schemas.openxmlformats.org/drawingml/2006/main">
                        <a:graphicData uri="http://schemas.microsoft.com/office/word/2010/wordprocessingShape">
                          <wps:wsp>
                            <wps:cNvCnPr/>
                            <wps:spPr>
                              <a:xfrm flipH="1" flipV="1">
                                <a:off x="0" y="0"/>
                                <a:ext cx="1771650" cy="5410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1.5pt;margin-top:34.35pt;height:31.05pt;width:136.5pt;z-index:251661312;mso-width-relative:page;mso-height-relative:page;" filled="f" stroked="t" coordsize="21600,21600" o:allowincell="f" o:gfxdata="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lQLG1AAAAAkBAAAPAAAAAAAAAAEAIAAAACIAAABkcnMvZG93&#10;bnJldi54bWxQSwECFAAUAAAACACHTuJA5DiR7gQCAAD/AwAADgAAAAAAAAABACAAAAAjAQAAZHJz&#10;L2Uyb0RvYy54bWxQSwUGAAAAAAYABgBZAQAAmQU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0288" behindDoc="0" locked="0" layoutInCell="0" allowOverlap="1">
                      <wp:simplePos x="0" y="0"/>
                      <wp:positionH relativeFrom="column">
                        <wp:posOffset>392430</wp:posOffset>
                      </wp:positionH>
                      <wp:positionV relativeFrom="paragraph">
                        <wp:posOffset>31750</wp:posOffset>
                      </wp:positionV>
                      <wp:extent cx="1322070" cy="798830"/>
                      <wp:effectExtent l="2540" t="3810" r="8890" b="16510"/>
                      <wp:wrapNone/>
                      <wp:docPr id="6" name="直接连接符 6"/>
                      <wp:cNvGraphicFramePr/>
                      <a:graphic xmlns:a="http://schemas.openxmlformats.org/drawingml/2006/main">
                        <a:graphicData uri="http://schemas.microsoft.com/office/word/2010/wordprocessingShape">
                          <wps:wsp>
                            <wps:cNvCnPr/>
                            <wps:spPr>
                              <a:xfrm flipH="1" flipV="1">
                                <a:off x="0" y="0"/>
                                <a:ext cx="1215390" cy="8515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30.9pt;margin-top:2.5pt;height:62.9pt;width:104.1pt;z-index:251660288;mso-width-relative:page;mso-height-relative:page;" filled="f" stroked="t" coordsize="21600,21600" o:allowincell="f" o:gfxdata="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tdP1dMAAAAIAQAADwAAAAAAAAABACAAAAAiAAAAZHJzL2Rvd25yZXYu&#10;eG1sUEsBAhQAFAAAAAgAh07iQPjl/UYAAgAA/wMAAA4AAAAAAAAAAQAgAAAAIgEAAGRycy9lMm9E&#10;b2MueG1sUEsFBgAAAAAGAAYAWQEAAJQFA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R037V&#10;AAAACQEAAA8AAAAAAAAAAQAgAAAAIgAAAGRycy9kb3ducmV2LnhtbFBLAQIUABQAAAAIAIdO4kCU&#10;Y33D6gEAAOADAAAOAAAAAAAAAAEAIAAAACQBAABkcnMvZTJvRG9jLnhtbFBLBQYAAAAABgAGAFkB&#10;AACABQAAAAA=&#10;">
                      <v:fill on="f" focussize="0,0"/>
                      <v:stroke color="#000000" joinstyle="round"/>
                      <v:imagedata o:title=""/>
                      <o:lock v:ext="edit" aspectratio="f"/>
                    </v:line>
                  </w:pict>
                </mc:Fallback>
              </mc:AlternateContent>
            </w:r>
            <w:r>
              <w:rPr>
                <w:rFonts w:hint="eastAsia" w:asciiTheme="majorEastAsia" w:hAnsiTheme="majorEastAsia" w:eastAsiaTheme="majorEastAsia"/>
                <w:b/>
                <w:szCs w:val="21"/>
              </w:rPr>
              <w:t>服务类型</w:t>
            </w:r>
          </w:p>
          <w:p>
            <w:pPr>
              <w:spacing w:line="360" w:lineRule="auto"/>
              <w:ind w:firstLine="637" w:firstLineChars="302"/>
              <w:rPr>
                <w:rFonts w:asciiTheme="majorEastAsia" w:hAnsiTheme="majorEastAsia" w:eastAsiaTheme="majorEastAsia"/>
                <w:b/>
                <w:szCs w:val="21"/>
              </w:rPr>
            </w:pPr>
            <w:r>
              <w:rPr>
                <w:rFonts w:hint="eastAsia" w:asciiTheme="majorEastAsia" w:hAnsiTheme="majorEastAsia" w:eastAsiaTheme="majorEastAsia"/>
                <w:b/>
                <w:szCs w:val="21"/>
              </w:rPr>
              <w:t>费率　　　　　</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中标金额（万元）</w:t>
            </w:r>
          </w:p>
        </w:tc>
        <w:tc>
          <w:tcPr>
            <w:tcW w:w="202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服务招标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以下</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w:t>
            </w:r>
            <w:r>
              <w:rPr>
                <w:rFonts w:asciiTheme="majorEastAsia" w:hAnsiTheme="majorEastAsia" w:eastAsiaTheme="majorEastAsia"/>
                <w:szCs w:val="21"/>
              </w:rPr>
              <w:t>500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1.100%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0.450%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w:t>
            </w:r>
            <w:r>
              <w:rPr>
                <w:rFonts w:asciiTheme="majorEastAsia" w:hAnsiTheme="majorEastAsia" w:eastAsiaTheme="majorEastAsia"/>
                <w:szCs w:val="21"/>
              </w:rPr>
              <w:t>5</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w:t>
            </w:r>
            <w:r>
              <w:rPr>
                <w:rFonts w:asciiTheme="majorEastAsia" w:hAnsiTheme="majorEastAsia" w:eastAsiaTheme="majorEastAsia"/>
                <w:szCs w:val="21"/>
              </w:rPr>
              <w:t>1</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0.100%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0000～</w:t>
            </w:r>
            <w:r>
              <w:rPr>
                <w:rFonts w:asciiTheme="majorEastAsia" w:hAnsiTheme="majorEastAsia" w:eastAsiaTheme="majorEastAsia"/>
                <w:szCs w:val="21"/>
              </w:rPr>
              <w:t>5</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0000～</w:t>
            </w:r>
            <w:r>
              <w:rPr>
                <w:rFonts w:asciiTheme="majorEastAsia" w:hAnsiTheme="majorEastAsia" w:eastAsiaTheme="majorEastAsia"/>
                <w:szCs w:val="21"/>
              </w:rPr>
              <w:t>10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0000～</w:t>
            </w:r>
            <w:r>
              <w:rPr>
                <w:rFonts w:asciiTheme="majorEastAsia" w:hAnsiTheme="majorEastAsia" w:eastAsiaTheme="majorEastAsia"/>
                <w:szCs w:val="21"/>
              </w:rPr>
              <w:t>50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w:t>
            </w:r>
            <w:r>
              <w:rPr>
                <w:rFonts w:hint="eastAsia" w:asciiTheme="majorEastAsia" w:hAnsiTheme="majorEastAsia" w:eastAsiaTheme="majorEastAsia"/>
                <w:szCs w:val="21"/>
              </w:rPr>
              <w:t>0000～</w:t>
            </w:r>
            <w:r>
              <w:rPr>
                <w:rFonts w:asciiTheme="majorEastAsia" w:hAnsiTheme="majorEastAsia" w:eastAsiaTheme="majorEastAsia"/>
                <w:szCs w:val="21"/>
              </w:rPr>
              <w:t>100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0000以上</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0.004%</w:t>
            </w:r>
          </w:p>
        </w:tc>
      </w:tr>
    </w:tbl>
    <w:p>
      <w:pPr>
        <w:spacing w:line="360" w:lineRule="auto"/>
        <w:ind w:firstLine="411" w:firstLineChars="196"/>
        <w:rPr>
          <w:rFonts w:asciiTheme="majorEastAsia" w:hAnsiTheme="majorEastAsia" w:eastAsiaTheme="majorEastAsia"/>
          <w:szCs w:val="21"/>
        </w:rPr>
      </w:pPr>
    </w:p>
    <w:bookmarkEnd w:id="58"/>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公开招标失败的后续处理</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42．公开招标失败的处理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42.1本项目公开招标过程中若由于投标截止后实际递交</w:t>
      </w:r>
      <w:r>
        <w:rPr>
          <w:rFonts w:asciiTheme="majorEastAsia" w:hAnsiTheme="majorEastAsia" w:eastAsiaTheme="majorEastAsia"/>
          <w:szCs w:val="21"/>
        </w:rPr>
        <w:t>投标</w:t>
      </w:r>
      <w:r>
        <w:rPr>
          <w:rFonts w:hint="eastAsia" w:asciiTheme="majorEastAsia" w:hAnsiTheme="majorEastAsia" w:eastAsiaTheme="majorEastAsia"/>
          <w:szCs w:val="21"/>
        </w:rPr>
        <w:t>文件的供应商数量不足、经评审委员会评审对招标文件作实质响应的供应商不足等原因造成公开招标失败，可由</w:t>
      </w:r>
      <w:r>
        <w:rPr>
          <w:rFonts w:hint="eastAsia" w:cs="宋体" w:asciiTheme="majorEastAsia" w:hAnsiTheme="majorEastAsia" w:eastAsiaTheme="majorEastAsia"/>
          <w:szCs w:val="21"/>
        </w:rPr>
        <w:t>采购代理机构</w:t>
      </w:r>
      <w:r>
        <w:rPr>
          <w:rFonts w:hint="eastAsia" w:asciiTheme="majorEastAsia" w:hAnsiTheme="majorEastAsia" w:eastAsiaTheme="majorEastAsia"/>
          <w:szCs w:val="21"/>
        </w:rPr>
        <w:t>重新组织采购。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42.3重新组织采购有以下两种组织形式：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（1）由采购代理机构重新组织公开招标；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42.4公开招标失败的采购项目重新组织公开招标，由采购代理机构重新按公开招标流程组织采购活动。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42.5公开招标失败的采购项目经同级财政部门批准转为竞争性谈判或单一来源谈判方式采购的，按规定要求组织政府采购工作。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59" w:name="_Hlk72439043"/>
      <w:r>
        <w:rPr>
          <w:rFonts w:hint="eastAsia" w:asciiTheme="majorEastAsia" w:hAnsiTheme="majorEastAsia" w:eastAsiaTheme="majorEastAsia"/>
          <w:b/>
          <w:bCs/>
          <w:kern w:val="0"/>
          <w:sz w:val="28"/>
          <w:szCs w:val="28"/>
        </w:rPr>
        <w:t>合同的授予与备案</w:t>
      </w:r>
      <w:bookmarkEnd w:id="59"/>
    </w:p>
    <w:p>
      <w:pPr>
        <w:spacing w:line="360" w:lineRule="auto"/>
        <w:rPr>
          <w:rFonts w:asciiTheme="majorEastAsia" w:hAnsiTheme="majorEastAsia" w:eastAsiaTheme="majorEastAsia"/>
          <w:b/>
          <w:bCs/>
          <w:szCs w:val="21"/>
        </w:rPr>
      </w:pPr>
      <w:bookmarkStart w:id="60" w:name="_Toc73521586"/>
      <w:bookmarkStart w:id="61" w:name="_Toc100052408"/>
      <w:bookmarkStart w:id="62" w:name="_Toc73517679"/>
      <w:bookmarkStart w:id="63" w:name="_Toc73521674"/>
      <w:bookmarkStart w:id="64" w:name="_Toc73518157"/>
      <w:bookmarkStart w:id="65" w:name="_Hlk72439088"/>
      <w:r>
        <w:rPr>
          <w:rFonts w:hint="eastAsia" w:asciiTheme="majorEastAsia" w:hAnsiTheme="majorEastAsia" w:eastAsiaTheme="majorEastAsia"/>
          <w:b/>
          <w:bCs/>
          <w:szCs w:val="21"/>
        </w:rPr>
        <w:t>43．合同授予标准</w:t>
      </w:r>
      <w:bookmarkEnd w:id="60"/>
      <w:bookmarkEnd w:id="61"/>
      <w:bookmarkEnd w:id="62"/>
      <w:bookmarkEnd w:id="63"/>
      <w:bookmarkEnd w:id="6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本项目的合同将授予经本招标文件规定评审确定的中标供应商。</w:t>
      </w:r>
    </w:p>
    <w:p>
      <w:pPr>
        <w:spacing w:line="360" w:lineRule="auto"/>
        <w:rPr>
          <w:rFonts w:asciiTheme="majorEastAsia" w:hAnsiTheme="majorEastAsia" w:eastAsiaTheme="majorEastAsia"/>
          <w:b/>
          <w:bCs/>
          <w:szCs w:val="21"/>
        </w:rPr>
      </w:pPr>
      <w:bookmarkStart w:id="66" w:name="_Toc73521587"/>
      <w:bookmarkStart w:id="67" w:name="_Toc73517680"/>
      <w:bookmarkStart w:id="68" w:name="_Toc73521675"/>
      <w:bookmarkStart w:id="69" w:name="_Toc100052409"/>
      <w:bookmarkStart w:id="70" w:name="_Toc73518158"/>
      <w:r>
        <w:rPr>
          <w:rFonts w:hint="eastAsia" w:asciiTheme="majorEastAsia" w:hAnsiTheme="majorEastAsia" w:eastAsiaTheme="majorEastAsia"/>
          <w:b/>
          <w:bCs/>
          <w:szCs w:val="21"/>
        </w:rPr>
        <w:t>44．</w:t>
      </w:r>
      <w:bookmarkEnd w:id="66"/>
      <w:bookmarkEnd w:id="67"/>
      <w:bookmarkEnd w:id="68"/>
      <w:bookmarkEnd w:id="69"/>
      <w:bookmarkEnd w:id="70"/>
      <w:r>
        <w:rPr>
          <w:rFonts w:hint="eastAsia" w:asciiTheme="majorEastAsia" w:hAnsiTheme="majorEastAsia" w:eastAsiaTheme="majorEastAsia"/>
          <w:b/>
          <w:bCs/>
          <w:szCs w:val="21"/>
        </w:rPr>
        <w:t>接受和拒绝任何或所有投标的权力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hAnsiTheme="majorEastAsia" w:eastAsiaTheme="majorEastAsia"/>
          <w:b/>
          <w:bCs/>
          <w:szCs w:val="21"/>
        </w:rPr>
      </w:pPr>
      <w:bookmarkStart w:id="71" w:name="_Toc73521589"/>
      <w:bookmarkStart w:id="72" w:name="_Toc73518160"/>
      <w:bookmarkStart w:id="73" w:name="_Toc100052410"/>
      <w:bookmarkStart w:id="74" w:name="_Toc73517682"/>
      <w:bookmarkStart w:id="75" w:name="_Toc73521677"/>
      <w:r>
        <w:rPr>
          <w:rFonts w:hint="eastAsia" w:asciiTheme="majorEastAsia" w:hAnsiTheme="majorEastAsia" w:eastAsiaTheme="majorEastAsia"/>
          <w:b/>
          <w:bCs/>
          <w:szCs w:val="21"/>
        </w:rPr>
        <w:t>45．合同的签订</w:t>
      </w:r>
      <w:bookmarkEnd w:id="71"/>
      <w:bookmarkEnd w:id="72"/>
      <w:bookmarkEnd w:id="73"/>
      <w:bookmarkEnd w:id="74"/>
      <w:bookmarkEnd w:id="75"/>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45.2中标人如不按本通用条款第45</w:t>
      </w:r>
      <w:r>
        <w:rPr>
          <w:rFonts w:asciiTheme="majorEastAsia" w:hAnsiTheme="majorEastAsia" w:eastAsiaTheme="majorEastAsia"/>
          <w:szCs w:val="21"/>
        </w:rPr>
        <w:t>.1</w:t>
      </w:r>
      <w:r>
        <w:rPr>
          <w:rFonts w:hint="eastAsia" w:asciiTheme="majorEastAsia" w:hAnsiTheme="majorEastAsia" w:eastAsiaTheme="majorEastAsia"/>
          <w:szCs w:val="21"/>
        </w:rPr>
        <w:t>款的规定与采购人签订合同，</w:t>
      </w:r>
      <w:r>
        <w:rPr>
          <w:rFonts w:cs="宋体" w:asciiTheme="majorEastAsia" w:hAnsiTheme="majorEastAsia" w:eastAsiaTheme="majorEastAsia"/>
          <w:szCs w:val="21"/>
        </w:rPr>
        <w:t>情节严重的，由</w:t>
      </w:r>
      <w:r>
        <w:rPr>
          <w:rFonts w:hint="eastAsia" w:cs="宋体" w:asciiTheme="majorEastAsia" w:hAnsiTheme="majorEastAsia" w:eastAsiaTheme="majorEastAsia"/>
          <w:szCs w:val="21"/>
        </w:rPr>
        <w:t>同级财政</w:t>
      </w:r>
      <w:r>
        <w:rPr>
          <w:rFonts w:cs="宋体" w:asciiTheme="majorEastAsia" w:hAnsiTheme="majorEastAsia" w:eastAsiaTheme="majorEastAsia"/>
          <w:szCs w:val="21"/>
        </w:rPr>
        <w:t>部门记入供应商诚信档案，予以通报</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45.3中标人应当按照合同约定履行义务，完成中标项目，不得将中标项目转让（转包）给他人。</w:t>
      </w:r>
    </w:p>
    <w:p>
      <w:pPr>
        <w:spacing w:line="360" w:lineRule="auto"/>
        <w:rPr>
          <w:rFonts w:asciiTheme="majorEastAsia" w:hAnsiTheme="majorEastAsia" w:eastAsiaTheme="majorEastAsia"/>
          <w:b/>
          <w:bCs/>
          <w:szCs w:val="21"/>
        </w:rPr>
      </w:pPr>
      <w:bookmarkStart w:id="76" w:name="_Toc73521678"/>
      <w:bookmarkStart w:id="77" w:name="_Toc73518161"/>
      <w:bookmarkStart w:id="78" w:name="_Toc73521590"/>
      <w:bookmarkStart w:id="79" w:name="_Toc73517683"/>
      <w:bookmarkStart w:id="80" w:name="_Toc100052411"/>
      <w:r>
        <w:rPr>
          <w:rFonts w:hint="eastAsia" w:asciiTheme="majorEastAsia" w:hAnsiTheme="majorEastAsia" w:eastAsiaTheme="majorEastAsia"/>
          <w:b/>
          <w:bCs/>
          <w:szCs w:val="21"/>
        </w:rPr>
        <w:t>46．履约担保</w:t>
      </w:r>
      <w:bookmarkEnd w:id="76"/>
      <w:bookmarkEnd w:id="77"/>
      <w:bookmarkEnd w:id="78"/>
      <w:bookmarkEnd w:id="79"/>
      <w:bookmarkEnd w:id="80"/>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46.1在签订项目合同的同时，中标人应按“对通用条款的补充内容”中规定的金额向采购人提交履约担保；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46.2，允许供应商自主选择以支票、汇票、本票、保函等非现金方式提交履约担保；</w:t>
      </w:r>
      <w:r>
        <w:rPr>
          <w:rFonts w:asciiTheme="majorEastAsia" w:hAnsiTheme="majorEastAsia" w:eastAsiaTheme="majorEastAsia"/>
          <w:szCs w:val="21"/>
        </w:rPr>
        <w:t>中标</w:t>
      </w:r>
      <w:r>
        <w:rPr>
          <w:rFonts w:hint="eastAsia" w:asciiTheme="majorEastAsia" w:hAnsiTheme="majorEastAsia" w:eastAsiaTheme="majorEastAsia"/>
          <w:szCs w:val="21"/>
        </w:rPr>
        <w:t>人</w:t>
      </w:r>
      <w:r>
        <w:rPr>
          <w:rFonts w:asciiTheme="majorEastAsia" w:hAnsiTheme="majorEastAsia" w:eastAsiaTheme="majorEastAsia"/>
          <w:szCs w:val="21"/>
        </w:rPr>
        <w:t>提交履约</w:t>
      </w:r>
      <w:r>
        <w:rPr>
          <w:rFonts w:hint="eastAsia" w:asciiTheme="majorEastAsia" w:hAnsiTheme="majorEastAsia" w:eastAsiaTheme="majorEastAsia"/>
          <w:szCs w:val="21"/>
        </w:rPr>
        <w:t>担保不是</w:t>
      </w:r>
      <w:r>
        <w:rPr>
          <w:rFonts w:asciiTheme="majorEastAsia" w:hAnsiTheme="majorEastAsia" w:eastAsiaTheme="majorEastAsia"/>
          <w:szCs w:val="21"/>
        </w:rPr>
        <w:t>合同签订的</w:t>
      </w:r>
      <w:r>
        <w:rPr>
          <w:rFonts w:hint="eastAsia" w:asciiTheme="majorEastAsia" w:hAnsiTheme="majorEastAsia" w:eastAsiaTheme="majorEastAsia"/>
          <w:szCs w:val="21"/>
        </w:rPr>
        <w:t>前提</w:t>
      </w:r>
      <w:r>
        <w:rPr>
          <w:rFonts w:asciiTheme="majorEastAsia" w:hAnsiTheme="majorEastAsia" w:eastAsiaTheme="majorEastAsia"/>
          <w:szCs w:val="21"/>
        </w:rPr>
        <w:t>条件，不要求中标</w:t>
      </w:r>
      <w:r>
        <w:rPr>
          <w:rFonts w:hint="eastAsia" w:asciiTheme="majorEastAsia" w:hAnsiTheme="majorEastAsia" w:eastAsiaTheme="majorEastAsia"/>
          <w:szCs w:val="21"/>
        </w:rPr>
        <w:t>人</w:t>
      </w:r>
      <w:r>
        <w:rPr>
          <w:rFonts w:asciiTheme="majorEastAsia" w:hAnsiTheme="majorEastAsia" w:eastAsiaTheme="majorEastAsia"/>
          <w:szCs w:val="21"/>
        </w:rPr>
        <w:t>提供除法律、法规明确规定外的其他担保</w:t>
      </w:r>
      <w:r>
        <w:rPr>
          <w:rFonts w:hint="eastAsia" w:asciiTheme="majorEastAsia" w:hAnsiTheme="majorEastAsia" w:eastAsiaTheme="majorEastAsia"/>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47. 合同备案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采购人与中标人应于合同签订之日起十日内，由采购人或委托中标人将采购合同副本抄送合同备案工作实施机构备案。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48. 合同变更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49. 项目验收</w:t>
      </w:r>
    </w:p>
    <w:p>
      <w:pPr>
        <w:spacing w:line="360" w:lineRule="auto"/>
        <w:ind w:right="176" w:firstLine="420"/>
        <w:rPr>
          <w:rFonts w:asciiTheme="majorEastAsia" w:hAnsiTheme="majorEastAsia" w:eastAsiaTheme="majorEastAsia"/>
          <w:szCs w:val="21"/>
        </w:rPr>
      </w:pPr>
      <w:r>
        <w:rPr>
          <w:rFonts w:hint="eastAsia" w:asciiTheme="majorEastAsia" w:hAnsiTheme="majorEastAsia" w:eastAsiaTheme="majorEastAsia"/>
          <w:szCs w:val="21"/>
        </w:rPr>
        <w:t>49.1采购人应当按照招标文件和合同规定的标准和方法，及时组织验收。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50. 宣传</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凡与政府采购活动有关的宣传或广告，若当中提及政府采购，</w:t>
      </w:r>
      <w:r>
        <w:rPr>
          <w:rFonts w:asciiTheme="majorEastAsia" w:hAnsiTheme="majorEastAsia" w:eastAsiaTheme="majorEastAsia"/>
          <w:szCs w:val="21"/>
        </w:rPr>
        <w:t>必须事先将具体对外宣传方案报</w:t>
      </w:r>
      <w:r>
        <w:rPr>
          <w:rFonts w:hint="eastAsia" w:asciiTheme="majorEastAsia" w:hAnsiTheme="majorEastAsia" w:eastAsiaTheme="majorEastAsia"/>
          <w:szCs w:val="21"/>
        </w:rPr>
        <w:t>同级财政部门</w:t>
      </w:r>
      <w:r>
        <w:rPr>
          <w:rFonts w:asciiTheme="majorEastAsia" w:hAnsiTheme="majorEastAsia" w:eastAsiaTheme="majorEastAsia"/>
          <w:szCs w:val="21"/>
        </w:rPr>
        <w:t>和</w:t>
      </w:r>
      <w:r>
        <w:rPr>
          <w:rFonts w:hint="eastAsia" w:asciiTheme="majorEastAsia" w:hAnsiTheme="majorEastAsia" w:eastAsiaTheme="majorEastAsia"/>
          <w:szCs w:val="21"/>
        </w:rPr>
        <w:t>采购代理机构</w:t>
      </w:r>
      <w:r>
        <w:rPr>
          <w:rFonts w:asciiTheme="majorEastAsia" w:hAnsiTheme="majorEastAsia" w:eastAsiaTheme="majorEastAsia"/>
          <w:szCs w:val="21"/>
        </w:rPr>
        <w:t>，并征得其同意。对外市场宣传包括但不限于以下形式：</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a.名片、宣传册、广告标语等；</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b.案例介绍、推广等；</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c.工作</w:t>
      </w:r>
      <w:r>
        <w:rPr>
          <w:rFonts w:asciiTheme="majorEastAsia" w:hAnsiTheme="majorEastAsia" w:eastAsiaTheme="majorEastAsia"/>
          <w:szCs w:val="21"/>
        </w:rPr>
        <w:t>人员向其他消费群体宣传。</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51. 供应商违法责任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1.1</w:t>
      </w:r>
      <w:r>
        <w:rPr>
          <w:rFonts w:hint="eastAsia" w:asciiTheme="majorEastAsia" w:hAnsiTheme="majorEastAsia" w:eastAsiaTheme="major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（1）在采购活动中应当回避而未回避的；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（2）未按本条例规定签订、履行采购合同，造成严重后果的；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（3）隐瞒真实情况，提供虚假资料的；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（4）以非法手段排斥其他供应商参与竞争的；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（5）与其他采购参加人串通投标的；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（6）恶意投诉的；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（7）向采购项目相关人行贿或者提供其他不当利益的；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（8）阻碍、抗拒主管部门监督检查的；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（9）其他违反本条例规定的行为。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 xml:space="preserve">1.2 </w:t>
      </w:r>
      <w:r>
        <w:rPr>
          <w:rFonts w:hint="eastAsia" w:asciiTheme="majorEastAsia" w:hAnsiTheme="majorEastAsia" w:eastAsiaTheme="majorEastAsia"/>
          <w:szCs w:val="21"/>
        </w:rPr>
        <w:t>根据《深圳市财政局关于明确政府采购保证金管理工作的通知》（深财购[2019]42号）的要求，供应商在政府采购活动中出现《深圳经济特区政府采购条例实施细则》第八十四条所列情形的，</w:t>
      </w:r>
      <w:bookmarkStart w:id="81" w:name="_Hlk72440769"/>
      <w:r>
        <w:rPr>
          <w:rFonts w:hint="eastAsia" w:asciiTheme="majorEastAsia" w:hAnsiTheme="majorEastAsia" w:eastAsiaTheme="majorEastAsia"/>
          <w:szCs w:val="21"/>
        </w:rPr>
        <w:t>采购人或采购代理机构</w:t>
      </w:r>
      <w:bookmarkEnd w:id="81"/>
      <w:r>
        <w:rPr>
          <w:rFonts w:hint="eastAsia" w:asciiTheme="majorEastAsia" w:hAnsiTheme="majorEastAsia" w:eastAsiaTheme="majorEastAsia"/>
          <w:szCs w:val="21"/>
        </w:rPr>
        <w:t>可将有关情况报同级财政部门，由财政部门根据实际情况记入供应商诚信档案，予以通报：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）投标截止后，撤销投标的；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）中标后无正当理由未在规定期限内签订合同的；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3</w:t>
      </w:r>
      <w:r>
        <w:rPr>
          <w:rFonts w:asciiTheme="majorEastAsia" w:hAnsiTheme="majorEastAsia" w:eastAsiaTheme="majorEastAsia"/>
          <w:szCs w:val="21"/>
        </w:rPr>
        <w:t>）将中标项目转让给他人、或者在投标文件中未说明且未经采购人、采购招标机构同意，将中标项目分包给他人的；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4</w:t>
      </w:r>
      <w:r>
        <w:rPr>
          <w:rFonts w:asciiTheme="majorEastAsia" w:hAnsiTheme="majorEastAsia" w:eastAsiaTheme="majorEastAsia"/>
          <w:szCs w:val="21"/>
        </w:rPr>
        <w:t>）拒绝履行合同义务的</w:t>
      </w:r>
      <w:r>
        <w:rPr>
          <w:rFonts w:hint="eastAsia" w:asciiTheme="majorEastAsia" w:hAnsiTheme="majorEastAsia" w:eastAsiaTheme="majorEastAsia"/>
          <w:szCs w:val="21"/>
        </w:rPr>
        <w:t>。</w:t>
      </w:r>
    </w:p>
    <w:bookmarkEnd w:id="65"/>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质疑处理</w:t>
      </w:r>
    </w:p>
    <w:p>
      <w:pPr>
        <w:spacing w:line="360" w:lineRule="auto"/>
        <w:rPr>
          <w:rFonts w:asciiTheme="majorEastAsia" w:hAnsiTheme="majorEastAsia" w:eastAsiaTheme="majorEastAsia"/>
          <w:b/>
          <w:bCs/>
          <w:szCs w:val="21"/>
        </w:rPr>
      </w:pPr>
      <w:bookmarkStart w:id="82" w:name="_Hlk72439706"/>
      <w:r>
        <w:rPr>
          <w:rFonts w:hint="eastAsia" w:asciiTheme="majorEastAsia" w:hAnsiTheme="majorEastAsia" w:eastAsiaTheme="majorEastAsia"/>
          <w:b/>
          <w:bCs/>
          <w:szCs w:val="21"/>
        </w:rPr>
        <w:t>52.质疑提出与答复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52.3质疑条件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52.3.1提出质疑的供应商应当是参与所质疑项目采购活动的供应商；</w:t>
      </w:r>
      <w:bookmarkStart w:id="83" w:name="_Hlk75374941"/>
      <w:r>
        <w:rPr>
          <w:rFonts w:hint="eastAsia" w:asciiTheme="majorEastAsia" w:hAnsiTheme="majorEastAsia" w:eastAsiaTheme="majorEastAsia"/>
          <w:szCs w:val="21"/>
        </w:rPr>
        <w:t>以联合体形式参与的，质疑应当由组成联合体的所有成员共同提出</w:t>
      </w:r>
      <w:bookmarkEnd w:id="8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52.3.3应提交书面质疑函，质疑函应当包括以下内容：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52.5提交方式</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2.5.1</w:t>
      </w:r>
      <w:r>
        <w:rPr>
          <w:rFonts w:hint="eastAsia" w:asciiTheme="majorEastAsia" w:hAnsiTheme="majorEastAsia" w:eastAsiaTheme="major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hAnsiTheme="majorEastAsia" w:eastAsiaTheme="majorEastAsia"/>
          <w:b/>
          <w:bCs/>
          <w:szCs w:val="21"/>
        </w:rPr>
      </w:pPr>
      <w:r>
        <w:rPr>
          <w:rFonts w:hint="eastAsia" w:asciiTheme="majorEastAsia" w:hAnsiTheme="majorEastAsia" w:eastAsiaTheme="majorEastAsia"/>
          <w:szCs w:val="21"/>
        </w:rPr>
        <w:t>5</w:t>
      </w:r>
      <w:r>
        <w:rPr>
          <w:rFonts w:asciiTheme="majorEastAsia" w:hAnsiTheme="majorEastAsia" w:eastAsiaTheme="majorEastAsia"/>
          <w:szCs w:val="21"/>
        </w:rPr>
        <w:t>2.5.2</w:t>
      </w:r>
      <w:r>
        <w:rPr>
          <w:rFonts w:hint="eastAsia" w:asciiTheme="majorEastAsia" w:hAnsiTheme="majorEastAsia" w:eastAsiaTheme="majorEastAsia"/>
          <w:szCs w:val="21"/>
        </w:rPr>
        <w:t>同时，请质疑供应商根据深圳政府采购智慧平台（http://zfcg.szggzy.com/）所发布的质疑指引、质疑函模板填写质疑函并提交质疑材料。</w:t>
      </w:r>
      <w:r>
        <w:rPr>
          <w:rFonts w:hint="eastAsia" w:asciiTheme="majorEastAsia" w:hAnsiTheme="majorEastAsia" w:eastAsiaTheme="major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52.6收文办理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82"/>
    </w:p>
    <w:p>
      <w:pPr>
        <w:widowControl/>
        <w:jc w:val="left"/>
        <w:rPr>
          <w:rFonts w:ascii="宋体" w:hAnsi="宋体"/>
          <w:b/>
          <w:bCs/>
          <w:kern w:val="0"/>
          <w:sz w:val="24"/>
          <w:szCs w:val="20"/>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华文仿宋"/>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汉仪细等线简">
    <w:altName w:val="华文仿宋"/>
    <w:panose1 w:val="00000000000000000000"/>
    <w:charset w:val="86"/>
    <w:family w:val="modern"/>
    <w:pitch w:val="default"/>
    <w:sig w:usb0="00000000" w:usb1="00000000" w:usb2="00000012" w:usb3="00000000" w:csb0="00040000" w:csb1="00000000"/>
  </w:font>
  <w:font w:name="H Yb 2gj">
    <w:altName w:val="华文仿宋"/>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8497"/>
      <w:docPartObj>
        <w:docPartGallery w:val="autotext"/>
      </w:docPartObj>
    </w:sdtPr>
    <w:sdtContent>
      <w:p>
        <w:pPr>
          <w:pStyle w:val="27"/>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03A86"/>
    <w:rsid w:val="000051FB"/>
    <w:rsid w:val="00010EAF"/>
    <w:rsid w:val="00013F11"/>
    <w:rsid w:val="00017B27"/>
    <w:rsid w:val="00017EF4"/>
    <w:rsid w:val="000210AC"/>
    <w:rsid w:val="000212B9"/>
    <w:rsid w:val="00026D62"/>
    <w:rsid w:val="0002760A"/>
    <w:rsid w:val="00031553"/>
    <w:rsid w:val="00035488"/>
    <w:rsid w:val="00043C69"/>
    <w:rsid w:val="00047456"/>
    <w:rsid w:val="0005288D"/>
    <w:rsid w:val="00052AA5"/>
    <w:rsid w:val="00053E42"/>
    <w:rsid w:val="00054E39"/>
    <w:rsid w:val="00056152"/>
    <w:rsid w:val="00057148"/>
    <w:rsid w:val="00081E93"/>
    <w:rsid w:val="00084FFC"/>
    <w:rsid w:val="00091185"/>
    <w:rsid w:val="0009519F"/>
    <w:rsid w:val="000A0AE2"/>
    <w:rsid w:val="000A2EEF"/>
    <w:rsid w:val="000B1F98"/>
    <w:rsid w:val="000B3600"/>
    <w:rsid w:val="000B4026"/>
    <w:rsid w:val="000B4536"/>
    <w:rsid w:val="000B7AEC"/>
    <w:rsid w:val="000C1237"/>
    <w:rsid w:val="000C2DF7"/>
    <w:rsid w:val="000C3C3C"/>
    <w:rsid w:val="000D1E66"/>
    <w:rsid w:val="000D2659"/>
    <w:rsid w:val="000D7062"/>
    <w:rsid w:val="000E0B80"/>
    <w:rsid w:val="000E0FC1"/>
    <w:rsid w:val="000F37FF"/>
    <w:rsid w:val="000F3E6E"/>
    <w:rsid w:val="000F4129"/>
    <w:rsid w:val="000F5B06"/>
    <w:rsid w:val="000F6BC0"/>
    <w:rsid w:val="000F7A75"/>
    <w:rsid w:val="00100E4E"/>
    <w:rsid w:val="00101F69"/>
    <w:rsid w:val="00103A86"/>
    <w:rsid w:val="00112114"/>
    <w:rsid w:val="001207E9"/>
    <w:rsid w:val="00123879"/>
    <w:rsid w:val="00127F85"/>
    <w:rsid w:val="00132093"/>
    <w:rsid w:val="00136086"/>
    <w:rsid w:val="0013643E"/>
    <w:rsid w:val="0013763C"/>
    <w:rsid w:val="0014134B"/>
    <w:rsid w:val="001429E4"/>
    <w:rsid w:val="00146B6B"/>
    <w:rsid w:val="00154E01"/>
    <w:rsid w:val="00161B46"/>
    <w:rsid w:val="00162A02"/>
    <w:rsid w:val="0016401E"/>
    <w:rsid w:val="001663AA"/>
    <w:rsid w:val="00176757"/>
    <w:rsid w:val="001774EA"/>
    <w:rsid w:val="001779CB"/>
    <w:rsid w:val="001829DD"/>
    <w:rsid w:val="00182C14"/>
    <w:rsid w:val="00183E48"/>
    <w:rsid w:val="0018445D"/>
    <w:rsid w:val="0019098F"/>
    <w:rsid w:val="00195091"/>
    <w:rsid w:val="001B182A"/>
    <w:rsid w:val="001B23DF"/>
    <w:rsid w:val="001B3E1A"/>
    <w:rsid w:val="001B792B"/>
    <w:rsid w:val="001C2A95"/>
    <w:rsid w:val="001C3BC1"/>
    <w:rsid w:val="001D297A"/>
    <w:rsid w:val="001E021F"/>
    <w:rsid w:val="001E63A6"/>
    <w:rsid w:val="001E7EC4"/>
    <w:rsid w:val="001F2756"/>
    <w:rsid w:val="001F5DBD"/>
    <w:rsid w:val="00200342"/>
    <w:rsid w:val="00201237"/>
    <w:rsid w:val="00206F1A"/>
    <w:rsid w:val="002108E8"/>
    <w:rsid w:val="002135F8"/>
    <w:rsid w:val="00217B3F"/>
    <w:rsid w:val="00222612"/>
    <w:rsid w:val="002300CF"/>
    <w:rsid w:val="00231DCF"/>
    <w:rsid w:val="002354A2"/>
    <w:rsid w:val="002418AD"/>
    <w:rsid w:val="00241C2F"/>
    <w:rsid w:val="00243E8A"/>
    <w:rsid w:val="0024433A"/>
    <w:rsid w:val="002452F6"/>
    <w:rsid w:val="002477F6"/>
    <w:rsid w:val="00247934"/>
    <w:rsid w:val="00252837"/>
    <w:rsid w:val="00260C60"/>
    <w:rsid w:val="002652B4"/>
    <w:rsid w:val="00270871"/>
    <w:rsid w:val="0027121B"/>
    <w:rsid w:val="0027312A"/>
    <w:rsid w:val="002753A8"/>
    <w:rsid w:val="0028241E"/>
    <w:rsid w:val="002867E0"/>
    <w:rsid w:val="00287E9E"/>
    <w:rsid w:val="00287F91"/>
    <w:rsid w:val="00291B1B"/>
    <w:rsid w:val="00291D1C"/>
    <w:rsid w:val="002934B9"/>
    <w:rsid w:val="00293AB2"/>
    <w:rsid w:val="00294F5F"/>
    <w:rsid w:val="0029679A"/>
    <w:rsid w:val="002968EA"/>
    <w:rsid w:val="002A1C9A"/>
    <w:rsid w:val="002A6A8D"/>
    <w:rsid w:val="002B1E2D"/>
    <w:rsid w:val="002B73FC"/>
    <w:rsid w:val="002B763E"/>
    <w:rsid w:val="002C317D"/>
    <w:rsid w:val="002C3CEF"/>
    <w:rsid w:val="002C76FC"/>
    <w:rsid w:val="002D175A"/>
    <w:rsid w:val="002D34A5"/>
    <w:rsid w:val="002D35C6"/>
    <w:rsid w:val="002D3FE3"/>
    <w:rsid w:val="002D5F35"/>
    <w:rsid w:val="002E0E9F"/>
    <w:rsid w:val="002E2CA0"/>
    <w:rsid w:val="002E424C"/>
    <w:rsid w:val="002E665D"/>
    <w:rsid w:val="002F01F4"/>
    <w:rsid w:val="002F7C97"/>
    <w:rsid w:val="003134D0"/>
    <w:rsid w:val="00315CA6"/>
    <w:rsid w:val="0032158E"/>
    <w:rsid w:val="00323BF8"/>
    <w:rsid w:val="003274C9"/>
    <w:rsid w:val="00334DFC"/>
    <w:rsid w:val="00335B69"/>
    <w:rsid w:val="00341462"/>
    <w:rsid w:val="0034602D"/>
    <w:rsid w:val="00352073"/>
    <w:rsid w:val="0035334F"/>
    <w:rsid w:val="003541EA"/>
    <w:rsid w:val="0035786E"/>
    <w:rsid w:val="003604E6"/>
    <w:rsid w:val="00362824"/>
    <w:rsid w:val="00364E19"/>
    <w:rsid w:val="00385398"/>
    <w:rsid w:val="00386BE2"/>
    <w:rsid w:val="003909B8"/>
    <w:rsid w:val="00391C88"/>
    <w:rsid w:val="00395A00"/>
    <w:rsid w:val="0039674E"/>
    <w:rsid w:val="003A2F53"/>
    <w:rsid w:val="003B1518"/>
    <w:rsid w:val="003B477B"/>
    <w:rsid w:val="003B5360"/>
    <w:rsid w:val="003C1A26"/>
    <w:rsid w:val="003C2295"/>
    <w:rsid w:val="003C5B3E"/>
    <w:rsid w:val="003D1B12"/>
    <w:rsid w:val="003D2828"/>
    <w:rsid w:val="003D408D"/>
    <w:rsid w:val="003D6CD3"/>
    <w:rsid w:val="003E3B27"/>
    <w:rsid w:val="003E51D5"/>
    <w:rsid w:val="003E77F1"/>
    <w:rsid w:val="003F1407"/>
    <w:rsid w:val="003F41FE"/>
    <w:rsid w:val="003F5834"/>
    <w:rsid w:val="003F7FB5"/>
    <w:rsid w:val="0041065D"/>
    <w:rsid w:val="00416664"/>
    <w:rsid w:val="00422275"/>
    <w:rsid w:val="00436747"/>
    <w:rsid w:val="00436823"/>
    <w:rsid w:val="00436D0E"/>
    <w:rsid w:val="0044288C"/>
    <w:rsid w:val="00444F45"/>
    <w:rsid w:val="00457241"/>
    <w:rsid w:val="00470214"/>
    <w:rsid w:val="00470DDE"/>
    <w:rsid w:val="00473BFB"/>
    <w:rsid w:val="00481615"/>
    <w:rsid w:val="0048258B"/>
    <w:rsid w:val="004836AC"/>
    <w:rsid w:val="004858C0"/>
    <w:rsid w:val="004861CC"/>
    <w:rsid w:val="00496A0A"/>
    <w:rsid w:val="004A4F5D"/>
    <w:rsid w:val="004A6E9C"/>
    <w:rsid w:val="004B3A3A"/>
    <w:rsid w:val="004B757E"/>
    <w:rsid w:val="004C1ACC"/>
    <w:rsid w:val="004C31CC"/>
    <w:rsid w:val="004C40D7"/>
    <w:rsid w:val="004C5625"/>
    <w:rsid w:val="004D02D0"/>
    <w:rsid w:val="004D04CE"/>
    <w:rsid w:val="004D5953"/>
    <w:rsid w:val="004E0C6E"/>
    <w:rsid w:val="004E3678"/>
    <w:rsid w:val="004E39F1"/>
    <w:rsid w:val="004E48A7"/>
    <w:rsid w:val="004F5425"/>
    <w:rsid w:val="00502B0E"/>
    <w:rsid w:val="00502F84"/>
    <w:rsid w:val="00505EE2"/>
    <w:rsid w:val="00507DFF"/>
    <w:rsid w:val="0051248B"/>
    <w:rsid w:val="00521293"/>
    <w:rsid w:val="00523ABC"/>
    <w:rsid w:val="00523BC1"/>
    <w:rsid w:val="005275BC"/>
    <w:rsid w:val="005276AA"/>
    <w:rsid w:val="00532F7C"/>
    <w:rsid w:val="00535553"/>
    <w:rsid w:val="00536989"/>
    <w:rsid w:val="00541552"/>
    <w:rsid w:val="0055051A"/>
    <w:rsid w:val="005567C6"/>
    <w:rsid w:val="0055768A"/>
    <w:rsid w:val="005625D5"/>
    <w:rsid w:val="00565ED8"/>
    <w:rsid w:val="00572443"/>
    <w:rsid w:val="005808E0"/>
    <w:rsid w:val="00584A24"/>
    <w:rsid w:val="00585EC1"/>
    <w:rsid w:val="00586704"/>
    <w:rsid w:val="0059128B"/>
    <w:rsid w:val="00595CFA"/>
    <w:rsid w:val="005A51D2"/>
    <w:rsid w:val="005A7BB6"/>
    <w:rsid w:val="005B62D6"/>
    <w:rsid w:val="005D7AF6"/>
    <w:rsid w:val="005E3D64"/>
    <w:rsid w:val="005E45FD"/>
    <w:rsid w:val="005E6167"/>
    <w:rsid w:val="005F1472"/>
    <w:rsid w:val="005F22E2"/>
    <w:rsid w:val="005F2EDA"/>
    <w:rsid w:val="006049A0"/>
    <w:rsid w:val="00606E3B"/>
    <w:rsid w:val="00607E8A"/>
    <w:rsid w:val="0061141D"/>
    <w:rsid w:val="006137C4"/>
    <w:rsid w:val="00615993"/>
    <w:rsid w:val="00620A11"/>
    <w:rsid w:val="0062508B"/>
    <w:rsid w:val="00625CB7"/>
    <w:rsid w:val="0063464A"/>
    <w:rsid w:val="00636B52"/>
    <w:rsid w:val="006421A8"/>
    <w:rsid w:val="00643C1D"/>
    <w:rsid w:val="00643E89"/>
    <w:rsid w:val="00646407"/>
    <w:rsid w:val="006662BB"/>
    <w:rsid w:val="00670CB9"/>
    <w:rsid w:val="00677A79"/>
    <w:rsid w:val="00681216"/>
    <w:rsid w:val="006835C3"/>
    <w:rsid w:val="00685854"/>
    <w:rsid w:val="00685E9E"/>
    <w:rsid w:val="00692281"/>
    <w:rsid w:val="00693711"/>
    <w:rsid w:val="00694D5D"/>
    <w:rsid w:val="006951CF"/>
    <w:rsid w:val="006971BC"/>
    <w:rsid w:val="006A0193"/>
    <w:rsid w:val="006A5182"/>
    <w:rsid w:val="006A5DC8"/>
    <w:rsid w:val="006A65A7"/>
    <w:rsid w:val="006B098C"/>
    <w:rsid w:val="006B2978"/>
    <w:rsid w:val="006B315C"/>
    <w:rsid w:val="006C3731"/>
    <w:rsid w:val="006D1F18"/>
    <w:rsid w:val="006D4071"/>
    <w:rsid w:val="006D6578"/>
    <w:rsid w:val="006E168A"/>
    <w:rsid w:val="006E459D"/>
    <w:rsid w:val="006E699A"/>
    <w:rsid w:val="006E74F5"/>
    <w:rsid w:val="006E78BD"/>
    <w:rsid w:val="006E791B"/>
    <w:rsid w:val="006F03E1"/>
    <w:rsid w:val="006F1766"/>
    <w:rsid w:val="006F6C4C"/>
    <w:rsid w:val="0070084E"/>
    <w:rsid w:val="0070351A"/>
    <w:rsid w:val="00710F8C"/>
    <w:rsid w:val="007204DB"/>
    <w:rsid w:val="007207C9"/>
    <w:rsid w:val="007241B3"/>
    <w:rsid w:val="007248F4"/>
    <w:rsid w:val="00724CB4"/>
    <w:rsid w:val="00726A25"/>
    <w:rsid w:val="00727DFE"/>
    <w:rsid w:val="0073340D"/>
    <w:rsid w:val="00737FB5"/>
    <w:rsid w:val="007403FC"/>
    <w:rsid w:val="00742F00"/>
    <w:rsid w:val="00750911"/>
    <w:rsid w:val="00751F91"/>
    <w:rsid w:val="00760BD7"/>
    <w:rsid w:val="007613A2"/>
    <w:rsid w:val="0076737B"/>
    <w:rsid w:val="0077351D"/>
    <w:rsid w:val="0077772B"/>
    <w:rsid w:val="00777A80"/>
    <w:rsid w:val="00781154"/>
    <w:rsid w:val="00785645"/>
    <w:rsid w:val="0078579D"/>
    <w:rsid w:val="007868DA"/>
    <w:rsid w:val="00787860"/>
    <w:rsid w:val="00792740"/>
    <w:rsid w:val="007957D3"/>
    <w:rsid w:val="007A3488"/>
    <w:rsid w:val="007A46F2"/>
    <w:rsid w:val="007A511E"/>
    <w:rsid w:val="007A6441"/>
    <w:rsid w:val="007B0C04"/>
    <w:rsid w:val="007B16E8"/>
    <w:rsid w:val="007B2FB1"/>
    <w:rsid w:val="007B536E"/>
    <w:rsid w:val="007C2928"/>
    <w:rsid w:val="007C2C9B"/>
    <w:rsid w:val="007C6CEB"/>
    <w:rsid w:val="007D3423"/>
    <w:rsid w:val="007D35D5"/>
    <w:rsid w:val="007D5EFB"/>
    <w:rsid w:val="007E0D64"/>
    <w:rsid w:val="007E41F2"/>
    <w:rsid w:val="007E4FA0"/>
    <w:rsid w:val="007E4FC3"/>
    <w:rsid w:val="007E79DF"/>
    <w:rsid w:val="007F46C5"/>
    <w:rsid w:val="007F6FC7"/>
    <w:rsid w:val="008031DA"/>
    <w:rsid w:val="00805099"/>
    <w:rsid w:val="00805780"/>
    <w:rsid w:val="00810F1A"/>
    <w:rsid w:val="00813E8D"/>
    <w:rsid w:val="00816D32"/>
    <w:rsid w:val="008201D8"/>
    <w:rsid w:val="00823940"/>
    <w:rsid w:val="00825A27"/>
    <w:rsid w:val="00826371"/>
    <w:rsid w:val="00830D96"/>
    <w:rsid w:val="00835502"/>
    <w:rsid w:val="00842565"/>
    <w:rsid w:val="00844024"/>
    <w:rsid w:val="00852FDF"/>
    <w:rsid w:val="00853528"/>
    <w:rsid w:val="008554F3"/>
    <w:rsid w:val="00861A6D"/>
    <w:rsid w:val="00864900"/>
    <w:rsid w:val="008650CC"/>
    <w:rsid w:val="00871284"/>
    <w:rsid w:val="00871A7E"/>
    <w:rsid w:val="00874608"/>
    <w:rsid w:val="008757E7"/>
    <w:rsid w:val="008758EA"/>
    <w:rsid w:val="0087603B"/>
    <w:rsid w:val="00876C1D"/>
    <w:rsid w:val="008806FF"/>
    <w:rsid w:val="00880868"/>
    <w:rsid w:val="008852FB"/>
    <w:rsid w:val="00885781"/>
    <w:rsid w:val="00894190"/>
    <w:rsid w:val="008968CE"/>
    <w:rsid w:val="00896E4B"/>
    <w:rsid w:val="008A18E2"/>
    <w:rsid w:val="008A6A96"/>
    <w:rsid w:val="008B0FE3"/>
    <w:rsid w:val="008B7AC3"/>
    <w:rsid w:val="008C23F3"/>
    <w:rsid w:val="008C34E9"/>
    <w:rsid w:val="008C795C"/>
    <w:rsid w:val="008D03C4"/>
    <w:rsid w:val="008D33E3"/>
    <w:rsid w:val="008D3709"/>
    <w:rsid w:val="008D59DB"/>
    <w:rsid w:val="008D5E13"/>
    <w:rsid w:val="008E6C98"/>
    <w:rsid w:val="008E7C1B"/>
    <w:rsid w:val="008F0E38"/>
    <w:rsid w:val="008F1CB5"/>
    <w:rsid w:val="008F26F6"/>
    <w:rsid w:val="008F4025"/>
    <w:rsid w:val="008F6908"/>
    <w:rsid w:val="00911492"/>
    <w:rsid w:val="009148F9"/>
    <w:rsid w:val="009164A3"/>
    <w:rsid w:val="00942D0C"/>
    <w:rsid w:val="00945B5C"/>
    <w:rsid w:val="00951232"/>
    <w:rsid w:val="00961CE9"/>
    <w:rsid w:val="0096217D"/>
    <w:rsid w:val="00962B14"/>
    <w:rsid w:val="009646FC"/>
    <w:rsid w:val="00971B37"/>
    <w:rsid w:val="00974DB1"/>
    <w:rsid w:val="00975251"/>
    <w:rsid w:val="00975F55"/>
    <w:rsid w:val="009767FD"/>
    <w:rsid w:val="00976FD1"/>
    <w:rsid w:val="009823CC"/>
    <w:rsid w:val="009824C2"/>
    <w:rsid w:val="00984F4C"/>
    <w:rsid w:val="00987F57"/>
    <w:rsid w:val="00993BA7"/>
    <w:rsid w:val="00993F6B"/>
    <w:rsid w:val="00994092"/>
    <w:rsid w:val="009945C9"/>
    <w:rsid w:val="009A1A18"/>
    <w:rsid w:val="009A4A1B"/>
    <w:rsid w:val="009A5506"/>
    <w:rsid w:val="009A5C84"/>
    <w:rsid w:val="009A7347"/>
    <w:rsid w:val="009B2C44"/>
    <w:rsid w:val="009B2E95"/>
    <w:rsid w:val="009B75D4"/>
    <w:rsid w:val="009B796A"/>
    <w:rsid w:val="009C47A8"/>
    <w:rsid w:val="009C5A01"/>
    <w:rsid w:val="009C6BEE"/>
    <w:rsid w:val="009D008F"/>
    <w:rsid w:val="009E1E90"/>
    <w:rsid w:val="009E524D"/>
    <w:rsid w:val="009F6192"/>
    <w:rsid w:val="00A046B8"/>
    <w:rsid w:val="00A135C4"/>
    <w:rsid w:val="00A15F48"/>
    <w:rsid w:val="00A165CA"/>
    <w:rsid w:val="00A2298A"/>
    <w:rsid w:val="00A23112"/>
    <w:rsid w:val="00A24E5D"/>
    <w:rsid w:val="00A30926"/>
    <w:rsid w:val="00A363A7"/>
    <w:rsid w:val="00A36CE5"/>
    <w:rsid w:val="00A40E23"/>
    <w:rsid w:val="00A466B9"/>
    <w:rsid w:val="00A47E53"/>
    <w:rsid w:val="00A613D3"/>
    <w:rsid w:val="00A61FD0"/>
    <w:rsid w:val="00A650F4"/>
    <w:rsid w:val="00A820E0"/>
    <w:rsid w:val="00A828E5"/>
    <w:rsid w:val="00A845EF"/>
    <w:rsid w:val="00A84D4E"/>
    <w:rsid w:val="00A90FA1"/>
    <w:rsid w:val="00A9242B"/>
    <w:rsid w:val="00A930DF"/>
    <w:rsid w:val="00A9362A"/>
    <w:rsid w:val="00A93712"/>
    <w:rsid w:val="00A96317"/>
    <w:rsid w:val="00AA2512"/>
    <w:rsid w:val="00AA71F7"/>
    <w:rsid w:val="00AB0BB7"/>
    <w:rsid w:val="00AB1E4D"/>
    <w:rsid w:val="00AB3121"/>
    <w:rsid w:val="00AB797B"/>
    <w:rsid w:val="00AC1E2C"/>
    <w:rsid w:val="00AC570F"/>
    <w:rsid w:val="00AD3124"/>
    <w:rsid w:val="00AD3A5A"/>
    <w:rsid w:val="00AD3C25"/>
    <w:rsid w:val="00AD6E58"/>
    <w:rsid w:val="00AE49D4"/>
    <w:rsid w:val="00AE540F"/>
    <w:rsid w:val="00AE6968"/>
    <w:rsid w:val="00AF09B0"/>
    <w:rsid w:val="00AF43BC"/>
    <w:rsid w:val="00AF53A7"/>
    <w:rsid w:val="00AF54ED"/>
    <w:rsid w:val="00AF55B9"/>
    <w:rsid w:val="00AF65F4"/>
    <w:rsid w:val="00B04CBE"/>
    <w:rsid w:val="00B16A32"/>
    <w:rsid w:val="00B16C43"/>
    <w:rsid w:val="00B214B6"/>
    <w:rsid w:val="00B23EF9"/>
    <w:rsid w:val="00B25D8A"/>
    <w:rsid w:val="00B322B8"/>
    <w:rsid w:val="00B33FAA"/>
    <w:rsid w:val="00B35561"/>
    <w:rsid w:val="00B3679B"/>
    <w:rsid w:val="00B452AF"/>
    <w:rsid w:val="00B4786E"/>
    <w:rsid w:val="00B5054B"/>
    <w:rsid w:val="00B51BEA"/>
    <w:rsid w:val="00B54B06"/>
    <w:rsid w:val="00B55F22"/>
    <w:rsid w:val="00B62507"/>
    <w:rsid w:val="00B665C6"/>
    <w:rsid w:val="00B73168"/>
    <w:rsid w:val="00B76200"/>
    <w:rsid w:val="00B766AC"/>
    <w:rsid w:val="00B82DDF"/>
    <w:rsid w:val="00B8687B"/>
    <w:rsid w:val="00B86EC6"/>
    <w:rsid w:val="00B95C50"/>
    <w:rsid w:val="00B97F02"/>
    <w:rsid w:val="00BA5264"/>
    <w:rsid w:val="00BA6294"/>
    <w:rsid w:val="00BA6C73"/>
    <w:rsid w:val="00BB081F"/>
    <w:rsid w:val="00BB7087"/>
    <w:rsid w:val="00BC094F"/>
    <w:rsid w:val="00BC460E"/>
    <w:rsid w:val="00BC5FB4"/>
    <w:rsid w:val="00BC79E7"/>
    <w:rsid w:val="00BD1E2D"/>
    <w:rsid w:val="00BE1825"/>
    <w:rsid w:val="00BE32D8"/>
    <w:rsid w:val="00BE6BB9"/>
    <w:rsid w:val="00BE7EEF"/>
    <w:rsid w:val="00BF4933"/>
    <w:rsid w:val="00BF650E"/>
    <w:rsid w:val="00BF6E15"/>
    <w:rsid w:val="00BF6F52"/>
    <w:rsid w:val="00BF786F"/>
    <w:rsid w:val="00BF7D83"/>
    <w:rsid w:val="00C02D8B"/>
    <w:rsid w:val="00C04BCD"/>
    <w:rsid w:val="00C04E54"/>
    <w:rsid w:val="00C06291"/>
    <w:rsid w:val="00C1004A"/>
    <w:rsid w:val="00C11CE1"/>
    <w:rsid w:val="00C15C78"/>
    <w:rsid w:val="00C2349D"/>
    <w:rsid w:val="00C3761C"/>
    <w:rsid w:val="00C44968"/>
    <w:rsid w:val="00C500EF"/>
    <w:rsid w:val="00C539DA"/>
    <w:rsid w:val="00C55CAC"/>
    <w:rsid w:val="00C56A8D"/>
    <w:rsid w:val="00C62E9D"/>
    <w:rsid w:val="00C6461C"/>
    <w:rsid w:val="00C655B8"/>
    <w:rsid w:val="00C669A6"/>
    <w:rsid w:val="00C70540"/>
    <w:rsid w:val="00C7552E"/>
    <w:rsid w:val="00C77E2F"/>
    <w:rsid w:val="00C91DAE"/>
    <w:rsid w:val="00C92A58"/>
    <w:rsid w:val="00C93A1E"/>
    <w:rsid w:val="00C93CEA"/>
    <w:rsid w:val="00C9482E"/>
    <w:rsid w:val="00C95C20"/>
    <w:rsid w:val="00C96FDD"/>
    <w:rsid w:val="00CA0F0E"/>
    <w:rsid w:val="00CA3125"/>
    <w:rsid w:val="00CA59D5"/>
    <w:rsid w:val="00CA7130"/>
    <w:rsid w:val="00CC1984"/>
    <w:rsid w:val="00CC5BD3"/>
    <w:rsid w:val="00CC627C"/>
    <w:rsid w:val="00CD0241"/>
    <w:rsid w:val="00CD51D1"/>
    <w:rsid w:val="00CE01CD"/>
    <w:rsid w:val="00CE36C6"/>
    <w:rsid w:val="00CF07DB"/>
    <w:rsid w:val="00CF2BE5"/>
    <w:rsid w:val="00CF4887"/>
    <w:rsid w:val="00CF4979"/>
    <w:rsid w:val="00CF6D33"/>
    <w:rsid w:val="00CF7C49"/>
    <w:rsid w:val="00D02196"/>
    <w:rsid w:val="00D23845"/>
    <w:rsid w:val="00D24994"/>
    <w:rsid w:val="00D30BCE"/>
    <w:rsid w:val="00D34E6F"/>
    <w:rsid w:val="00D4033E"/>
    <w:rsid w:val="00D45BDF"/>
    <w:rsid w:val="00D5043B"/>
    <w:rsid w:val="00D52A10"/>
    <w:rsid w:val="00D535BD"/>
    <w:rsid w:val="00D578D1"/>
    <w:rsid w:val="00D660FF"/>
    <w:rsid w:val="00D67DCB"/>
    <w:rsid w:val="00D72BD9"/>
    <w:rsid w:val="00D77779"/>
    <w:rsid w:val="00D779AB"/>
    <w:rsid w:val="00D81481"/>
    <w:rsid w:val="00D81C45"/>
    <w:rsid w:val="00D83917"/>
    <w:rsid w:val="00D87C98"/>
    <w:rsid w:val="00D91551"/>
    <w:rsid w:val="00D91F2F"/>
    <w:rsid w:val="00D92A71"/>
    <w:rsid w:val="00D974DF"/>
    <w:rsid w:val="00D97A4B"/>
    <w:rsid w:val="00DA1602"/>
    <w:rsid w:val="00DB090B"/>
    <w:rsid w:val="00DB393F"/>
    <w:rsid w:val="00DB4041"/>
    <w:rsid w:val="00DD7C3A"/>
    <w:rsid w:val="00DE0A5D"/>
    <w:rsid w:val="00DF061E"/>
    <w:rsid w:val="00DF4A16"/>
    <w:rsid w:val="00DF5A89"/>
    <w:rsid w:val="00E03798"/>
    <w:rsid w:val="00E038AB"/>
    <w:rsid w:val="00E114C9"/>
    <w:rsid w:val="00E12647"/>
    <w:rsid w:val="00E12C38"/>
    <w:rsid w:val="00E140A3"/>
    <w:rsid w:val="00E206F6"/>
    <w:rsid w:val="00E210AF"/>
    <w:rsid w:val="00E26064"/>
    <w:rsid w:val="00E30699"/>
    <w:rsid w:val="00E32CEA"/>
    <w:rsid w:val="00E33A27"/>
    <w:rsid w:val="00E35582"/>
    <w:rsid w:val="00E41540"/>
    <w:rsid w:val="00E50FC5"/>
    <w:rsid w:val="00E52BB8"/>
    <w:rsid w:val="00E55B0E"/>
    <w:rsid w:val="00E55F63"/>
    <w:rsid w:val="00E630D2"/>
    <w:rsid w:val="00E65C58"/>
    <w:rsid w:val="00E6661B"/>
    <w:rsid w:val="00E67D62"/>
    <w:rsid w:val="00E67ECD"/>
    <w:rsid w:val="00E73248"/>
    <w:rsid w:val="00E73610"/>
    <w:rsid w:val="00E777B3"/>
    <w:rsid w:val="00E77D81"/>
    <w:rsid w:val="00E81033"/>
    <w:rsid w:val="00E810C3"/>
    <w:rsid w:val="00E848E7"/>
    <w:rsid w:val="00E84EC5"/>
    <w:rsid w:val="00E859C4"/>
    <w:rsid w:val="00E93577"/>
    <w:rsid w:val="00E95C79"/>
    <w:rsid w:val="00E9650A"/>
    <w:rsid w:val="00E965BF"/>
    <w:rsid w:val="00EA444E"/>
    <w:rsid w:val="00EA6107"/>
    <w:rsid w:val="00EB1011"/>
    <w:rsid w:val="00EB2D35"/>
    <w:rsid w:val="00EB4CB2"/>
    <w:rsid w:val="00EC1475"/>
    <w:rsid w:val="00ED52C1"/>
    <w:rsid w:val="00EE05A2"/>
    <w:rsid w:val="00EE102F"/>
    <w:rsid w:val="00EE4FEC"/>
    <w:rsid w:val="00EE6875"/>
    <w:rsid w:val="00EF0218"/>
    <w:rsid w:val="00EF19A3"/>
    <w:rsid w:val="00EF1FC5"/>
    <w:rsid w:val="00EF22CD"/>
    <w:rsid w:val="00EF4691"/>
    <w:rsid w:val="00EF6CF5"/>
    <w:rsid w:val="00F1653A"/>
    <w:rsid w:val="00F168A7"/>
    <w:rsid w:val="00F20CB6"/>
    <w:rsid w:val="00F232DC"/>
    <w:rsid w:val="00F23802"/>
    <w:rsid w:val="00F307C5"/>
    <w:rsid w:val="00F36B62"/>
    <w:rsid w:val="00F460DA"/>
    <w:rsid w:val="00F5091F"/>
    <w:rsid w:val="00F5403D"/>
    <w:rsid w:val="00F54041"/>
    <w:rsid w:val="00F57C81"/>
    <w:rsid w:val="00F609C5"/>
    <w:rsid w:val="00F6269E"/>
    <w:rsid w:val="00F6379D"/>
    <w:rsid w:val="00F73136"/>
    <w:rsid w:val="00F756B5"/>
    <w:rsid w:val="00F75DA8"/>
    <w:rsid w:val="00F75F6B"/>
    <w:rsid w:val="00F76760"/>
    <w:rsid w:val="00F76E63"/>
    <w:rsid w:val="00F80564"/>
    <w:rsid w:val="00F86A3D"/>
    <w:rsid w:val="00F86B0D"/>
    <w:rsid w:val="00F86C46"/>
    <w:rsid w:val="00F917C0"/>
    <w:rsid w:val="00F95BC8"/>
    <w:rsid w:val="00F963FF"/>
    <w:rsid w:val="00F9763B"/>
    <w:rsid w:val="00FB4952"/>
    <w:rsid w:val="00FB599C"/>
    <w:rsid w:val="00FC12CC"/>
    <w:rsid w:val="00FC37AC"/>
    <w:rsid w:val="00FC40F2"/>
    <w:rsid w:val="00FC423F"/>
    <w:rsid w:val="00FC6AD5"/>
    <w:rsid w:val="00FD192E"/>
    <w:rsid w:val="00FD4B1D"/>
    <w:rsid w:val="00FD7CD0"/>
    <w:rsid w:val="00FE1A3A"/>
    <w:rsid w:val="00FE2706"/>
    <w:rsid w:val="00FE39F6"/>
    <w:rsid w:val="00FE7934"/>
    <w:rsid w:val="00FF37F6"/>
    <w:rsid w:val="00FF4ADD"/>
    <w:rsid w:val="16B01E85"/>
    <w:rsid w:val="2009135B"/>
    <w:rsid w:val="23911B6E"/>
    <w:rsid w:val="25DE32BC"/>
    <w:rsid w:val="2CE8356F"/>
    <w:rsid w:val="36867611"/>
    <w:rsid w:val="39487D0F"/>
    <w:rsid w:val="3D0E2267"/>
    <w:rsid w:val="3EB168B4"/>
    <w:rsid w:val="4BC74105"/>
    <w:rsid w:val="4D777A62"/>
    <w:rsid w:val="6192252E"/>
    <w:rsid w:val="63027F93"/>
    <w:rsid w:val="79FBFA96"/>
    <w:rsid w:val="9FB71AE7"/>
    <w:rsid w:val="BD776535"/>
    <w:rsid w:val="F899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52"/>
    <w:qFormat/>
    <w:uiPriority w:val="9"/>
    <w:pPr>
      <w:spacing w:before="340" w:after="330" w:line="360" w:lineRule="auto"/>
      <w:jc w:val="center"/>
      <w:outlineLvl w:val="0"/>
    </w:pPr>
    <w:rPr>
      <w:rFonts w:eastAsia="黑体"/>
      <w:kern w:val="44"/>
      <w:szCs w:val="44"/>
    </w:rPr>
  </w:style>
  <w:style w:type="paragraph" w:styleId="6">
    <w:name w:val="heading 2"/>
    <w:basedOn w:val="4"/>
    <w:next w:val="5"/>
    <w:link w:val="53"/>
    <w:qFormat/>
    <w:uiPriority w:val="0"/>
    <w:pPr>
      <w:adjustRightInd w:val="0"/>
      <w:jc w:val="center"/>
      <w:textAlignment w:val="baseline"/>
      <w:outlineLvl w:val="1"/>
    </w:pPr>
    <w:rPr>
      <w:sz w:val="24"/>
      <w:szCs w:val="20"/>
    </w:rPr>
  </w:style>
  <w:style w:type="paragraph" w:styleId="4">
    <w:name w:val="heading 3"/>
    <w:basedOn w:val="5"/>
    <w:next w:val="1"/>
    <w:link w:val="61"/>
    <w:qFormat/>
    <w:uiPriority w:val="9"/>
    <w:pPr>
      <w:spacing w:before="260" w:after="260" w:line="240" w:lineRule="auto"/>
      <w:outlineLvl w:val="2"/>
    </w:pPr>
    <w:rPr>
      <w:rFonts w:ascii="宋体" w:hAnsi="宋体" w:eastAsia="宋体"/>
      <w:szCs w:val="32"/>
    </w:rPr>
  </w:style>
  <w:style w:type="paragraph" w:styleId="5">
    <w:name w:val="heading 4"/>
    <w:basedOn w:val="1"/>
    <w:next w:val="1"/>
    <w:link w:val="5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8"/>
    <w:link w:val="56"/>
    <w:qFormat/>
    <w:uiPriority w:val="0"/>
    <w:pPr>
      <w:keepNext/>
      <w:keepLines/>
      <w:spacing w:before="280" w:after="290" w:line="376" w:lineRule="auto"/>
      <w:outlineLvl w:val="4"/>
    </w:pPr>
    <w:rPr>
      <w:rFonts w:ascii="Times New Roman" w:hAnsi="Times New Roman"/>
      <w:b/>
      <w:kern w:val="0"/>
      <w:sz w:val="28"/>
      <w:szCs w:val="20"/>
    </w:rPr>
  </w:style>
  <w:style w:type="paragraph" w:styleId="9">
    <w:name w:val="heading 6"/>
    <w:basedOn w:val="1"/>
    <w:next w:val="8"/>
    <w:link w:val="57"/>
    <w:qFormat/>
    <w:uiPriority w:val="0"/>
    <w:pPr>
      <w:keepNext/>
      <w:keepLines/>
      <w:spacing w:before="240" w:after="64" w:line="320" w:lineRule="auto"/>
      <w:outlineLvl w:val="5"/>
    </w:pPr>
    <w:rPr>
      <w:rFonts w:ascii="Arial" w:hAnsi="Arial" w:eastAsia="黑体"/>
      <w:b/>
      <w:kern w:val="0"/>
      <w:sz w:val="24"/>
      <w:szCs w:val="20"/>
    </w:rPr>
  </w:style>
  <w:style w:type="paragraph" w:styleId="10">
    <w:name w:val="heading 7"/>
    <w:basedOn w:val="1"/>
    <w:next w:val="8"/>
    <w:link w:val="58"/>
    <w:qFormat/>
    <w:uiPriority w:val="0"/>
    <w:pPr>
      <w:keepNext/>
      <w:keepLines/>
      <w:spacing w:before="240" w:after="64" w:line="320" w:lineRule="auto"/>
      <w:outlineLvl w:val="6"/>
    </w:pPr>
    <w:rPr>
      <w:rFonts w:ascii="Times New Roman" w:hAnsi="Times New Roman"/>
      <w:b/>
      <w:kern w:val="0"/>
      <w:sz w:val="24"/>
      <w:szCs w:val="20"/>
    </w:rPr>
  </w:style>
  <w:style w:type="paragraph" w:styleId="11">
    <w:name w:val="heading 8"/>
    <w:basedOn w:val="1"/>
    <w:next w:val="8"/>
    <w:link w:val="59"/>
    <w:qFormat/>
    <w:uiPriority w:val="0"/>
    <w:pPr>
      <w:keepNext/>
      <w:keepLines/>
      <w:spacing w:before="240" w:after="64" w:line="320" w:lineRule="auto"/>
      <w:outlineLvl w:val="7"/>
    </w:pPr>
    <w:rPr>
      <w:rFonts w:ascii="Arial" w:hAnsi="Arial" w:eastAsia="黑体"/>
      <w:kern w:val="0"/>
      <w:sz w:val="24"/>
      <w:szCs w:val="20"/>
    </w:rPr>
  </w:style>
  <w:style w:type="paragraph" w:styleId="12">
    <w:name w:val="heading 9"/>
    <w:basedOn w:val="1"/>
    <w:next w:val="8"/>
    <w:link w:val="60"/>
    <w:qFormat/>
    <w:uiPriority w:val="0"/>
    <w:pPr>
      <w:keepNext/>
      <w:keepLines/>
      <w:spacing w:before="240" w:after="64" w:line="320" w:lineRule="auto"/>
      <w:outlineLvl w:val="8"/>
    </w:pPr>
    <w:rPr>
      <w:rFonts w:ascii="Arial" w:hAnsi="Arial" w:eastAsia="黑体"/>
      <w:kern w:val="0"/>
      <w:sz w:val="2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9"/>
    <w:qFormat/>
    <w:uiPriority w:val="0"/>
    <w:pPr>
      <w:spacing w:beforeLines="50" w:afterLines="50" w:line="120" w:lineRule="auto"/>
      <w:ind w:firstLine="840" w:firstLineChars="400"/>
      <w:jc w:val="left"/>
    </w:pPr>
    <w:rPr>
      <w:rFonts w:ascii="宋体" w:hAnsi="宋体"/>
      <w:kern w:val="0"/>
      <w:sz w:val="20"/>
      <w:szCs w:val="24"/>
    </w:rPr>
  </w:style>
  <w:style w:type="paragraph" w:styleId="8">
    <w:name w:val="Normal Indent"/>
    <w:basedOn w:val="1"/>
    <w:link w:val="73"/>
    <w:qFormat/>
    <w:uiPriority w:val="0"/>
    <w:pPr>
      <w:ind w:firstLine="420"/>
    </w:pPr>
    <w:rPr>
      <w:rFonts w:ascii="Times New Roman" w:hAnsi="Times New Roman"/>
      <w:kern w:val="0"/>
      <w:sz w:val="20"/>
      <w:szCs w:val="20"/>
    </w:rPr>
  </w:style>
  <w:style w:type="paragraph" w:styleId="13">
    <w:name w:val="toc 7"/>
    <w:basedOn w:val="1"/>
    <w:next w:val="1"/>
    <w:semiHidden/>
    <w:qFormat/>
    <w:uiPriority w:val="0"/>
    <w:pPr>
      <w:ind w:left="1260"/>
      <w:jc w:val="left"/>
    </w:pPr>
    <w:rPr>
      <w:rFonts w:ascii="Times New Roman" w:hAnsi="Times New Roman"/>
      <w:szCs w:val="21"/>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tabs>
        <w:tab w:val="left" w:pos="360"/>
      </w:tabs>
      <w:ind w:left="360" w:hanging="360"/>
    </w:pPr>
    <w:rPr>
      <w:rFonts w:ascii="Times New Roman" w:hAnsi="Times New Roman"/>
      <w:szCs w:val="20"/>
    </w:rPr>
  </w:style>
  <w:style w:type="paragraph" w:styleId="16">
    <w:name w:val="Document Map"/>
    <w:basedOn w:val="1"/>
    <w:link w:val="113"/>
    <w:semiHidden/>
    <w:qFormat/>
    <w:uiPriority w:val="0"/>
    <w:pPr>
      <w:shd w:val="clear" w:color="auto" w:fill="000080"/>
    </w:pPr>
    <w:rPr>
      <w:rFonts w:ascii="Times New Roman" w:hAnsi="Times New Roman"/>
      <w:kern w:val="0"/>
      <w:sz w:val="20"/>
      <w:szCs w:val="24"/>
    </w:rPr>
  </w:style>
  <w:style w:type="paragraph" w:styleId="17">
    <w:name w:val="annotation text"/>
    <w:basedOn w:val="1"/>
    <w:link w:val="117"/>
    <w:qFormat/>
    <w:uiPriority w:val="0"/>
    <w:pPr>
      <w:autoSpaceDE w:val="0"/>
      <w:autoSpaceDN w:val="0"/>
      <w:adjustRightInd w:val="0"/>
      <w:jc w:val="left"/>
      <w:textAlignment w:val="baseline"/>
    </w:pPr>
    <w:rPr>
      <w:rFonts w:ascii="宋体" w:hAnsi="Times New Roman"/>
      <w:kern w:val="0"/>
      <w:sz w:val="34"/>
      <w:szCs w:val="20"/>
    </w:rPr>
  </w:style>
  <w:style w:type="paragraph" w:styleId="18">
    <w:name w:val="Body Text 3"/>
    <w:basedOn w:val="1"/>
    <w:link w:val="111"/>
    <w:qFormat/>
    <w:uiPriority w:val="0"/>
    <w:pPr>
      <w:spacing w:after="120"/>
    </w:pPr>
    <w:rPr>
      <w:rFonts w:ascii="Times New Roman" w:hAnsi="Times New Roman"/>
      <w:kern w:val="0"/>
      <w:sz w:val="16"/>
      <w:szCs w:val="16"/>
    </w:rPr>
  </w:style>
  <w:style w:type="paragraph" w:styleId="19">
    <w:name w:val="Body Text"/>
    <w:basedOn w:val="1"/>
    <w:link w:val="115"/>
    <w:qFormat/>
    <w:uiPriority w:val="0"/>
    <w:pPr>
      <w:spacing w:line="360" w:lineRule="auto"/>
    </w:pPr>
    <w:rPr>
      <w:rFonts w:ascii="Times New Roman" w:hAnsi="Times New Roman"/>
      <w:b/>
      <w:bCs/>
      <w:kern w:val="0"/>
      <w:sz w:val="24"/>
      <w:szCs w:val="24"/>
    </w:rPr>
  </w:style>
  <w:style w:type="paragraph" w:styleId="20">
    <w:name w:val="Body Text Indent"/>
    <w:basedOn w:val="1"/>
    <w:link w:val="116"/>
    <w:qFormat/>
    <w:uiPriority w:val="0"/>
    <w:pPr>
      <w:spacing w:line="360" w:lineRule="auto"/>
      <w:ind w:firstLine="420" w:firstLineChars="200"/>
    </w:pPr>
    <w:rPr>
      <w:rFonts w:ascii="Times New Roman" w:hAnsi="Times New Roman"/>
      <w:kern w:val="0"/>
      <w:sz w:val="20"/>
      <w:szCs w:val="24"/>
    </w:rPr>
  </w:style>
  <w:style w:type="paragraph" w:styleId="21">
    <w:name w:val="toc 5"/>
    <w:basedOn w:val="1"/>
    <w:next w:val="1"/>
    <w:semiHidden/>
    <w:qFormat/>
    <w:uiPriority w:val="0"/>
    <w:pPr>
      <w:ind w:left="840"/>
      <w:jc w:val="left"/>
    </w:pPr>
    <w:rPr>
      <w:rFonts w:ascii="Times New Roman" w:hAnsi="Times New Roman"/>
      <w:szCs w:val="21"/>
    </w:rPr>
  </w:style>
  <w:style w:type="paragraph" w:styleId="22">
    <w:name w:val="toc 3"/>
    <w:basedOn w:val="1"/>
    <w:next w:val="1"/>
    <w:semiHidden/>
    <w:qFormat/>
    <w:uiPriority w:val="0"/>
    <w:pPr>
      <w:ind w:left="420"/>
      <w:jc w:val="left"/>
    </w:pPr>
    <w:rPr>
      <w:rFonts w:ascii="Times New Roman" w:hAnsi="Times New Roman"/>
      <w:i/>
      <w:iCs/>
      <w:szCs w:val="24"/>
    </w:rPr>
  </w:style>
  <w:style w:type="paragraph" w:styleId="23">
    <w:name w:val="Plain Text"/>
    <w:basedOn w:val="1"/>
    <w:link w:val="112"/>
    <w:qFormat/>
    <w:uiPriority w:val="0"/>
    <w:rPr>
      <w:rFonts w:ascii="宋体" w:hAnsi="Courier New"/>
      <w:kern w:val="0"/>
      <w:sz w:val="20"/>
      <w:szCs w:val="20"/>
    </w:rPr>
  </w:style>
  <w:style w:type="paragraph" w:styleId="24">
    <w:name w:val="toc 8"/>
    <w:basedOn w:val="1"/>
    <w:next w:val="1"/>
    <w:semiHidden/>
    <w:qFormat/>
    <w:uiPriority w:val="0"/>
    <w:pPr>
      <w:ind w:left="1470"/>
      <w:jc w:val="left"/>
    </w:pPr>
    <w:rPr>
      <w:rFonts w:ascii="Times New Roman" w:hAnsi="Times New Roman"/>
      <w:szCs w:val="21"/>
    </w:rPr>
  </w:style>
  <w:style w:type="paragraph" w:styleId="25">
    <w:name w:val="Date"/>
    <w:basedOn w:val="1"/>
    <w:next w:val="1"/>
    <w:link w:val="114"/>
    <w:qFormat/>
    <w:uiPriority w:val="0"/>
    <w:rPr>
      <w:rFonts w:ascii="宋体" w:hAnsi="Courier New"/>
      <w:kern w:val="0"/>
      <w:sz w:val="32"/>
      <w:szCs w:val="20"/>
    </w:rPr>
  </w:style>
  <w:style w:type="paragraph" w:styleId="26">
    <w:name w:val="Balloon Text"/>
    <w:basedOn w:val="1"/>
    <w:link w:val="121"/>
    <w:qFormat/>
    <w:uiPriority w:val="99"/>
    <w:rPr>
      <w:rFonts w:ascii="Times New Roman" w:hAnsi="Times New Roman"/>
      <w:kern w:val="0"/>
      <w:sz w:val="18"/>
      <w:szCs w:val="18"/>
    </w:rPr>
  </w:style>
  <w:style w:type="paragraph" w:styleId="27">
    <w:name w:val="footer"/>
    <w:basedOn w:val="1"/>
    <w:link w:val="51"/>
    <w:unhideWhenUsed/>
    <w:qFormat/>
    <w:uiPriority w:val="99"/>
    <w:pPr>
      <w:tabs>
        <w:tab w:val="center" w:pos="4153"/>
        <w:tab w:val="right" w:pos="8306"/>
      </w:tabs>
      <w:snapToGrid w:val="0"/>
      <w:jc w:val="left"/>
    </w:pPr>
    <w:rPr>
      <w:sz w:val="18"/>
      <w:szCs w:val="18"/>
    </w:rPr>
  </w:style>
  <w:style w:type="paragraph" w:styleId="28">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szCs w:val="21"/>
    </w:rPr>
  </w:style>
  <w:style w:type="paragraph" w:styleId="31">
    <w:name w:val="toc 6"/>
    <w:basedOn w:val="1"/>
    <w:next w:val="1"/>
    <w:semiHidden/>
    <w:qFormat/>
    <w:uiPriority w:val="0"/>
    <w:pPr>
      <w:ind w:left="1050"/>
      <w:jc w:val="left"/>
    </w:pPr>
    <w:rPr>
      <w:rFonts w:ascii="Times New Roman" w:hAnsi="Times New Roman"/>
      <w:szCs w:val="21"/>
    </w:rPr>
  </w:style>
  <w:style w:type="paragraph" w:styleId="32">
    <w:name w:val="Body Text Indent 3"/>
    <w:basedOn w:val="1"/>
    <w:link w:val="122"/>
    <w:qFormat/>
    <w:uiPriority w:val="0"/>
    <w:pPr>
      <w:spacing w:line="360" w:lineRule="auto"/>
      <w:ind w:firstLine="482" w:firstLineChars="200"/>
    </w:pPr>
    <w:rPr>
      <w:rFonts w:ascii="宋体" w:hAnsi="Times New Roman"/>
      <w:b/>
      <w:bCs/>
      <w:kern w:val="0"/>
      <w:sz w:val="24"/>
      <w:szCs w:val="24"/>
    </w:rPr>
  </w:style>
  <w:style w:type="paragraph" w:styleId="33">
    <w:name w:val="toc 2"/>
    <w:basedOn w:val="1"/>
    <w:next w:val="1"/>
    <w:qFormat/>
    <w:uiPriority w:val="0"/>
    <w:pPr>
      <w:tabs>
        <w:tab w:val="right" w:leader="dot" w:pos="8296"/>
      </w:tabs>
      <w:ind w:left="210"/>
      <w:jc w:val="left"/>
    </w:pPr>
    <w:rPr>
      <w:rFonts w:ascii="Times New Roman" w:hAnsi="Times New Roman"/>
      <w:smallCaps/>
      <w:szCs w:val="24"/>
    </w:rPr>
  </w:style>
  <w:style w:type="paragraph" w:styleId="34">
    <w:name w:val="toc 9"/>
    <w:basedOn w:val="1"/>
    <w:next w:val="1"/>
    <w:semiHidden/>
    <w:qFormat/>
    <w:uiPriority w:val="0"/>
    <w:pPr>
      <w:ind w:left="1680"/>
      <w:jc w:val="left"/>
    </w:pPr>
    <w:rPr>
      <w:rFonts w:ascii="Times New Roman" w:hAnsi="Times New Roman"/>
      <w:szCs w:val="21"/>
    </w:rPr>
  </w:style>
  <w:style w:type="paragraph" w:styleId="35">
    <w:name w:val="Body Text 2"/>
    <w:basedOn w:val="1"/>
    <w:link w:val="120"/>
    <w:qFormat/>
    <w:uiPriority w:val="0"/>
    <w:pPr>
      <w:spacing w:line="360" w:lineRule="auto"/>
    </w:pPr>
    <w:rPr>
      <w:rFonts w:ascii="Times New Roman" w:hAnsi="Times New Roman"/>
      <w:kern w:val="0"/>
      <w:sz w:val="24"/>
      <w:szCs w:val="24"/>
    </w:rPr>
  </w:style>
  <w:style w:type="paragraph" w:styleId="36">
    <w:name w:val="HTML Preformatted"/>
    <w:basedOn w:val="1"/>
    <w:link w:val="1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39">
    <w:name w:val="Title"/>
    <w:basedOn w:val="1"/>
    <w:link w:val="123"/>
    <w:qFormat/>
    <w:uiPriority w:val="0"/>
    <w:pPr>
      <w:spacing w:before="240" w:after="60"/>
      <w:jc w:val="center"/>
      <w:outlineLvl w:val="0"/>
    </w:pPr>
    <w:rPr>
      <w:rFonts w:ascii="Arial" w:hAnsi="Arial" w:eastAsia="隶书"/>
      <w:b/>
      <w:bCs/>
      <w:kern w:val="0"/>
      <w:sz w:val="32"/>
      <w:szCs w:val="32"/>
    </w:rPr>
  </w:style>
  <w:style w:type="paragraph" w:styleId="40">
    <w:name w:val="annotation subject"/>
    <w:basedOn w:val="17"/>
    <w:next w:val="17"/>
    <w:link w:val="124"/>
    <w:qFormat/>
    <w:uiPriority w:val="99"/>
    <w:pPr>
      <w:autoSpaceDE/>
      <w:autoSpaceDN/>
      <w:adjustRightInd/>
      <w:textAlignment w:val="auto"/>
    </w:pPr>
    <w:rPr>
      <w:rFonts w:ascii="Times New Roman"/>
      <w:b/>
      <w:bCs/>
      <w:szCs w:val="24"/>
    </w:rPr>
  </w:style>
  <w:style w:type="paragraph" w:styleId="41">
    <w:name w:val="Body Text First Indent"/>
    <w:basedOn w:val="19"/>
    <w:link w:val="125"/>
    <w:qFormat/>
    <w:uiPriority w:val="0"/>
    <w:pPr>
      <w:spacing w:after="120" w:line="240" w:lineRule="auto"/>
      <w:ind w:firstLine="420" w:firstLineChars="100"/>
    </w:pPr>
    <w:rPr>
      <w:sz w:val="20"/>
    </w:rPr>
  </w:style>
  <w:style w:type="table" w:styleId="43">
    <w:name w:val="Table Grid"/>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unhideWhenUsed/>
    <w:qFormat/>
    <w:uiPriority w:val="99"/>
    <w:rPr>
      <w:color w:val="800080"/>
      <w:u w:val="single"/>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页眉 Char"/>
    <w:basedOn w:val="44"/>
    <w:link w:val="28"/>
    <w:qFormat/>
    <w:uiPriority w:val="99"/>
    <w:rPr>
      <w:sz w:val="18"/>
      <w:szCs w:val="18"/>
    </w:rPr>
  </w:style>
  <w:style w:type="character" w:customStyle="1" w:styleId="51">
    <w:name w:val="页脚 Char"/>
    <w:basedOn w:val="44"/>
    <w:link w:val="27"/>
    <w:qFormat/>
    <w:uiPriority w:val="99"/>
    <w:rPr>
      <w:sz w:val="18"/>
      <w:szCs w:val="18"/>
    </w:rPr>
  </w:style>
  <w:style w:type="character" w:customStyle="1" w:styleId="52">
    <w:name w:val="标题 1 Char"/>
    <w:basedOn w:val="44"/>
    <w:link w:val="3"/>
    <w:qFormat/>
    <w:uiPriority w:val="9"/>
    <w:rPr>
      <w:rFonts w:ascii="宋体" w:hAnsi="宋体" w:eastAsia="黑体" w:cs="Times New Roman"/>
      <w:b/>
      <w:bCs/>
      <w:kern w:val="44"/>
      <w:sz w:val="28"/>
      <w:szCs w:val="44"/>
    </w:rPr>
  </w:style>
  <w:style w:type="character" w:customStyle="1" w:styleId="53">
    <w:name w:val="标题 2 Char"/>
    <w:basedOn w:val="44"/>
    <w:link w:val="6"/>
    <w:qFormat/>
    <w:uiPriority w:val="0"/>
    <w:rPr>
      <w:rFonts w:ascii="宋体" w:hAnsi="宋体" w:eastAsia="宋体" w:cs="Times New Roman"/>
      <w:b/>
      <w:bCs/>
      <w:kern w:val="0"/>
      <w:sz w:val="24"/>
      <w:szCs w:val="20"/>
    </w:rPr>
  </w:style>
  <w:style w:type="character" w:customStyle="1" w:styleId="54">
    <w:name w:val="标题 3 Char"/>
    <w:basedOn w:val="44"/>
    <w:link w:val="4"/>
    <w:qFormat/>
    <w:uiPriority w:val="9"/>
    <w:rPr>
      <w:rFonts w:ascii="Calibri" w:hAnsi="Calibri" w:eastAsia="宋体" w:cs="Times New Roman"/>
      <w:b/>
      <w:bCs/>
      <w:sz w:val="32"/>
      <w:szCs w:val="32"/>
    </w:rPr>
  </w:style>
  <w:style w:type="character" w:customStyle="1" w:styleId="55">
    <w:name w:val="标题 4 Char"/>
    <w:basedOn w:val="44"/>
    <w:link w:val="5"/>
    <w:qFormat/>
    <w:uiPriority w:val="0"/>
    <w:rPr>
      <w:rFonts w:ascii="Arial" w:hAnsi="Arial" w:eastAsia="黑体" w:cs="Times New Roman"/>
      <w:b/>
      <w:bCs/>
      <w:kern w:val="0"/>
      <w:sz w:val="28"/>
      <w:szCs w:val="28"/>
    </w:rPr>
  </w:style>
  <w:style w:type="character" w:customStyle="1" w:styleId="56">
    <w:name w:val="标题 5 Char"/>
    <w:basedOn w:val="44"/>
    <w:link w:val="7"/>
    <w:qFormat/>
    <w:uiPriority w:val="0"/>
    <w:rPr>
      <w:rFonts w:ascii="Times New Roman" w:hAnsi="Times New Roman" w:eastAsia="宋体" w:cs="Times New Roman"/>
      <w:b/>
      <w:kern w:val="0"/>
      <w:sz w:val="28"/>
      <w:szCs w:val="20"/>
    </w:rPr>
  </w:style>
  <w:style w:type="character" w:customStyle="1" w:styleId="57">
    <w:name w:val="标题 6 Char"/>
    <w:basedOn w:val="44"/>
    <w:link w:val="9"/>
    <w:qFormat/>
    <w:uiPriority w:val="0"/>
    <w:rPr>
      <w:rFonts w:ascii="Arial" w:hAnsi="Arial" w:eastAsia="黑体" w:cs="Times New Roman"/>
      <w:b/>
      <w:kern w:val="0"/>
      <w:sz w:val="24"/>
      <w:szCs w:val="20"/>
    </w:rPr>
  </w:style>
  <w:style w:type="character" w:customStyle="1" w:styleId="58">
    <w:name w:val="标题 7 Char"/>
    <w:basedOn w:val="44"/>
    <w:link w:val="10"/>
    <w:qFormat/>
    <w:uiPriority w:val="0"/>
    <w:rPr>
      <w:rFonts w:ascii="Times New Roman" w:hAnsi="Times New Roman" w:eastAsia="宋体" w:cs="Times New Roman"/>
      <w:b/>
      <w:kern w:val="0"/>
      <w:sz w:val="24"/>
      <w:szCs w:val="20"/>
    </w:rPr>
  </w:style>
  <w:style w:type="character" w:customStyle="1" w:styleId="59">
    <w:name w:val="标题 8 Char"/>
    <w:basedOn w:val="44"/>
    <w:link w:val="11"/>
    <w:qFormat/>
    <w:uiPriority w:val="0"/>
    <w:rPr>
      <w:rFonts w:ascii="Arial" w:hAnsi="Arial" w:eastAsia="黑体" w:cs="Times New Roman"/>
      <w:kern w:val="0"/>
      <w:sz w:val="24"/>
      <w:szCs w:val="20"/>
    </w:rPr>
  </w:style>
  <w:style w:type="character" w:customStyle="1" w:styleId="60">
    <w:name w:val="标题 9 Char"/>
    <w:basedOn w:val="44"/>
    <w:link w:val="12"/>
    <w:qFormat/>
    <w:uiPriority w:val="0"/>
    <w:rPr>
      <w:rFonts w:ascii="Arial" w:hAnsi="Arial" w:eastAsia="黑体" w:cs="Times New Roman"/>
      <w:kern w:val="0"/>
      <w:sz w:val="20"/>
      <w:szCs w:val="20"/>
    </w:rPr>
  </w:style>
  <w:style w:type="character" w:customStyle="1" w:styleId="61">
    <w:name w:val="标题 3 Char1"/>
    <w:link w:val="4"/>
    <w:qFormat/>
    <w:uiPriority w:val="0"/>
    <w:rPr>
      <w:rFonts w:ascii="宋体" w:hAnsi="宋体" w:eastAsia="宋体" w:cs="Times New Roman"/>
      <w:b/>
      <w:bCs/>
      <w:kern w:val="0"/>
      <w:sz w:val="28"/>
      <w:szCs w:val="32"/>
    </w:rPr>
  </w:style>
  <w:style w:type="character" w:customStyle="1" w:styleId="62">
    <w:name w:val="--规划正文 Char Char"/>
    <w:qFormat/>
    <w:uiPriority w:val="0"/>
    <w:rPr>
      <w:rFonts w:eastAsia="宋体"/>
      <w:kern w:val="2"/>
      <w:sz w:val="24"/>
      <w:szCs w:val="24"/>
      <w:lang w:val="en-US" w:eastAsia="zh-CN" w:bidi="ar-SA"/>
    </w:rPr>
  </w:style>
  <w:style w:type="character" w:customStyle="1" w:styleId="63">
    <w:name w:val="grame"/>
    <w:basedOn w:val="44"/>
    <w:qFormat/>
    <w:uiPriority w:val="0"/>
  </w:style>
  <w:style w:type="character" w:customStyle="1" w:styleId="64">
    <w:name w:val="font"/>
    <w:basedOn w:val="44"/>
    <w:qFormat/>
    <w:uiPriority w:val="0"/>
  </w:style>
  <w:style w:type="character" w:customStyle="1" w:styleId="65">
    <w:name w:val="font2"/>
    <w:basedOn w:val="44"/>
    <w:qFormat/>
    <w:uiPriority w:val="0"/>
  </w:style>
  <w:style w:type="character" w:customStyle="1" w:styleId="66">
    <w:name w:val="unnamed4"/>
    <w:basedOn w:val="44"/>
    <w:qFormat/>
    <w:uiPriority w:val="0"/>
  </w:style>
  <w:style w:type="character" w:customStyle="1" w:styleId="67">
    <w:name w:val="样式 小三 加粗"/>
    <w:qFormat/>
    <w:uiPriority w:val="0"/>
    <w:rPr>
      <w:rFonts w:eastAsia="宋体"/>
      <w:b/>
      <w:bCs/>
      <w:sz w:val="32"/>
    </w:rPr>
  </w:style>
  <w:style w:type="character" w:customStyle="1" w:styleId="68">
    <w:name w:val="z-窗体顶端 Char"/>
    <w:basedOn w:val="44"/>
    <w:qFormat/>
    <w:uiPriority w:val="0"/>
    <w:rPr>
      <w:rFonts w:ascii="Arial" w:hAnsi="Arial" w:eastAsia="宋体" w:cs="Times New Roman"/>
      <w:vanish/>
      <w:kern w:val="0"/>
      <w:sz w:val="16"/>
      <w:szCs w:val="16"/>
      <w:lang w:val="en-US" w:eastAsia="zh-CN"/>
    </w:rPr>
  </w:style>
  <w:style w:type="paragraph" w:customStyle="1" w:styleId="69">
    <w:name w:val="HTML Top of Form"/>
    <w:basedOn w:val="1"/>
    <w:next w:val="1"/>
    <w:link w:val="179"/>
    <w:qFormat/>
    <w:uiPriority w:val="0"/>
    <w:pPr>
      <w:widowControl/>
      <w:pBdr>
        <w:bottom w:val="single" w:color="auto" w:sz="6" w:space="1"/>
      </w:pBdr>
      <w:jc w:val="center"/>
    </w:pPr>
    <w:rPr>
      <w:rFonts w:ascii="Arial" w:hAnsi="Arial"/>
      <w:vanish/>
      <w:kern w:val="0"/>
      <w:sz w:val="16"/>
      <w:szCs w:val="16"/>
    </w:rPr>
  </w:style>
  <w:style w:type="character" w:customStyle="1" w:styleId="70">
    <w:name w:val="批注文字 Char"/>
    <w:basedOn w:val="44"/>
    <w:link w:val="17"/>
    <w:qFormat/>
    <w:uiPriority w:val="0"/>
    <w:rPr>
      <w:rFonts w:ascii="宋体" w:hAnsi="Times New Roman" w:eastAsia="宋体" w:cs="Times New Roman"/>
      <w:kern w:val="0"/>
      <w:sz w:val="34"/>
      <w:szCs w:val="20"/>
    </w:rPr>
  </w:style>
  <w:style w:type="character" w:customStyle="1" w:styleId="71">
    <w:name w:val="标题 Char"/>
    <w:basedOn w:val="44"/>
    <w:link w:val="39"/>
    <w:qFormat/>
    <w:uiPriority w:val="0"/>
    <w:rPr>
      <w:rFonts w:ascii="Arial" w:hAnsi="Arial" w:eastAsia="隶书" w:cs="Times New Roman"/>
      <w:b/>
      <w:bCs/>
      <w:kern w:val="0"/>
      <w:sz w:val="32"/>
      <w:szCs w:val="32"/>
    </w:rPr>
  </w:style>
  <w:style w:type="character" w:customStyle="1" w:styleId="72">
    <w:name w:val="正文文本 Char"/>
    <w:basedOn w:val="44"/>
    <w:semiHidden/>
    <w:qFormat/>
    <w:uiPriority w:val="99"/>
    <w:rPr>
      <w:rFonts w:ascii="Calibri" w:hAnsi="Calibri" w:eastAsia="宋体" w:cs="Times New Roman"/>
    </w:rPr>
  </w:style>
  <w:style w:type="character" w:customStyle="1" w:styleId="73">
    <w:name w:val="正文缩进 Char"/>
    <w:link w:val="8"/>
    <w:qFormat/>
    <w:uiPriority w:val="0"/>
    <w:rPr>
      <w:rFonts w:ascii="Times New Roman" w:hAnsi="Times New Roman" w:eastAsia="宋体" w:cs="Times New Roman"/>
      <w:kern w:val="0"/>
      <w:sz w:val="20"/>
      <w:szCs w:val="20"/>
    </w:rPr>
  </w:style>
  <w:style w:type="character" w:customStyle="1" w:styleId="74">
    <w:name w:val="日期 Char"/>
    <w:basedOn w:val="44"/>
    <w:link w:val="25"/>
    <w:qFormat/>
    <w:uiPriority w:val="0"/>
    <w:rPr>
      <w:rFonts w:ascii="宋体" w:hAnsi="Courier New" w:eastAsia="宋体" w:cs="Times New Roman"/>
      <w:kern w:val="0"/>
      <w:sz w:val="32"/>
      <w:szCs w:val="20"/>
    </w:rPr>
  </w:style>
  <w:style w:type="character" w:customStyle="1" w:styleId="75">
    <w:name w:val="正文文字首行缩进 Char"/>
    <w:qFormat/>
    <w:uiPriority w:val="0"/>
    <w:rPr>
      <w:kern w:val="2"/>
      <w:sz w:val="21"/>
      <w:szCs w:val="24"/>
    </w:rPr>
  </w:style>
  <w:style w:type="character" w:customStyle="1" w:styleId="76">
    <w:name w:val="unnamed3"/>
    <w:basedOn w:val="44"/>
    <w:qFormat/>
    <w:uiPriority w:val="0"/>
  </w:style>
  <w:style w:type="character" w:customStyle="1" w:styleId="77">
    <w:name w:val="批注主题 Char"/>
    <w:basedOn w:val="70"/>
    <w:link w:val="40"/>
    <w:qFormat/>
    <w:uiPriority w:val="99"/>
    <w:rPr>
      <w:rFonts w:ascii="Times New Roman"/>
      <w:b/>
      <w:bCs/>
      <w:szCs w:val="24"/>
    </w:rPr>
  </w:style>
  <w:style w:type="character" w:customStyle="1" w:styleId="78">
    <w:name w:val="gray6"/>
    <w:basedOn w:val="44"/>
    <w:qFormat/>
    <w:uiPriority w:val="0"/>
  </w:style>
  <w:style w:type="character" w:customStyle="1" w:styleId="79">
    <w:name w:val="纯文本 Char"/>
    <w:basedOn w:val="44"/>
    <w:link w:val="23"/>
    <w:qFormat/>
    <w:uiPriority w:val="0"/>
    <w:rPr>
      <w:rFonts w:ascii="宋体" w:hAnsi="Courier New" w:eastAsia="宋体" w:cs="Times New Roman"/>
      <w:kern w:val="0"/>
      <w:sz w:val="20"/>
      <w:szCs w:val="20"/>
    </w:rPr>
  </w:style>
  <w:style w:type="character" w:customStyle="1" w:styleId="80">
    <w:name w:val="正文文本缩进 Char"/>
    <w:basedOn w:val="44"/>
    <w:link w:val="20"/>
    <w:qFormat/>
    <w:uiPriority w:val="0"/>
    <w:rPr>
      <w:rFonts w:ascii="Times New Roman" w:hAnsi="Times New Roman" w:eastAsia="宋体" w:cs="Times New Roman"/>
      <w:kern w:val="0"/>
      <w:sz w:val="20"/>
      <w:szCs w:val="24"/>
    </w:rPr>
  </w:style>
  <w:style w:type="character" w:customStyle="1" w:styleId="81">
    <w:name w:val="正文文本 2 Char"/>
    <w:basedOn w:val="44"/>
    <w:link w:val="35"/>
    <w:qFormat/>
    <w:uiPriority w:val="0"/>
    <w:rPr>
      <w:rFonts w:ascii="Times New Roman" w:hAnsi="Times New Roman" w:eastAsia="宋体" w:cs="Times New Roman"/>
      <w:kern w:val="0"/>
      <w:sz w:val="24"/>
      <w:szCs w:val="24"/>
    </w:rPr>
  </w:style>
  <w:style w:type="character" w:customStyle="1" w:styleId="82">
    <w:name w:val="标题 3 Char Char"/>
    <w:qFormat/>
    <w:uiPriority w:val="0"/>
    <w:rPr>
      <w:rFonts w:eastAsia="宋体"/>
      <w:b/>
      <w:bCs/>
      <w:kern w:val="2"/>
      <w:sz w:val="32"/>
      <w:szCs w:val="32"/>
      <w:lang w:val="en-US" w:eastAsia="zh-CN" w:bidi="ar-SA"/>
    </w:rPr>
  </w:style>
  <w:style w:type="character" w:customStyle="1" w:styleId="83">
    <w:name w:val="--规划正文 Char1"/>
    <w:qFormat/>
    <w:uiPriority w:val="0"/>
    <w:rPr>
      <w:rFonts w:eastAsia="宋体"/>
      <w:kern w:val="2"/>
      <w:sz w:val="21"/>
      <w:lang w:val="en-US" w:eastAsia="zh-CN" w:bidi="ar-SA"/>
    </w:rPr>
  </w:style>
  <w:style w:type="character" w:customStyle="1" w:styleId="84">
    <w:name w:val="正文首行缩进 Char"/>
    <w:basedOn w:val="72"/>
    <w:link w:val="41"/>
    <w:qFormat/>
    <w:uiPriority w:val="0"/>
    <w:rPr>
      <w:rFonts w:ascii="Times New Roman" w:hAnsi="Times New Roman"/>
      <w:b/>
      <w:bCs/>
      <w:kern w:val="0"/>
      <w:sz w:val="20"/>
      <w:szCs w:val="24"/>
      <w:lang w:val="en-US" w:eastAsia="zh-CN"/>
    </w:rPr>
  </w:style>
  <w:style w:type="character" w:customStyle="1" w:styleId="85">
    <w:name w:val="z-窗体底端 Char"/>
    <w:basedOn w:val="44"/>
    <w:qFormat/>
    <w:uiPriority w:val="0"/>
    <w:rPr>
      <w:rFonts w:ascii="Arial" w:hAnsi="Arial" w:eastAsia="宋体" w:cs="Times New Roman"/>
      <w:vanish/>
      <w:kern w:val="0"/>
      <w:sz w:val="16"/>
      <w:szCs w:val="16"/>
      <w:lang w:val="en-US" w:eastAsia="zh-CN"/>
    </w:rPr>
  </w:style>
  <w:style w:type="paragraph" w:customStyle="1" w:styleId="86">
    <w:name w:val="HTML Bottom of Form"/>
    <w:basedOn w:val="1"/>
    <w:next w:val="1"/>
    <w:link w:val="199"/>
    <w:qFormat/>
    <w:uiPriority w:val="0"/>
    <w:pPr>
      <w:widowControl/>
      <w:pBdr>
        <w:top w:val="single" w:color="auto" w:sz="6" w:space="1"/>
      </w:pBdr>
      <w:jc w:val="center"/>
    </w:pPr>
    <w:rPr>
      <w:rFonts w:ascii="Arial" w:hAnsi="Arial"/>
      <w:vanish/>
      <w:kern w:val="0"/>
      <w:sz w:val="16"/>
      <w:szCs w:val="16"/>
    </w:rPr>
  </w:style>
  <w:style w:type="character" w:customStyle="1" w:styleId="87">
    <w:name w:val="HTML 预设格式 Char"/>
    <w:basedOn w:val="44"/>
    <w:link w:val="36"/>
    <w:qFormat/>
    <w:uiPriority w:val="0"/>
    <w:rPr>
      <w:rFonts w:ascii="Arial Unicode MS" w:hAnsi="Arial Unicode MS" w:eastAsia="Arial Unicode MS" w:cs="Times New Roman"/>
      <w:color w:val="000000"/>
      <w:kern w:val="0"/>
      <w:sz w:val="20"/>
      <w:szCs w:val="20"/>
    </w:rPr>
  </w:style>
  <w:style w:type="character" w:customStyle="1" w:styleId="88">
    <w:name w:val="H4 Char2"/>
    <w:qFormat/>
    <w:uiPriority w:val="0"/>
    <w:rPr>
      <w:rFonts w:ascii="Arial" w:hAnsi="Arial" w:eastAsia="黑体"/>
      <w:b/>
      <w:bCs/>
      <w:kern w:val="2"/>
      <w:sz w:val="28"/>
      <w:szCs w:val="28"/>
      <w:lang w:val="en-US" w:eastAsia="zh-CN" w:bidi="ar-SA"/>
    </w:rPr>
  </w:style>
  <w:style w:type="character" w:customStyle="1" w:styleId="89">
    <w:name w:val="正文文本 Char1"/>
    <w:link w:val="19"/>
    <w:qFormat/>
    <w:uiPriority w:val="0"/>
    <w:rPr>
      <w:rFonts w:ascii="Times New Roman" w:hAnsi="Times New Roman" w:eastAsia="宋体" w:cs="Times New Roman"/>
      <w:b/>
      <w:bCs/>
      <w:kern w:val="0"/>
      <w:sz w:val="24"/>
      <w:szCs w:val="24"/>
    </w:rPr>
  </w:style>
  <w:style w:type="character" w:customStyle="1" w:styleId="90">
    <w:name w:val="body text Char1"/>
    <w:qFormat/>
    <w:uiPriority w:val="0"/>
    <w:rPr>
      <w:rFonts w:eastAsia="宋体"/>
      <w:kern w:val="2"/>
      <w:sz w:val="21"/>
      <w:lang w:val="en-US" w:eastAsia="zh-CN" w:bidi="ar-SA"/>
    </w:rPr>
  </w:style>
  <w:style w:type="character" w:customStyle="1" w:styleId="91">
    <w:name w:val="文档结构图 Char"/>
    <w:basedOn w:val="44"/>
    <w:link w:val="16"/>
    <w:semiHidden/>
    <w:qFormat/>
    <w:uiPriority w:val="0"/>
    <w:rPr>
      <w:rFonts w:ascii="Times New Roman" w:hAnsi="Times New Roman" w:eastAsia="宋体" w:cs="Times New Roman"/>
      <w:kern w:val="0"/>
      <w:sz w:val="20"/>
      <w:szCs w:val="24"/>
      <w:shd w:val="clear" w:color="auto" w:fill="000080"/>
    </w:rPr>
  </w:style>
  <w:style w:type="character" w:customStyle="1" w:styleId="92">
    <w:name w:val="正文文本 3 Char"/>
    <w:basedOn w:val="44"/>
    <w:link w:val="18"/>
    <w:qFormat/>
    <w:uiPriority w:val="0"/>
    <w:rPr>
      <w:rFonts w:ascii="Times New Roman" w:hAnsi="Times New Roman" w:eastAsia="宋体" w:cs="Times New Roman"/>
      <w:kern w:val="0"/>
      <w:sz w:val="16"/>
      <w:szCs w:val="16"/>
    </w:rPr>
  </w:style>
  <w:style w:type="character" w:customStyle="1" w:styleId="93">
    <w:name w:val="blue"/>
    <w:basedOn w:val="44"/>
    <w:qFormat/>
    <w:uiPriority w:val="0"/>
  </w:style>
  <w:style w:type="character" w:customStyle="1" w:styleId="94">
    <w:name w:val="proddescription"/>
    <w:basedOn w:val="44"/>
    <w:qFormat/>
    <w:uiPriority w:val="0"/>
  </w:style>
  <w:style w:type="character" w:customStyle="1" w:styleId="95">
    <w:name w:val="缩进正文 Char"/>
    <w:link w:val="96"/>
    <w:qFormat/>
    <w:uiPriority w:val="0"/>
    <w:rPr>
      <w:rFonts w:ascii="Times New Roman" w:hAnsi="Times New Roman" w:eastAsia="仿宋_GB2312" w:cs="Times New Roman"/>
      <w:kern w:val="0"/>
      <w:sz w:val="28"/>
      <w:szCs w:val="20"/>
    </w:rPr>
  </w:style>
  <w:style w:type="paragraph" w:customStyle="1" w:styleId="96">
    <w:name w:val="缩进正文"/>
    <w:basedOn w:val="1"/>
    <w:link w:val="95"/>
    <w:qFormat/>
    <w:uiPriority w:val="0"/>
    <w:pPr>
      <w:ind w:firstLine="560" w:firstLineChars="200"/>
    </w:pPr>
    <w:rPr>
      <w:rFonts w:ascii="Times New Roman" w:hAnsi="Times New Roman" w:eastAsia="仿宋_GB2312"/>
      <w:kern w:val="0"/>
      <w:sz w:val="28"/>
      <w:szCs w:val="20"/>
    </w:rPr>
  </w:style>
  <w:style w:type="character" w:customStyle="1" w:styleId="97">
    <w:name w:val="style9"/>
    <w:basedOn w:val="44"/>
    <w:qFormat/>
    <w:uiPriority w:val="0"/>
  </w:style>
  <w:style w:type="character" w:customStyle="1" w:styleId="98">
    <w:name w:val="prodheadlines"/>
    <w:basedOn w:val="44"/>
    <w:qFormat/>
    <w:uiPriority w:val="0"/>
  </w:style>
  <w:style w:type="character" w:customStyle="1" w:styleId="99">
    <w:name w:val="content1"/>
    <w:qFormat/>
    <w:uiPriority w:val="0"/>
    <w:rPr>
      <w:rFonts w:hint="default" w:ascii="??" w:hAnsi="??"/>
      <w:sz w:val="16"/>
      <w:szCs w:val="16"/>
      <w:u w:val="none"/>
    </w:rPr>
  </w:style>
  <w:style w:type="character" w:customStyle="1" w:styleId="100">
    <w:name w:val="正文文本缩进 3 Char"/>
    <w:basedOn w:val="44"/>
    <w:link w:val="32"/>
    <w:qFormat/>
    <w:uiPriority w:val="0"/>
    <w:rPr>
      <w:rFonts w:ascii="宋体" w:hAnsi="Times New Roman" w:eastAsia="宋体" w:cs="Times New Roman"/>
      <w:b/>
      <w:bCs/>
      <w:kern w:val="0"/>
      <w:sz w:val="24"/>
      <w:szCs w:val="24"/>
    </w:rPr>
  </w:style>
  <w:style w:type="character" w:customStyle="1" w:styleId="101">
    <w:name w:val="章标题1 Char"/>
    <w:qFormat/>
    <w:uiPriority w:val="0"/>
    <w:rPr>
      <w:rFonts w:eastAsia="宋体"/>
      <w:b/>
      <w:bCs/>
      <w:kern w:val="2"/>
      <w:sz w:val="32"/>
      <w:szCs w:val="32"/>
      <w:lang w:val="en-US" w:eastAsia="zh-CN" w:bidi="ar-SA"/>
    </w:rPr>
  </w:style>
  <w:style w:type="character" w:customStyle="1" w:styleId="102">
    <w:name w:val="font41"/>
    <w:qFormat/>
    <w:uiPriority w:val="0"/>
    <w:rPr>
      <w:color w:val="000000"/>
      <w:spacing w:val="260"/>
      <w:sz w:val="18"/>
      <w:szCs w:val="18"/>
      <w:u w:val="none"/>
    </w:rPr>
  </w:style>
  <w:style w:type="character" w:customStyle="1" w:styleId="103">
    <w:name w:val="alt-edited1"/>
    <w:qFormat/>
    <w:uiPriority w:val="0"/>
    <w:rPr>
      <w:color w:val="4D90F0"/>
    </w:rPr>
  </w:style>
  <w:style w:type="character" w:customStyle="1" w:styleId="104">
    <w:name w:val="info4"/>
    <w:basedOn w:val="44"/>
    <w:qFormat/>
    <w:uiPriority w:val="0"/>
  </w:style>
  <w:style w:type="character" w:customStyle="1" w:styleId="105">
    <w:name w:val="第*章 Char"/>
    <w:qFormat/>
    <w:uiPriority w:val="0"/>
    <w:rPr>
      <w:rFonts w:ascii="Arial" w:hAnsi="Arial" w:eastAsia="黑体"/>
      <w:b/>
      <w:bCs/>
      <w:kern w:val="2"/>
      <w:sz w:val="32"/>
      <w:szCs w:val="32"/>
    </w:rPr>
  </w:style>
  <w:style w:type="character" w:customStyle="1" w:styleId="106">
    <w:name w:val="text"/>
    <w:basedOn w:val="44"/>
    <w:qFormat/>
    <w:uiPriority w:val="0"/>
  </w:style>
  <w:style w:type="character" w:customStyle="1" w:styleId="107">
    <w:name w:val="正文文本缩进 2 Char"/>
    <w:basedOn w:val="44"/>
    <w:link w:val="2"/>
    <w:qFormat/>
    <w:uiPriority w:val="0"/>
    <w:rPr>
      <w:rFonts w:ascii="宋体" w:hAnsi="宋体" w:eastAsia="宋体" w:cs="Times New Roman"/>
      <w:kern w:val="0"/>
      <w:sz w:val="20"/>
      <w:szCs w:val="24"/>
    </w:rPr>
  </w:style>
  <w:style w:type="character" w:customStyle="1" w:styleId="108">
    <w:name w:val="font11"/>
    <w:qFormat/>
    <w:uiPriority w:val="0"/>
    <w:rPr>
      <w:rFonts w:hint="default" w:ascii="ˎ̥" w:hAnsi="ˎ̥"/>
    </w:rPr>
  </w:style>
  <w:style w:type="character" w:customStyle="1" w:styleId="109">
    <w:name w:val="批注框文本 Char"/>
    <w:basedOn w:val="44"/>
    <w:link w:val="26"/>
    <w:qFormat/>
    <w:uiPriority w:val="99"/>
    <w:rPr>
      <w:rFonts w:ascii="Times New Roman" w:hAnsi="Times New Roman" w:eastAsia="宋体" w:cs="Times New Roman"/>
      <w:kern w:val="0"/>
      <w:sz w:val="18"/>
      <w:szCs w:val="18"/>
    </w:rPr>
  </w:style>
  <w:style w:type="character" w:customStyle="1" w:styleId="110">
    <w:name w:val="mode"/>
    <w:basedOn w:val="44"/>
    <w:qFormat/>
    <w:uiPriority w:val="0"/>
  </w:style>
  <w:style w:type="character" w:customStyle="1" w:styleId="111">
    <w:name w:val="正文文本 3 Char1"/>
    <w:basedOn w:val="44"/>
    <w:link w:val="18"/>
    <w:semiHidden/>
    <w:qFormat/>
    <w:uiPriority w:val="99"/>
    <w:rPr>
      <w:rFonts w:ascii="Calibri" w:hAnsi="Calibri" w:eastAsia="宋体" w:cs="Times New Roman"/>
      <w:sz w:val="16"/>
      <w:szCs w:val="16"/>
    </w:rPr>
  </w:style>
  <w:style w:type="character" w:customStyle="1" w:styleId="112">
    <w:name w:val="纯文本 Char1"/>
    <w:basedOn w:val="44"/>
    <w:link w:val="23"/>
    <w:semiHidden/>
    <w:qFormat/>
    <w:uiPriority w:val="99"/>
    <w:rPr>
      <w:rFonts w:ascii="宋体" w:hAnsi="Courier New" w:eastAsia="宋体" w:cs="Courier New"/>
      <w:szCs w:val="21"/>
    </w:rPr>
  </w:style>
  <w:style w:type="character" w:customStyle="1" w:styleId="113">
    <w:name w:val="文档结构图 Char1"/>
    <w:basedOn w:val="44"/>
    <w:link w:val="16"/>
    <w:semiHidden/>
    <w:qFormat/>
    <w:uiPriority w:val="99"/>
    <w:rPr>
      <w:rFonts w:ascii="宋体" w:hAnsi="Calibri" w:eastAsia="宋体" w:cs="Times New Roman"/>
      <w:sz w:val="18"/>
      <w:szCs w:val="18"/>
    </w:rPr>
  </w:style>
  <w:style w:type="character" w:customStyle="1" w:styleId="114">
    <w:name w:val="日期 Char1"/>
    <w:basedOn w:val="44"/>
    <w:link w:val="25"/>
    <w:semiHidden/>
    <w:qFormat/>
    <w:uiPriority w:val="99"/>
    <w:rPr>
      <w:rFonts w:ascii="Calibri" w:hAnsi="Calibri" w:eastAsia="宋体" w:cs="Times New Roman"/>
    </w:rPr>
  </w:style>
  <w:style w:type="character" w:customStyle="1" w:styleId="115">
    <w:name w:val="正文文本 Char2"/>
    <w:basedOn w:val="44"/>
    <w:link w:val="19"/>
    <w:semiHidden/>
    <w:qFormat/>
    <w:uiPriority w:val="99"/>
    <w:rPr>
      <w:rFonts w:ascii="Calibri" w:hAnsi="Calibri" w:eastAsia="宋体" w:cs="Times New Roman"/>
    </w:rPr>
  </w:style>
  <w:style w:type="character" w:customStyle="1" w:styleId="116">
    <w:name w:val="正文文本缩进 Char1"/>
    <w:basedOn w:val="44"/>
    <w:link w:val="20"/>
    <w:semiHidden/>
    <w:qFormat/>
    <w:uiPriority w:val="99"/>
    <w:rPr>
      <w:rFonts w:ascii="Calibri" w:hAnsi="Calibri" w:eastAsia="宋体" w:cs="Times New Roman"/>
    </w:rPr>
  </w:style>
  <w:style w:type="character" w:customStyle="1" w:styleId="117">
    <w:name w:val="批注文字 Char1"/>
    <w:basedOn w:val="44"/>
    <w:link w:val="17"/>
    <w:semiHidden/>
    <w:qFormat/>
    <w:uiPriority w:val="99"/>
    <w:rPr>
      <w:rFonts w:ascii="Calibri" w:hAnsi="Calibri" w:eastAsia="宋体" w:cs="Times New Roman"/>
    </w:rPr>
  </w:style>
  <w:style w:type="character" w:customStyle="1" w:styleId="118">
    <w:name w:val="HTML 预设格式 Char1"/>
    <w:basedOn w:val="44"/>
    <w:link w:val="36"/>
    <w:semiHidden/>
    <w:qFormat/>
    <w:uiPriority w:val="99"/>
    <w:rPr>
      <w:rFonts w:ascii="Courier New" w:hAnsi="Courier New" w:eastAsia="宋体" w:cs="Courier New"/>
      <w:sz w:val="20"/>
      <w:szCs w:val="20"/>
    </w:rPr>
  </w:style>
  <w:style w:type="character" w:customStyle="1" w:styleId="119">
    <w:name w:val="正文文本缩进 2 Char1"/>
    <w:basedOn w:val="44"/>
    <w:link w:val="2"/>
    <w:semiHidden/>
    <w:qFormat/>
    <w:uiPriority w:val="99"/>
    <w:rPr>
      <w:rFonts w:ascii="Calibri" w:hAnsi="Calibri" w:eastAsia="宋体" w:cs="Times New Roman"/>
    </w:rPr>
  </w:style>
  <w:style w:type="character" w:customStyle="1" w:styleId="120">
    <w:name w:val="正文文本 2 Char1"/>
    <w:basedOn w:val="44"/>
    <w:link w:val="35"/>
    <w:semiHidden/>
    <w:qFormat/>
    <w:uiPriority w:val="99"/>
    <w:rPr>
      <w:rFonts w:ascii="Calibri" w:hAnsi="Calibri" w:eastAsia="宋体" w:cs="Times New Roman"/>
    </w:rPr>
  </w:style>
  <w:style w:type="character" w:customStyle="1" w:styleId="121">
    <w:name w:val="批注框文本 Char1"/>
    <w:basedOn w:val="44"/>
    <w:link w:val="26"/>
    <w:semiHidden/>
    <w:qFormat/>
    <w:uiPriority w:val="99"/>
    <w:rPr>
      <w:rFonts w:ascii="Calibri" w:hAnsi="Calibri" w:eastAsia="宋体" w:cs="Times New Roman"/>
      <w:sz w:val="18"/>
      <w:szCs w:val="18"/>
    </w:rPr>
  </w:style>
  <w:style w:type="character" w:customStyle="1" w:styleId="122">
    <w:name w:val="正文文本缩进 3 Char1"/>
    <w:basedOn w:val="44"/>
    <w:link w:val="32"/>
    <w:semiHidden/>
    <w:qFormat/>
    <w:uiPriority w:val="99"/>
    <w:rPr>
      <w:rFonts w:ascii="Calibri" w:hAnsi="Calibri" w:eastAsia="宋体" w:cs="Times New Roman"/>
      <w:sz w:val="16"/>
      <w:szCs w:val="16"/>
    </w:rPr>
  </w:style>
  <w:style w:type="character" w:customStyle="1" w:styleId="123">
    <w:name w:val="标题 Char1"/>
    <w:basedOn w:val="44"/>
    <w:link w:val="39"/>
    <w:qFormat/>
    <w:uiPriority w:val="10"/>
    <w:rPr>
      <w:rFonts w:eastAsia="宋体" w:asciiTheme="majorHAnsi" w:hAnsiTheme="majorHAnsi" w:cstheme="majorBidi"/>
      <w:b/>
      <w:bCs/>
      <w:sz w:val="32"/>
      <w:szCs w:val="32"/>
    </w:rPr>
  </w:style>
  <w:style w:type="character" w:customStyle="1" w:styleId="124">
    <w:name w:val="批注主题 Char1"/>
    <w:basedOn w:val="117"/>
    <w:link w:val="40"/>
    <w:semiHidden/>
    <w:qFormat/>
    <w:uiPriority w:val="99"/>
    <w:rPr>
      <w:b/>
      <w:bCs/>
    </w:rPr>
  </w:style>
  <w:style w:type="character" w:customStyle="1" w:styleId="125">
    <w:name w:val="正文首行缩进 Char1"/>
    <w:basedOn w:val="115"/>
    <w:link w:val="41"/>
    <w:semiHidden/>
    <w:qFormat/>
    <w:uiPriority w:val="99"/>
  </w:style>
  <w:style w:type="paragraph" w:customStyle="1" w:styleId="126">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7">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128">
    <w:name w:val="--规划正文"/>
    <w:basedOn w:val="1"/>
    <w:qFormat/>
    <w:uiPriority w:val="0"/>
    <w:pPr>
      <w:spacing w:line="360" w:lineRule="auto"/>
      <w:ind w:firstLine="200" w:firstLineChars="200"/>
    </w:pPr>
    <w:rPr>
      <w:rFonts w:ascii="Times New Roman" w:hAnsi="Times New Roman"/>
      <w:szCs w:val="20"/>
    </w:rPr>
  </w:style>
  <w:style w:type="paragraph" w:customStyle="1" w:styleId="129">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kern w:val="0"/>
      <w:sz w:val="18"/>
      <w:szCs w:val="18"/>
      <w:lang w:val="en-US" w:eastAsia="zh-CN" w:bidi="ar-SA"/>
    </w:rPr>
  </w:style>
  <w:style w:type="paragraph" w:customStyle="1" w:styleId="13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2">
    <w:name w:val="9"/>
    <w:basedOn w:val="1"/>
    <w:next w:val="8"/>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33">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35">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37">
    <w:name w:val="样式 标题 2 + 段前: 13 磅 段后: 13 磅 行距: 单倍行距"/>
    <w:basedOn w:val="6"/>
    <w:qFormat/>
    <w:uiPriority w:val="0"/>
    <w:pPr>
      <w:adjustRightInd/>
      <w:spacing w:before="0" w:after="0"/>
      <w:jc w:val="both"/>
      <w:textAlignment w:val="auto"/>
    </w:pPr>
    <w:rPr>
      <w:rFonts w:ascii="Cambria" w:hAnsi="Cambria" w:cs="宋体"/>
      <w:kern w:val="2"/>
      <w:sz w:val="32"/>
    </w:rPr>
  </w:style>
  <w:style w:type="paragraph" w:customStyle="1" w:styleId="138">
    <w:name w:val="RFI text from 3rd Level"/>
    <w:basedOn w:val="1"/>
    <w:qFormat/>
    <w:uiPriority w:val="0"/>
    <w:pPr>
      <w:widowControl/>
      <w:tabs>
        <w:tab w:val="left" w:pos="1080"/>
      </w:tabs>
      <w:spacing w:beforeLines="50" w:line="360" w:lineRule="auto"/>
    </w:pPr>
    <w:rPr>
      <w:rFonts w:ascii="Arial (W1)" w:hAnsi="Arial (W1)"/>
      <w:bCs/>
      <w:kern w:val="0"/>
      <w:sz w:val="24"/>
      <w:szCs w:val="24"/>
      <w:lang w:val="en-GB"/>
    </w:rPr>
  </w:style>
  <w:style w:type="paragraph" w:customStyle="1" w:styleId="139">
    <w:name w:val="列出段落1"/>
    <w:basedOn w:val="1"/>
    <w:link w:val="213"/>
    <w:qFormat/>
    <w:uiPriority w:val="0"/>
    <w:pPr>
      <w:ind w:firstLine="420" w:firstLineChars="200"/>
    </w:pPr>
    <w:rPr>
      <w:rFonts w:cs="Calibri"/>
      <w:szCs w:val="21"/>
    </w:rPr>
  </w:style>
  <w:style w:type="paragraph" w:customStyle="1" w:styleId="140">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41">
    <w:name w:val="_Style 28"/>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设计依据"/>
    <w:basedOn w:val="19"/>
    <w:qFormat/>
    <w:uiPriority w:val="0"/>
    <w:pPr>
      <w:tabs>
        <w:tab w:val="left" w:pos="1440"/>
      </w:tabs>
      <w:adjustRightInd w:val="0"/>
      <w:ind w:left="1440" w:hanging="420"/>
      <w:textAlignment w:val="baseline"/>
    </w:pPr>
    <w:rPr>
      <w:rFonts w:ascii="宋体" w:hAnsi="宋体"/>
      <w:b w:val="0"/>
      <w:sz w:val="28"/>
      <w:szCs w:val="18"/>
    </w:rPr>
  </w:style>
  <w:style w:type="paragraph" w:styleId="143">
    <w:name w:val="List Paragraph"/>
    <w:basedOn w:val="1"/>
    <w:qFormat/>
    <w:uiPriority w:val="34"/>
    <w:pPr>
      <w:ind w:firstLine="420" w:firstLineChars="200"/>
    </w:pPr>
  </w:style>
  <w:style w:type="paragraph" w:customStyle="1" w:styleId="144">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5">
    <w:name w:val="--规划-小标题"/>
    <w:basedOn w:val="1"/>
    <w:next w:val="128"/>
    <w:qFormat/>
    <w:uiPriority w:val="0"/>
    <w:pPr>
      <w:keepNext/>
      <w:keepLines/>
      <w:spacing w:line="360" w:lineRule="auto"/>
      <w:outlineLvl w:val="4"/>
    </w:pPr>
    <w:rPr>
      <w:rFonts w:ascii="Times New Roman" w:hAnsi="Times New Roman" w:eastAsia="黑体"/>
      <w:szCs w:val="24"/>
    </w:rPr>
  </w:style>
  <w:style w:type="paragraph" w:customStyle="1" w:styleId="146">
    <w:name w:val="自定义正文"/>
    <w:basedOn w:val="1"/>
    <w:qFormat/>
    <w:uiPriority w:val="0"/>
    <w:pPr>
      <w:spacing w:afterLines="50"/>
      <w:ind w:left="600" w:leftChars="600"/>
    </w:pPr>
    <w:rPr>
      <w:rFonts w:ascii="Times New Roman" w:hAnsi="Times New Roman"/>
      <w:szCs w:val="24"/>
    </w:rPr>
  </w:style>
  <w:style w:type="paragraph" w:customStyle="1" w:styleId="147">
    <w:name w:val="段落正文"/>
    <w:basedOn w:val="23"/>
    <w:qFormat/>
    <w:uiPriority w:val="0"/>
    <w:pPr>
      <w:ind w:firstLine="560" w:firstLineChars="200"/>
    </w:pPr>
    <w:rPr>
      <w:sz w:val="28"/>
    </w:rPr>
  </w:style>
  <w:style w:type="paragraph" w:customStyle="1" w:styleId="14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49">
    <w:name w:val="--规划-表格-居中"/>
    <w:basedOn w:val="128"/>
    <w:qFormat/>
    <w:uiPriority w:val="0"/>
    <w:pPr>
      <w:spacing w:line="240" w:lineRule="auto"/>
      <w:ind w:firstLine="0" w:firstLineChars="0"/>
      <w:jc w:val="center"/>
    </w:pPr>
    <w:rPr>
      <w:sz w:val="20"/>
    </w:rPr>
  </w:style>
  <w:style w:type="paragraph" w:customStyle="1" w:styleId="15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1">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52">
    <w:name w:val="正文文字缩进项目"/>
    <w:basedOn w:val="20"/>
    <w:qFormat/>
    <w:uiPriority w:val="0"/>
    <w:pPr>
      <w:tabs>
        <w:tab w:val="left" w:pos="840"/>
      </w:tabs>
      <w:spacing w:after="120" w:line="240" w:lineRule="auto"/>
      <w:ind w:left="840" w:firstLine="0" w:firstLineChars="0"/>
    </w:pPr>
    <w:rPr>
      <w:rFonts w:ascii="Tahoma" w:hAnsi="Tahoma"/>
      <w:sz w:val="22"/>
      <w:szCs w:val="20"/>
    </w:rPr>
  </w:style>
  <w:style w:type="paragraph" w:customStyle="1" w:styleId="153">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154">
    <w:name w:val="样式2"/>
    <w:basedOn w:val="39"/>
    <w:next w:val="155"/>
    <w:qFormat/>
    <w:uiPriority w:val="0"/>
    <w:pPr>
      <w:spacing w:before="120" w:after="120"/>
    </w:pPr>
    <w:rPr>
      <w:rFonts w:eastAsia="黑体"/>
      <w:b w:val="0"/>
      <w:sz w:val="30"/>
      <w:szCs w:val="30"/>
    </w:rPr>
  </w:style>
  <w:style w:type="paragraph" w:customStyle="1" w:styleId="155">
    <w:name w:val="样式1"/>
    <w:basedOn w:val="39"/>
    <w:qFormat/>
    <w:uiPriority w:val="0"/>
    <w:pPr>
      <w:spacing w:before="120" w:after="120"/>
    </w:pPr>
    <w:rPr>
      <w:rFonts w:eastAsia="黑体"/>
      <w:b w:val="0"/>
      <w:sz w:val="30"/>
      <w:szCs w:val="21"/>
    </w:rPr>
  </w:style>
  <w:style w:type="paragraph" w:customStyle="1" w:styleId="156">
    <w:name w:val="样式41"/>
    <w:basedOn w:val="1"/>
    <w:qFormat/>
    <w:uiPriority w:val="0"/>
    <w:pPr>
      <w:tabs>
        <w:tab w:val="left" w:pos="945"/>
        <w:tab w:val="left" w:pos="2040"/>
      </w:tabs>
      <w:spacing w:line="360" w:lineRule="auto"/>
      <w:ind w:left="2040" w:hanging="360"/>
    </w:pPr>
    <w:rPr>
      <w:rFonts w:ascii="Times New Roman" w:hAnsi="Times New Roman"/>
      <w:b/>
      <w:color w:val="000000"/>
      <w:sz w:val="24"/>
      <w:szCs w:val="20"/>
    </w:rPr>
  </w:style>
  <w:style w:type="paragraph" w:customStyle="1" w:styleId="157">
    <w:name w:val="Char Char"/>
    <w:basedOn w:val="1"/>
    <w:qFormat/>
    <w:uiPriority w:val="0"/>
    <w:rPr>
      <w:rFonts w:ascii="Tahoma" w:hAnsi="Tahoma"/>
      <w:sz w:val="24"/>
      <w:szCs w:val="20"/>
    </w:rPr>
  </w:style>
  <w:style w:type="paragraph" w:customStyle="1" w:styleId="15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59">
    <w:name w:val="Char Char Char"/>
    <w:basedOn w:val="1"/>
    <w:qFormat/>
    <w:uiPriority w:val="0"/>
    <w:rPr>
      <w:rFonts w:ascii="Tahoma" w:hAnsi="Tahoma"/>
      <w:sz w:val="24"/>
      <w:szCs w:val="20"/>
    </w:rPr>
  </w:style>
  <w:style w:type="paragraph" w:customStyle="1" w:styleId="160">
    <w:name w:val="Char Char Char Char Char"/>
    <w:basedOn w:val="1"/>
    <w:qFormat/>
    <w:uiPriority w:val="0"/>
    <w:rPr>
      <w:rFonts w:ascii="Tahoma" w:hAnsi="Tahoma"/>
      <w:sz w:val="24"/>
      <w:szCs w:val="20"/>
    </w:rPr>
  </w:style>
  <w:style w:type="paragraph" w:customStyle="1" w:styleId="161">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162">
    <w:name w:val="USE 1"/>
    <w:basedOn w:val="1"/>
    <w:qFormat/>
    <w:uiPriority w:val="0"/>
    <w:pPr>
      <w:spacing w:line="200" w:lineRule="atLeast"/>
      <w:jc w:val="left"/>
    </w:pPr>
    <w:rPr>
      <w:rFonts w:ascii="宋体" w:hAnsi="宋体"/>
      <w:b/>
      <w:sz w:val="24"/>
      <w:szCs w:val="28"/>
    </w:rPr>
  </w:style>
  <w:style w:type="paragraph" w:customStyle="1" w:styleId="163">
    <w:name w:val="--编号内缩进"/>
    <w:basedOn w:val="1"/>
    <w:qFormat/>
    <w:uiPriority w:val="0"/>
    <w:pPr>
      <w:spacing w:line="360" w:lineRule="auto"/>
      <w:ind w:left="420" w:firstLine="200" w:firstLineChars="200"/>
    </w:pPr>
    <w:rPr>
      <w:rFonts w:ascii="Times New Roman" w:hAnsi="Times New Roman"/>
      <w:szCs w:val="21"/>
    </w:rPr>
  </w:style>
  <w:style w:type="paragraph" w:customStyle="1" w:styleId="164">
    <w:name w:val="图"/>
    <w:basedOn w:val="1"/>
    <w:qFormat/>
    <w:uiPriority w:val="99"/>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165">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66">
    <w:name w:val="6"/>
    <w:basedOn w:val="140"/>
    <w:qFormat/>
    <w:uiPriority w:val="0"/>
    <w:pPr>
      <w:spacing w:line="270" w:lineRule="atLeast"/>
      <w:jc w:val="both"/>
    </w:pPr>
    <w:rPr>
      <w:b w:val="0"/>
      <w:bCs w:val="0"/>
    </w:rPr>
  </w:style>
  <w:style w:type="paragraph" w:customStyle="1" w:styleId="16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6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9">
    <w:name w:val="--规划-表格-居左"/>
    <w:basedOn w:val="128"/>
    <w:qFormat/>
    <w:uiPriority w:val="0"/>
    <w:pPr>
      <w:spacing w:line="240" w:lineRule="auto"/>
      <w:ind w:firstLine="0" w:firstLineChars="0"/>
    </w:pPr>
    <w:rPr>
      <w:sz w:val="20"/>
    </w:rPr>
  </w:style>
  <w:style w:type="paragraph" w:customStyle="1" w:styleId="17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71">
    <w:name w:val="方案要点"/>
    <w:basedOn w:val="1"/>
    <w:qFormat/>
    <w:uiPriority w:val="0"/>
    <w:pPr>
      <w:tabs>
        <w:tab w:val="left" w:pos="420"/>
      </w:tabs>
      <w:spacing w:line="360" w:lineRule="auto"/>
      <w:ind w:left="420" w:hanging="420"/>
    </w:pPr>
    <w:rPr>
      <w:rFonts w:ascii="仿宋_GB2312" w:hAnsi="宋体" w:eastAsia="仿宋_GB2312"/>
      <w:color w:val="000000"/>
      <w:sz w:val="28"/>
      <w:szCs w:val="28"/>
    </w:rPr>
  </w:style>
  <w:style w:type="paragraph" w:customStyle="1" w:styleId="172">
    <w:name w:val="--规划-图和表"/>
    <w:next w:val="128"/>
    <w:qFormat/>
    <w:uiPriority w:val="0"/>
    <w:pPr>
      <w:jc w:val="center"/>
    </w:pPr>
    <w:rPr>
      <w:rFonts w:ascii="Times New Roman" w:hAnsi="Times New Roman" w:eastAsia="宋体" w:cs="Times New Roman"/>
      <w:kern w:val="2"/>
      <w:sz w:val="21"/>
      <w:szCs w:val="20"/>
      <w:lang w:val="en-US" w:eastAsia="zh-CN" w:bidi="ar-SA"/>
    </w:rPr>
  </w:style>
  <w:style w:type="paragraph" w:customStyle="1" w:styleId="173">
    <w:name w:val="Char1"/>
    <w:basedOn w:val="1"/>
    <w:qFormat/>
    <w:uiPriority w:val="0"/>
    <w:pPr>
      <w:jc w:val="left"/>
    </w:pPr>
    <w:rPr>
      <w:rFonts w:ascii="Tahoma" w:hAnsi="Tahoma"/>
      <w:sz w:val="24"/>
      <w:szCs w:val="20"/>
    </w:rPr>
  </w:style>
  <w:style w:type="paragraph" w:customStyle="1" w:styleId="174">
    <w:name w:val="正文(首行缩进)"/>
    <w:qFormat/>
    <w:uiPriority w:val="0"/>
    <w:pPr>
      <w:spacing w:line="360" w:lineRule="auto"/>
      <w:ind w:firstLine="488" w:firstLineChars="200"/>
      <w:jc w:val="both"/>
    </w:pPr>
    <w:rPr>
      <w:rFonts w:ascii="Times New Roman" w:hAnsi="Times New Roman" w:eastAsia="仿宋_GB2312" w:cs="Times New Roman"/>
      <w:spacing w:val="2"/>
      <w:kern w:val="0"/>
      <w:sz w:val="24"/>
      <w:szCs w:val="24"/>
      <w:lang w:val="en-US" w:eastAsia="zh-CN" w:bidi="ar-SA"/>
    </w:rPr>
  </w:style>
  <w:style w:type="paragraph" w:customStyle="1" w:styleId="175">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76">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77">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8">
    <w:name w:val="Default"/>
    <w:qFormat/>
    <w:uiPriority w:val="0"/>
    <w:pPr>
      <w:widowControl w:val="0"/>
      <w:autoSpaceDE w:val="0"/>
      <w:autoSpaceDN w:val="0"/>
      <w:adjustRightInd w:val="0"/>
    </w:pPr>
    <w:rPr>
      <w:rFonts w:ascii="H Yb 2gj" w:hAnsi="Times New Roman" w:eastAsia="H Yb 2gj" w:cs="H Yb 2gj"/>
      <w:color w:val="000000"/>
      <w:kern w:val="0"/>
      <w:sz w:val="24"/>
      <w:szCs w:val="24"/>
      <w:lang w:val="en-US" w:eastAsia="zh-CN" w:bidi="ar-SA"/>
    </w:rPr>
  </w:style>
  <w:style w:type="character" w:customStyle="1" w:styleId="179">
    <w:name w:val="z-窗体顶端 Char1"/>
    <w:basedOn w:val="44"/>
    <w:link w:val="69"/>
    <w:semiHidden/>
    <w:qFormat/>
    <w:uiPriority w:val="99"/>
    <w:rPr>
      <w:rFonts w:ascii="Arial" w:hAnsi="Arial" w:eastAsia="宋体" w:cs="Arial"/>
      <w:vanish/>
      <w:sz w:val="16"/>
      <w:szCs w:val="16"/>
    </w:rPr>
  </w:style>
  <w:style w:type="paragraph" w:customStyle="1" w:styleId="180">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1">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84">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8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6">
    <w:name w:val="--规划-题注"/>
    <w:basedOn w:val="1"/>
    <w:next w:val="128"/>
    <w:qFormat/>
    <w:uiPriority w:val="0"/>
    <w:pPr>
      <w:spacing w:line="360" w:lineRule="auto"/>
      <w:jc w:val="center"/>
    </w:pPr>
    <w:rPr>
      <w:rFonts w:ascii="Times New Roman" w:hAnsi="Times New Roman" w:eastAsia="黑体"/>
      <w:szCs w:val="24"/>
    </w:rPr>
  </w:style>
  <w:style w:type="paragraph" w:customStyle="1" w:styleId="187">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88">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89">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90">
    <w:name w:val="样式3"/>
    <w:basedOn w:val="3"/>
    <w:qFormat/>
    <w:uiPriority w:val="0"/>
    <w:pPr>
      <w:tabs>
        <w:tab w:val="left" w:pos="420"/>
      </w:tabs>
      <w:spacing w:before="240" w:after="240" w:line="480" w:lineRule="auto"/>
      <w:ind w:left="420" w:right="210" w:rightChars="100" w:hanging="420"/>
      <w:jc w:val="left"/>
    </w:pPr>
    <w:rPr>
      <w:rFonts w:ascii="Times New Roman" w:hAnsi="Times New Roman"/>
      <w:sz w:val="32"/>
    </w:rPr>
  </w:style>
  <w:style w:type="paragraph" w:customStyle="1" w:styleId="19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92">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93">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9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9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kern w:val="0"/>
      <w:sz w:val="16"/>
      <w:szCs w:val="16"/>
      <w:lang w:val="en-US" w:eastAsia="zh-CN" w:bidi="ar-SA"/>
    </w:rPr>
  </w:style>
  <w:style w:type="paragraph" w:customStyle="1" w:styleId="196">
    <w:name w:val="8"/>
    <w:basedOn w:val="1"/>
    <w:next w:val="20"/>
    <w:qFormat/>
    <w:uiPriority w:val="0"/>
    <w:pPr>
      <w:spacing w:after="120"/>
      <w:ind w:left="420" w:leftChars="200"/>
    </w:pPr>
    <w:rPr>
      <w:rFonts w:ascii="Times New Roman" w:hAnsi="Times New Roman"/>
      <w:szCs w:val="24"/>
    </w:rPr>
  </w:style>
  <w:style w:type="paragraph" w:customStyle="1" w:styleId="197">
    <w:name w:val="姜文清定义的正文"/>
    <w:basedOn w:val="1"/>
    <w:qFormat/>
    <w:uiPriority w:val="0"/>
    <w:pPr>
      <w:spacing w:line="240" w:lineRule="atLeast"/>
      <w:ind w:firstLine="567"/>
    </w:pPr>
    <w:rPr>
      <w:rFonts w:ascii="Times New Roman" w:hAnsi="Times New Roman"/>
      <w:szCs w:val="20"/>
    </w:rPr>
  </w:style>
  <w:style w:type="paragraph" w:customStyle="1" w:styleId="198">
    <w:name w:val="CM2"/>
    <w:basedOn w:val="178"/>
    <w:next w:val="178"/>
    <w:qFormat/>
    <w:uiPriority w:val="0"/>
    <w:pPr>
      <w:spacing w:line="200" w:lineRule="atLeast"/>
    </w:pPr>
    <w:rPr>
      <w:rFonts w:ascii="Arial" w:hAnsi="Arial" w:eastAsia="宋体" w:cs="Times New Roman"/>
      <w:color w:val="auto"/>
    </w:rPr>
  </w:style>
  <w:style w:type="character" w:customStyle="1" w:styleId="199">
    <w:name w:val="z-窗体底端 Char1"/>
    <w:basedOn w:val="44"/>
    <w:link w:val="86"/>
    <w:semiHidden/>
    <w:qFormat/>
    <w:uiPriority w:val="99"/>
    <w:rPr>
      <w:rFonts w:ascii="Arial" w:hAnsi="Arial" w:eastAsia="宋体" w:cs="Arial"/>
      <w:vanish/>
      <w:sz w:val="16"/>
      <w:szCs w:val="16"/>
    </w:rPr>
  </w:style>
  <w:style w:type="paragraph" w:customStyle="1" w:styleId="200">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201">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20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203">
    <w:name w:val="表格字"/>
    <w:basedOn w:val="1"/>
    <w:qFormat/>
    <w:uiPriority w:val="0"/>
    <w:pPr>
      <w:adjustRightInd w:val="0"/>
      <w:jc w:val="center"/>
    </w:pPr>
    <w:rPr>
      <w:rFonts w:ascii="宋体" w:hAnsi="Times New Roman"/>
      <w:sz w:val="24"/>
      <w:szCs w:val="20"/>
    </w:rPr>
  </w:style>
  <w:style w:type="paragraph" w:customStyle="1" w:styleId="204">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205">
    <w:name w:val="评价"/>
    <w:basedOn w:val="1"/>
    <w:qFormat/>
    <w:uiPriority w:val="0"/>
    <w:pPr>
      <w:spacing w:afterLines="20"/>
      <w:ind w:firstLine="1446" w:firstLineChars="200"/>
    </w:pPr>
    <w:rPr>
      <w:sz w:val="24"/>
      <w:szCs w:val="24"/>
    </w:rPr>
  </w:style>
  <w:style w:type="paragraph" w:customStyle="1" w:styleId="206">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207">
    <w:name w:val="正文(缩进) 五号"/>
    <w:basedOn w:val="1"/>
    <w:qFormat/>
    <w:uiPriority w:val="0"/>
    <w:pPr>
      <w:widowControl/>
      <w:spacing w:after="120" w:line="360" w:lineRule="auto"/>
      <w:ind w:firstLine="420" w:firstLineChars="200"/>
      <w:jc w:val="left"/>
    </w:pPr>
    <w:rPr>
      <w:rFonts w:ascii="Arial" w:hAnsi="Arial" w:cs="宋体"/>
      <w:kern w:val="0"/>
      <w:szCs w:val="20"/>
    </w:rPr>
  </w:style>
  <w:style w:type="paragraph" w:customStyle="1" w:styleId="208">
    <w:name w:val="封面标题"/>
    <w:basedOn w:val="1"/>
    <w:qFormat/>
    <w:uiPriority w:val="0"/>
    <w:pPr>
      <w:spacing w:line="360" w:lineRule="auto"/>
      <w:jc w:val="center"/>
    </w:pPr>
    <w:rPr>
      <w:rFonts w:ascii="Times New Roman" w:hAnsi="Times New Roman" w:eastAsia="黑体"/>
      <w:sz w:val="48"/>
      <w:szCs w:val="20"/>
    </w:rPr>
  </w:style>
  <w:style w:type="paragraph" w:customStyle="1" w:styleId="209">
    <w:name w:val="列出段落2"/>
    <w:basedOn w:val="1"/>
    <w:qFormat/>
    <w:uiPriority w:val="0"/>
    <w:pPr>
      <w:ind w:firstLine="420" w:firstLineChars="200"/>
    </w:pPr>
    <w:rPr>
      <w:szCs w:val="20"/>
    </w:rPr>
  </w:style>
  <w:style w:type="paragraph" w:styleId="21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1">
    <w:name w:val="font31"/>
    <w:basedOn w:val="44"/>
    <w:qFormat/>
    <w:uiPriority w:val="0"/>
    <w:rPr>
      <w:rFonts w:hint="default" w:ascii="Times New Roman" w:hAnsi="Times New Roman" w:cs="Times New Roman"/>
      <w:color w:val="000000"/>
      <w:sz w:val="21"/>
      <w:szCs w:val="21"/>
      <w:u w:val="none"/>
    </w:rPr>
  </w:style>
  <w:style w:type="character" w:customStyle="1" w:styleId="212">
    <w:name w:val="正文缩进 Char1"/>
    <w:qFormat/>
    <w:uiPriority w:val="0"/>
    <w:rPr>
      <w:rFonts w:eastAsia="宋体"/>
      <w:kern w:val="2"/>
      <w:sz w:val="21"/>
      <w:lang w:val="en-US" w:eastAsia="zh-CN" w:bidi="ar-SA"/>
    </w:rPr>
  </w:style>
  <w:style w:type="character" w:customStyle="1" w:styleId="213">
    <w:name w:val="列表段落 字符"/>
    <w:link w:val="139"/>
    <w:qFormat/>
    <w:uiPriority w:val="0"/>
    <w:rPr>
      <w:rFonts w:ascii="Calibri" w:hAnsi="Calibri" w:eastAsia="宋体" w:cs="Calibri"/>
      <w:szCs w:val="21"/>
    </w:rPr>
  </w:style>
  <w:style w:type="paragraph" w:customStyle="1" w:styleId="214">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szCs w:val="24"/>
    </w:rPr>
  </w:style>
  <w:style w:type="paragraph" w:customStyle="1" w:styleId="21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75</Pages>
  <Words>49017</Words>
  <Characters>52970</Characters>
  <Lines>384</Lines>
  <Paragraphs>108</Paragraphs>
  <TotalTime>57</TotalTime>
  <ScaleCrop>false</ScaleCrop>
  <LinksUpToDate>false</LinksUpToDate>
  <CharactersWithSpaces>54894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2020-09-24T22:11:00Z</dcterms:created>
  <dc:creator>Administrator</dc:creator>
  <cp:lastModifiedBy>是创不是灿</cp:lastModifiedBy>
  <cp:lastPrinted>2019-10-22T00:50:00Z</cp:lastPrinted>
  <dcterms:modified xsi:type="dcterms:W3CDTF">2022-05-12T11:04:13Z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eyJoZGlkIjoiYmE5NjUzYTg1ZTIzYTk4NzNjNDQ0MmE3NDZjYzI0NjIifQ==</vt:lpwstr>
  </property>
  <property fmtid="{D5CDD505-2E9C-101B-9397-08002B2CF9AE}" pid="3" name="KSOProductBuildVer">
    <vt:lpwstr>2052-11.1.0.11691</vt:lpwstr>
  </property>
  <property fmtid="{D5CDD505-2E9C-101B-9397-08002B2CF9AE}" pid="4" name="ICV">
    <vt:lpwstr>25E569646019453CBF61801FBC9118BF</vt:lpwstr>
  </property>
</Properties>
</file>