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BA0863">
      <w:pPr>
        <w:adjustRightInd w:val="0"/>
        <w:snapToGrid w:val="0"/>
        <w:spacing w:line="300" w:lineRule="auto"/>
        <w:jc w:val="left"/>
        <w:rPr>
          <w:b/>
          <w:bCs/>
          <w:snapToGrid w:val="0"/>
          <w:kern w:val="0"/>
          <w:sz w:val="28"/>
          <w:szCs w:val="28"/>
        </w:rPr>
      </w:pPr>
      <w:r>
        <w:rPr>
          <w:b/>
          <w:bCs/>
          <w:snapToGrid w:val="0"/>
          <w:kern w:val="0"/>
          <w:sz w:val="28"/>
          <w:szCs w:val="28"/>
        </w:rPr>
        <mc:AlternateContent>
          <mc:Choice Requires="wps">
            <w:drawing>
              <wp:anchor distT="0" distB="0" distL="114300" distR="114300" simplePos="0" relativeHeight="251667456" behindDoc="0" locked="0" layoutInCell="1" allowOverlap="1">
                <wp:simplePos x="0" y="0"/>
                <wp:positionH relativeFrom="column">
                  <wp:posOffset>580390</wp:posOffset>
                </wp:positionH>
                <wp:positionV relativeFrom="paragraph">
                  <wp:posOffset>-41910</wp:posOffset>
                </wp:positionV>
                <wp:extent cx="3743960" cy="594360"/>
                <wp:effectExtent l="4445" t="4445" r="23495" b="10795"/>
                <wp:wrapNone/>
                <wp:docPr id="15" name="文本框 299"/>
                <wp:cNvGraphicFramePr/>
                <a:graphic xmlns:a="http://schemas.openxmlformats.org/drawingml/2006/main">
                  <a:graphicData uri="http://schemas.microsoft.com/office/word/2010/wordprocessingShape">
                    <wps:wsp>
                      <wps:cNvSpPr txBox="1"/>
                      <wps:spPr>
                        <a:xfrm>
                          <a:off x="0" y="0"/>
                          <a:ext cx="3743960" cy="59436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6CF99948">
                            <w:pPr>
                              <w:spacing w:line="400" w:lineRule="exact"/>
                              <w:rPr>
                                <w:rFonts w:ascii="仿宋" w:hAnsi="仿宋" w:eastAsia="仿宋"/>
                                <w:b/>
                                <w:sz w:val="26"/>
                                <w:szCs w:val="26"/>
                              </w:rPr>
                            </w:pPr>
                            <w:r>
                              <w:rPr>
                                <w:rFonts w:hint="eastAsia" w:ascii="仿宋" w:hAnsi="仿宋" w:eastAsia="仿宋"/>
                                <w:b/>
                                <w:sz w:val="26"/>
                                <w:szCs w:val="26"/>
                              </w:rPr>
                              <w:t>深 圳 市 中 正 招 标 有 限 公 司</w:t>
                            </w:r>
                          </w:p>
                          <w:p w14:paraId="4BE51815">
                            <w:pPr>
                              <w:spacing w:line="400" w:lineRule="exact"/>
                              <w:rPr>
                                <w:rFonts w:ascii="仿宋" w:hAnsi="仿宋" w:eastAsia="仿宋"/>
                                <w:sz w:val="22"/>
                              </w:rPr>
                            </w:pPr>
                            <w:r>
                              <w:rPr>
                                <w:rFonts w:hint="eastAsia" w:ascii="仿宋" w:hAnsi="仿宋" w:eastAsia="仿宋"/>
                                <w:sz w:val="22"/>
                              </w:rPr>
                              <w:t>SHENZHEN ZHONGZHENG TENDERING CO.,LTD.</w:t>
                            </w:r>
                          </w:p>
                        </w:txbxContent>
                      </wps:txbx>
                      <wps:bodyPr upright="1"/>
                    </wps:wsp>
                  </a:graphicData>
                </a:graphic>
              </wp:anchor>
            </w:drawing>
          </mc:Choice>
          <mc:Fallback>
            <w:pict>
              <v:shape id="文本框 299" o:spid="_x0000_s1026" o:spt="202" type="#_x0000_t202" style="position:absolute;left:0pt;margin-left:45.7pt;margin-top:-3.3pt;height:46.8pt;width:294.8pt;z-index:251667456;mso-width-relative:page;mso-height-relative:page;" fillcolor="#FFFFFF" filled="t" stroked="t" coordsize="21600,21600" o:gfxdata="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fM1x1wAAAAgBAAAPAAAAAAAAAAEAIAAA&#10;ACIAAABkcnMvZG93bnJldi54bWxQSwECFAAUAAAACACHTuJAurYsAg0CAABHBAAADgAAAAAAAAAB&#10;ACAAAAAmAQAAZHJzL2Uyb0RvYy54bWxQSwUGAAAAAAYABgBZAQAApQUAAAAA&#10;">
                <v:fill on="t" focussize="0,0"/>
                <v:stroke color="#FFFFFF" joinstyle="miter"/>
                <v:imagedata o:title=""/>
                <o:lock v:ext="edit" aspectratio="f"/>
                <v:textbox>
                  <w:txbxContent>
                    <w:p w14:paraId="6CF99948">
                      <w:pPr>
                        <w:spacing w:line="400" w:lineRule="exact"/>
                        <w:rPr>
                          <w:rFonts w:ascii="仿宋" w:hAnsi="仿宋" w:eastAsia="仿宋"/>
                          <w:b/>
                          <w:sz w:val="26"/>
                          <w:szCs w:val="26"/>
                        </w:rPr>
                      </w:pPr>
                      <w:r>
                        <w:rPr>
                          <w:rFonts w:hint="eastAsia" w:ascii="仿宋" w:hAnsi="仿宋" w:eastAsia="仿宋"/>
                          <w:b/>
                          <w:sz w:val="26"/>
                          <w:szCs w:val="26"/>
                        </w:rPr>
                        <w:t>深 圳 市 中 正 招 标 有 限 公 司</w:t>
                      </w:r>
                    </w:p>
                    <w:p w14:paraId="4BE51815">
                      <w:pPr>
                        <w:spacing w:line="400" w:lineRule="exact"/>
                        <w:rPr>
                          <w:rFonts w:ascii="仿宋" w:hAnsi="仿宋" w:eastAsia="仿宋"/>
                          <w:sz w:val="22"/>
                        </w:rPr>
                      </w:pPr>
                      <w:r>
                        <w:rPr>
                          <w:rFonts w:hint="eastAsia" w:ascii="仿宋" w:hAnsi="仿宋" w:eastAsia="仿宋"/>
                          <w:sz w:val="22"/>
                        </w:rPr>
                        <w:t>SHENZHEN ZHONGZHENG TENDERING CO.,LTD.</w:t>
                      </w:r>
                    </w:p>
                  </w:txbxContent>
                </v:textbox>
              </v:shape>
            </w:pict>
          </mc:Fallback>
        </mc:AlternateContent>
      </w:r>
      <w:r>
        <w:rPr>
          <w:b/>
          <w:kern w:val="0"/>
          <w:sz w:val="28"/>
          <w:szCs w:val="28"/>
        </w:rPr>
        <w:drawing>
          <wp:inline distT="0" distB="0" distL="0" distR="0">
            <wp:extent cx="593090" cy="510540"/>
            <wp:effectExtent l="57150" t="19050" r="165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srcRect/>
                    <a:stretch>
                      <a:fillRect/>
                    </a:stretch>
                  </pic:blipFill>
                  <pic:spPr>
                    <a:xfrm>
                      <a:off x="0" y="0"/>
                      <a:ext cx="593090" cy="510540"/>
                    </a:xfrm>
                    <a:prstGeom prst="rect">
                      <a:avLst/>
                    </a:prstGeom>
                    <a:solidFill>
                      <a:srgbClr val="FFFFFF"/>
                    </a:solidFill>
                    <a:ln w="9525">
                      <a:noFill/>
                      <a:miter lim="800000"/>
                      <a:headEnd/>
                      <a:tailEnd/>
                    </a:ln>
                    <a:effectLst/>
                    <a:scene3d>
                      <a:camera prst="orthographicFront"/>
                      <a:lightRig rig="threePt" dir="t"/>
                    </a:scene3d>
                    <a:sp3d extrusionH="76200" contourW="12700">
                      <a:extrusionClr>
                        <a:srgbClr val="FFFFFF"/>
                      </a:extrusionClr>
                      <a:contourClr>
                        <a:srgbClr val="FFFFFF"/>
                      </a:contourClr>
                    </a:sp3d>
                  </pic:spPr>
                </pic:pic>
              </a:graphicData>
            </a:graphic>
          </wp:inline>
        </w:drawing>
      </w:r>
    </w:p>
    <w:p w14:paraId="71FC87BD">
      <w:pPr>
        <w:adjustRightInd w:val="0"/>
        <w:snapToGrid w:val="0"/>
        <w:spacing w:line="300" w:lineRule="auto"/>
        <w:jc w:val="left"/>
        <w:rPr>
          <w:b/>
          <w:bCs/>
          <w:snapToGrid w:val="0"/>
          <w:kern w:val="0"/>
          <w:sz w:val="28"/>
          <w:szCs w:val="28"/>
        </w:rPr>
      </w:pPr>
    </w:p>
    <w:p w14:paraId="5DAE5A5F">
      <w:pPr>
        <w:adjustRightInd w:val="0"/>
        <w:snapToGrid w:val="0"/>
        <w:spacing w:line="300" w:lineRule="auto"/>
        <w:jc w:val="left"/>
        <w:rPr>
          <w:b/>
          <w:bCs/>
          <w:snapToGrid w:val="0"/>
          <w:kern w:val="0"/>
          <w:sz w:val="28"/>
          <w:szCs w:val="28"/>
        </w:rPr>
      </w:pPr>
    </w:p>
    <w:p w14:paraId="1CE70D1F">
      <w:pPr>
        <w:adjustRightInd w:val="0"/>
        <w:snapToGrid w:val="0"/>
        <w:spacing w:line="300" w:lineRule="auto"/>
        <w:jc w:val="left"/>
        <w:rPr>
          <w:b/>
          <w:bCs/>
          <w:snapToGrid w:val="0"/>
          <w:kern w:val="0"/>
          <w:sz w:val="28"/>
          <w:szCs w:val="28"/>
        </w:rPr>
      </w:pPr>
    </w:p>
    <w:p w14:paraId="1A65B494">
      <w:pPr>
        <w:adjustRightInd w:val="0"/>
        <w:snapToGrid w:val="0"/>
        <w:spacing w:line="300" w:lineRule="auto"/>
        <w:jc w:val="left"/>
        <w:rPr>
          <w:b/>
          <w:bCs/>
          <w:snapToGrid w:val="0"/>
          <w:kern w:val="0"/>
          <w:sz w:val="28"/>
          <w:szCs w:val="28"/>
        </w:rPr>
      </w:pPr>
    </w:p>
    <w:p w14:paraId="1E9F8827">
      <w:pPr>
        <w:pStyle w:val="2"/>
        <w:rPr>
          <w:sz w:val="52"/>
          <w:szCs w:val="52"/>
        </w:rPr>
      </w:pPr>
      <w:r>
        <w:rPr>
          <w:rFonts w:hint="eastAsia"/>
          <w:sz w:val="52"/>
          <w:szCs w:val="52"/>
        </w:rPr>
        <w:t>深圳海关辅助执法作业服务项目（东部、西部片区）</w:t>
      </w:r>
    </w:p>
    <w:p w14:paraId="0A5B59E4"/>
    <w:p w14:paraId="3BF63E63">
      <w:pPr>
        <w:adjustRightInd w:val="0"/>
        <w:snapToGrid w:val="0"/>
        <w:spacing w:line="300" w:lineRule="auto"/>
        <w:jc w:val="center"/>
        <w:rPr>
          <w:rFonts w:ascii="宋体" w:hAnsi="宋体"/>
          <w:b/>
          <w:snapToGrid w:val="0"/>
          <w:kern w:val="0"/>
          <w:sz w:val="90"/>
        </w:rPr>
      </w:pPr>
    </w:p>
    <w:p w14:paraId="1C10E9E2">
      <w:pPr>
        <w:adjustRightInd w:val="0"/>
        <w:snapToGrid w:val="0"/>
        <w:spacing w:line="300" w:lineRule="auto"/>
        <w:jc w:val="center"/>
        <w:rPr>
          <w:rFonts w:ascii="宋体" w:hAnsi="宋体"/>
          <w:b/>
          <w:snapToGrid w:val="0"/>
          <w:kern w:val="0"/>
          <w:sz w:val="90"/>
        </w:rPr>
      </w:pPr>
      <w:r>
        <w:rPr>
          <w:rFonts w:hint="eastAsia" w:ascii="宋体" w:hAnsi="宋体"/>
          <w:b/>
          <w:snapToGrid w:val="0"/>
          <w:kern w:val="0"/>
          <w:sz w:val="90"/>
        </w:rPr>
        <w:t>服务类招标文件</w:t>
      </w:r>
    </w:p>
    <w:p w14:paraId="7AEDD267">
      <w:pPr>
        <w:adjustRightInd w:val="0"/>
        <w:snapToGrid w:val="0"/>
        <w:spacing w:line="300" w:lineRule="auto"/>
        <w:jc w:val="center"/>
        <w:rPr>
          <w:rFonts w:ascii="经典等线简" w:eastAsia="经典等线简"/>
          <w:b/>
          <w:snapToGrid w:val="0"/>
          <w:kern w:val="0"/>
          <w:sz w:val="32"/>
        </w:rPr>
      </w:pPr>
    </w:p>
    <w:p w14:paraId="3A59FE6D">
      <w:pPr>
        <w:adjustRightInd w:val="0"/>
        <w:snapToGrid w:val="0"/>
        <w:spacing w:line="300" w:lineRule="auto"/>
        <w:jc w:val="center"/>
        <w:rPr>
          <w:rFonts w:ascii="宋体" w:hAnsi="宋体"/>
          <w:b/>
          <w:snapToGrid w:val="0"/>
          <w:kern w:val="0"/>
          <w:sz w:val="32"/>
        </w:rPr>
      </w:pPr>
      <w:r>
        <w:rPr>
          <w:rFonts w:hint="eastAsia" w:ascii="宋体" w:hAnsi="宋体"/>
          <w:b/>
          <w:snapToGrid w:val="0"/>
          <w:kern w:val="0"/>
          <w:sz w:val="32"/>
        </w:rPr>
        <w:t>项目编号：SZZZ2025-QC0185</w:t>
      </w:r>
    </w:p>
    <w:p w14:paraId="4E22CA6F">
      <w:pPr>
        <w:adjustRightInd w:val="0"/>
        <w:snapToGrid w:val="0"/>
        <w:spacing w:line="300" w:lineRule="auto"/>
        <w:jc w:val="center"/>
        <w:rPr>
          <w:rFonts w:ascii="经典等线简" w:eastAsia="经典等线简"/>
          <w:b/>
          <w:snapToGrid w:val="0"/>
          <w:kern w:val="0"/>
          <w:sz w:val="18"/>
          <w:szCs w:val="18"/>
        </w:rPr>
      </w:pPr>
    </w:p>
    <w:p w14:paraId="59BCCD04">
      <w:pPr>
        <w:adjustRightInd w:val="0"/>
        <w:snapToGrid w:val="0"/>
        <w:spacing w:line="300" w:lineRule="auto"/>
        <w:jc w:val="center"/>
        <w:rPr>
          <w:rFonts w:eastAsia="经典标宋简"/>
          <w:b/>
          <w:snapToGrid w:val="0"/>
          <w:kern w:val="0"/>
          <w:sz w:val="44"/>
        </w:rPr>
      </w:pPr>
    </w:p>
    <w:p w14:paraId="0AD68B9C">
      <w:pPr>
        <w:adjustRightInd w:val="0"/>
        <w:snapToGrid w:val="0"/>
        <w:spacing w:line="300" w:lineRule="auto"/>
        <w:jc w:val="center"/>
        <w:rPr>
          <w:rFonts w:eastAsia="经典标宋简"/>
          <w:b/>
          <w:snapToGrid w:val="0"/>
          <w:kern w:val="0"/>
          <w:sz w:val="44"/>
        </w:rPr>
      </w:pPr>
    </w:p>
    <w:p w14:paraId="744C4102">
      <w:pPr>
        <w:adjustRightInd w:val="0"/>
        <w:snapToGrid w:val="0"/>
        <w:spacing w:line="300" w:lineRule="auto"/>
        <w:jc w:val="center"/>
      </w:pPr>
    </w:p>
    <w:p w14:paraId="7A33EBDB"/>
    <w:p w14:paraId="71071D63"/>
    <w:p w14:paraId="1A488594"/>
    <w:p w14:paraId="369C109C"/>
    <w:p w14:paraId="2DEFC516"/>
    <w:p w14:paraId="34E67C22">
      <w:pPr>
        <w:pStyle w:val="29"/>
        <w:adjustRightInd w:val="0"/>
        <w:snapToGrid w:val="0"/>
        <w:spacing w:line="300" w:lineRule="auto"/>
        <w:ind w:hanging="835"/>
        <w:jc w:val="center"/>
        <w:rPr>
          <w:b/>
          <w:snapToGrid w:val="0"/>
          <w:sz w:val="30"/>
        </w:rPr>
      </w:pPr>
      <w:r>
        <w:rPr>
          <w:rFonts w:hint="eastAsia"/>
          <w:b/>
          <w:snapToGrid w:val="0"/>
          <w:sz w:val="30"/>
        </w:rPr>
        <w:t>二〇二五年五月</w:t>
      </w:r>
    </w:p>
    <w:p w14:paraId="0D910D9B">
      <w:pPr>
        <w:rPr>
          <w:b/>
          <w:snapToGrid w:val="0"/>
          <w:sz w:val="30"/>
        </w:rPr>
      </w:pPr>
    </w:p>
    <w:p w14:paraId="5B8E686F">
      <w:pPr>
        <w:rPr>
          <w:b/>
          <w:snapToGrid w:val="0"/>
          <w:sz w:val="30"/>
        </w:rPr>
      </w:pPr>
    </w:p>
    <w:p w14:paraId="1A56CA45"/>
    <w:p w14:paraId="68FB436C">
      <w:pPr>
        <w:rPr>
          <w:rFonts w:ascii="宋体" w:hAnsi="宋体"/>
          <w:b/>
          <w:bCs/>
          <w:szCs w:val="21"/>
        </w:rPr>
      </w:pPr>
    </w:p>
    <w:p w14:paraId="3F0ED29A">
      <w:pPr>
        <w:pStyle w:val="504"/>
        <w:jc w:val="center"/>
        <w:rPr>
          <w:rFonts w:ascii="Times New Roman" w:hAnsi="Times New Roman"/>
          <w:b w:val="0"/>
          <w:bCs w:val="0"/>
          <w:iCs/>
          <w:smallCaps/>
          <w:color w:val="auto"/>
          <w:kern w:val="2"/>
          <w:sz w:val="21"/>
          <w:szCs w:val="24"/>
          <w:lang w:val="zh-CN"/>
        </w:rPr>
      </w:pPr>
      <w:r>
        <w:rPr>
          <w:color w:val="000000"/>
          <w:lang w:val="zh-CN"/>
        </w:rPr>
        <w:t>目录</w:t>
      </w:r>
    </w:p>
    <w:p w14:paraId="183144C7">
      <w:pPr>
        <w:pStyle w:val="35"/>
        <w:tabs>
          <w:tab w:val="right" w:leader="dot" w:pos="9628"/>
        </w:tabs>
        <w:rPr>
          <w:rFonts w:ascii="仿宋_GB2312" w:eastAsia="仿宋_GB2312"/>
          <w:sz w:val="24"/>
        </w:rPr>
      </w:pPr>
    </w:p>
    <w:p w14:paraId="5B1679CC">
      <w:pPr>
        <w:pStyle w:val="35"/>
        <w:tabs>
          <w:tab w:val="right" w:leader="dot" w:pos="9628"/>
        </w:tabs>
        <w:rPr>
          <w:rFonts w:ascii="仿宋" w:hAnsi="仿宋" w:eastAsia="仿宋"/>
          <w:b w:val="0"/>
          <w:bCs w:val="0"/>
          <w:caps w:val="0"/>
          <w:sz w:val="24"/>
        </w:rPr>
      </w:pPr>
      <w:r>
        <w:rPr>
          <w:rFonts w:hint="eastAsia" w:ascii="仿宋" w:hAnsi="仿宋" w:eastAsia="仿宋"/>
          <w:sz w:val="24"/>
        </w:rPr>
        <w:fldChar w:fldCharType="begin"/>
      </w:r>
      <w:r>
        <w:rPr>
          <w:rFonts w:hint="eastAsia" w:ascii="仿宋" w:hAnsi="仿宋" w:eastAsia="仿宋"/>
          <w:sz w:val="24"/>
        </w:rPr>
        <w:instrText xml:space="preserve"> TOC \o "1-3" \h \z \u </w:instrText>
      </w:r>
      <w:r>
        <w:rPr>
          <w:rFonts w:hint="eastAsia" w:ascii="仿宋" w:hAnsi="仿宋" w:eastAsia="仿宋"/>
          <w:sz w:val="24"/>
        </w:rPr>
        <w:fldChar w:fldCharType="separate"/>
      </w:r>
      <w:r>
        <w:fldChar w:fldCharType="begin"/>
      </w:r>
      <w:r>
        <w:instrText xml:space="preserve"> HYPERLINK \l "_Toc171350576" </w:instrText>
      </w:r>
      <w:r>
        <w:fldChar w:fldCharType="separate"/>
      </w:r>
      <w:r>
        <w:rPr>
          <w:rStyle w:val="57"/>
          <w:rFonts w:hint="eastAsia" w:ascii="仿宋" w:hAnsi="仿宋" w:eastAsia="仿宋"/>
          <w:sz w:val="24"/>
        </w:rPr>
        <w:t>第一章投标邀请</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_Toc171350576 \h </w:instrText>
      </w:r>
      <w:r>
        <w:rPr>
          <w:rFonts w:ascii="仿宋" w:hAnsi="仿宋" w:eastAsia="仿宋"/>
          <w:sz w:val="24"/>
        </w:rPr>
        <w:fldChar w:fldCharType="separate"/>
      </w:r>
      <w:r>
        <w:rPr>
          <w:rFonts w:ascii="仿宋" w:hAnsi="仿宋" w:eastAsia="仿宋"/>
          <w:sz w:val="24"/>
        </w:rPr>
        <w:t>3</w:t>
      </w:r>
      <w:r>
        <w:rPr>
          <w:rFonts w:ascii="仿宋" w:hAnsi="仿宋" w:eastAsia="仿宋"/>
          <w:sz w:val="24"/>
        </w:rPr>
        <w:fldChar w:fldCharType="end"/>
      </w:r>
      <w:r>
        <w:rPr>
          <w:rFonts w:ascii="仿宋" w:hAnsi="仿宋" w:eastAsia="仿宋"/>
          <w:sz w:val="24"/>
        </w:rPr>
        <w:fldChar w:fldCharType="end"/>
      </w:r>
    </w:p>
    <w:p w14:paraId="4029DFF4">
      <w:pPr>
        <w:pStyle w:val="35"/>
        <w:tabs>
          <w:tab w:val="right" w:leader="dot" w:pos="9628"/>
        </w:tabs>
        <w:rPr>
          <w:rFonts w:ascii="仿宋" w:hAnsi="仿宋" w:eastAsia="仿宋"/>
          <w:b w:val="0"/>
          <w:bCs w:val="0"/>
          <w:caps w:val="0"/>
          <w:sz w:val="24"/>
        </w:rPr>
      </w:pPr>
      <w:r>
        <w:fldChar w:fldCharType="begin"/>
      </w:r>
      <w:r>
        <w:instrText xml:space="preserve"> HYPERLINK \l "_Toc171350577" </w:instrText>
      </w:r>
      <w:r>
        <w:fldChar w:fldCharType="separate"/>
      </w:r>
      <w:r>
        <w:rPr>
          <w:rStyle w:val="57"/>
          <w:rFonts w:hint="eastAsia" w:ascii="仿宋" w:hAnsi="仿宋" w:eastAsia="仿宋"/>
          <w:sz w:val="24"/>
        </w:rPr>
        <w:t>第二章项目需求</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_Toc171350577 \h </w:instrText>
      </w:r>
      <w:r>
        <w:rPr>
          <w:rFonts w:ascii="仿宋" w:hAnsi="仿宋" w:eastAsia="仿宋"/>
          <w:sz w:val="24"/>
        </w:rPr>
        <w:fldChar w:fldCharType="separate"/>
      </w:r>
      <w:r>
        <w:rPr>
          <w:rFonts w:ascii="仿宋" w:hAnsi="仿宋" w:eastAsia="仿宋"/>
          <w:sz w:val="24"/>
        </w:rPr>
        <w:t>7</w:t>
      </w:r>
      <w:r>
        <w:rPr>
          <w:rFonts w:ascii="仿宋" w:hAnsi="仿宋" w:eastAsia="仿宋"/>
          <w:sz w:val="24"/>
        </w:rPr>
        <w:fldChar w:fldCharType="end"/>
      </w:r>
      <w:r>
        <w:rPr>
          <w:rFonts w:ascii="仿宋" w:hAnsi="仿宋" w:eastAsia="仿宋"/>
          <w:sz w:val="24"/>
        </w:rPr>
        <w:fldChar w:fldCharType="end"/>
      </w:r>
    </w:p>
    <w:p w14:paraId="5A56561C">
      <w:pPr>
        <w:pStyle w:val="35"/>
        <w:tabs>
          <w:tab w:val="right" w:leader="dot" w:pos="9628"/>
        </w:tabs>
        <w:rPr>
          <w:rFonts w:ascii="仿宋" w:hAnsi="仿宋" w:eastAsia="仿宋"/>
          <w:b w:val="0"/>
          <w:bCs w:val="0"/>
          <w:caps w:val="0"/>
          <w:sz w:val="24"/>
        </w:rPr>
      </w:pPr>
      <w:r>
        <w:fldChar w:fldCharType="begin"/>
      </w:r>
      <w:r>
        <w:instrText xml:space="preserve"> HYPERLINK \l "_Toc171350578" </w:instrText>
      </w:r>
      <w:r>
        <w:fldChar w:fldCharType="separate"/>
      </w:r>
      <w:r>
        <w:rPr>
          <w:rStyle w:val="57"/>
          <w:rFonts w:hint="eastAsia" w:ascii="仿宋" w:hAnsi="仿宋" w:eastAsia="仿宋"/>
          <w:sz w:val="24"/>
        </w:rPr>
        <w:t>第三章投标文件初审</w:t>
      </w:r>
      <w:r>
        <w:rPr>
          <w:rFonts w:ascii="仿宋" w:hAnsi="仿宋" w:eastAsia="仿宋"/>
          <w:sz w:val="24"/>
        </w:rPr>
        <w:tab/>
      </w:r>
      <w:r>
        <w:rPr>
          <w:rFonts w:ascii="仿宋" w:hAnsi="仿宋" w:eastAsia="仿宋"/>
          <w:sz w:val="24"/>
        </w:rPr>
        <w:fldChar w:fldCharType="end"/>
      </w:r>
      <w:r>
        <w:rPr>
          <w:rFonts w:hint="eastAsia" w:ascii="仿宋" w:hAnsi="仿宋" w:eastAsia="仿宋"/>
          <w:sz w:val="24"/>
        </w:rPr>
        <w:t>37</w:t>
      </w:r>
    </w:p>
    <w:p w14:paraId="033C78CB">
      <w:pPr>
        <w:pStyle w:val="35"/>
        <w:tabs>
          <w:tab w:val="right" w:leader="dot" w:pos="9628"/>
        </w:tabs>
        <w:rPr>
          <w:rFonts w:ascii="仿宋" w:hAnsi="仿宋" w:eastAsia="仿宋"/>
          <w:b w:val="0"/>
          <w:bCs w:val="0"/>
          <w:caps w:val="0"/>
          <w:sz w:val="24"/>
        </w:rPr>
      </w:pPr>
      <w:r>
        <w:fldChar w:fldCharType="begin"/>
      </w:r>
      <w:r>
        <w:instrText xml:space="preserve"> HYPERLINK \l "_Toc171350579" </w:instrText>
      </w:r>
      <w:r>
        <w:fldChar w:fldCharType="separate"/>
      </w:r>
      <w:r>
        <w:rPr>
          <w:rStyle w:val="57"/>
          <w:rFonts w:hint="eastAsia" w:ascii="仿宋" w:hAnsi="仿宋" w:eastAsia="仿宋"/>
          <w:sz w:val="24"/>
        </w:rPr>
        <w:t>第四章评标方法和标准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_Toc171350579 \h </w:instrText>
      </w:r>
      <w:r>
        <w:rPr>
          <w:rFonts w:ascii="仿宋" w:hAnsi="仿宋" w:eastAsia="仿宋"/>
          <w:sz w:val="24"/>
        </w:rPr>
        <w:fldChar w:fldCharType="separate"/>
      </w:r>
      <w:r>
        <w:rPr>
          <w:rFonts w:ascii="仿宋" w:hAnsi="仿宋" w:eastAsia="仿宋"/>
          <w:sz w:val="24"/>
        </w:rPr>
        <w:t>17</w:t>
      </w:r>
      <w:r>
        <w:rPr>
          <w:rFonts w:ascii="仿宋" w:hAnsi="仿宋" w:eastAsia="仿宋"/>
          <w:sz w:val="24"/>
        </w:rPr>
        <w:fldChar w:fldCharType="end"/>
      </w:r>
      <w:r>
        <w:rPr>
          <w:rFonts w:ascii="仿宋" w:hAnsi="仿宋" w:eastAsia="仿宋"/>
          <w:sz w:val="24"/>
        </w:rPr>
        <w:fldChar w:fldCharType="end"/>
      </w:r>
    </w:p>
    <w:p w14:paraId="2A33A084">
      <w:pPr>
        <w:pStyle w:val="42"/>
        <w:tabs>
          <w:tab w:val="right" w:leader="dot" w:pos="9628"/>
        </w:tabs>
        <w:rPr>
          <w:rFonts w:ascii="仿宋" w:hAnsi="仿宋" w:eastAsia="仿宋"/>
          <w:smallCaps w:val="0"/>
          <w:sz w:val="24"/>
        </w:rPr>
      </w:pPr>
      <w:r>
        <w:fldChar w:fldCharType="begin"/>
      </w:r>
      <w:r>
        <w:instrText xml:space="preserve"> HYPERLINK \l "_Toc171350580" </w:instrText>
      </w:r>
      <w:r>
        <w:fldChar w:fldCharType="separate"/>
      </w:r>
      <w:r>
        <w:rPr>
          <w:rStyle w:val="57"/>
          <w:rFonts w:hint="eastAsia" w:ascii="仿宋" w:hAnsi="仿宋" w:eastAsia="仿宋"/>
          <w:sz w:val="24"/>
        </w:rPr>
        <w:t>一、评标方法</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_Toc171350580 \h </w:instrText>
      </w:r>
      <w:r>
        <w:rPr>
          <w:rFonts w:ascii="仿宋" w:hAnsi="仿宋" w:eastAsia="仿宋"/>
          <w:sz w:val="24"/>
        </w:rPr>
        <w:fldChar w:fldCharType="separate"/>
      </w:r>
      <w:r>
        <w:rPr>
          <w:rFonts w:ascii="仿宋" w:hAnsi="仿宋" w:eastAsia="仿宋"/>
          <w:sz w:val="24"/>
        </w:rPr>
        <w:t>17</w:t>
      </w:r>
      <w:r>
        <w:rPr>
          <w:rFonts w:ascii="仿宋" w:hAnsi="仿宋" w:eastAsia="仿宋"/>
          <w:sz w:val="24"/>
        </w:rPr>
        <w:fldChar w:fldCharType="end"/>
      </w:r>
      <w:r>
        <w:rPr>
          <w:rFonts w:ascii="仿宋" w:hAnsi="仿宋" w:eastAsia="仿宋"/>
          <w:sz w:val="24"/>
        </w:rPr>
        <w:fldChar w:fldCharType="end"/>
      </w:r>
    </w:p>
    <w:p w14:paraId="0286E835">
      <w:pPr>
        <w:pStyle w:val="42"/>
        <w:tabs>
          <w:tab w:val="right" w:leader="dot" w:pos="9628"/>
        </w:tabs>
        <w:rPr>
          <w:rFonts w:ascii="仿宋" w:hAnsi="仿宋" w:eastAsia="仿宋"/>
          <w:smallCaps w:val="0"/>
          <w:sz w:val="24"/>
        </w:rPr>
      </w:pPr>
      <w:r>
        <w:fldChar w:fldCharType="begin"/>
      </w:r>
      <w:r>
        <w:instrText xml:space="preserve"> HYPERLINK \l "_Toc171350581" </w:instrText>
      </w:r>
      <w:r>
        <w:fldChar w:fldCharType="separate"/>
      </w:r>
      <w:r>
        <w:rPr>
          <w:rStyle w:val="57"/>
          <w:rFonts w:hint="eastAsia" w:ascii="仿宋" w:hAnsi="仿宋" w:eastAsia="仿宋"/>
          <w:sz w:val="24"/>
        </w:rPr>
        <w:t>二、评标标准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_Toc171350581 \h </w:instrText>
      </w:r>
      <w:r>
        <w:rPr>
          <w:rFonts w:ascii="仿宋" w:hAnsi="仿宋" w:eastAsia="仿宋"/>
          <w:sz w:val="24"/>
        </w:rPr>
        <w:fldChar w:fldCharType="separate"/>
      </w:r>
      <w:r>
        <w:rPr>
          <w:rFonts w:ascii="仿宋" w:hAnsi="仿宋" w:eastAsia="仿宋"/>
          <w:sz w:val="24"/>
        </w:rPr>
        <w:t>17</w:t>
      </w:r>
      <w:r>
        <w:rPr>
          <w:rFonts w:ascii="仿宋" w:hAnsi="仿宋" w:eastAsia="仿宋"/>
          <w:sz w:val="24"/>
        </w:rPr>
        <w:fldChar w:fldCharType="end"/>
      </w:r>
      <w:r>
        <w:rPr>
          <w:rFonts w:ascii="仿宋" w:hAnsi="仿宋" w:eastAsia="仿宋"/>
          <w:sz w:val="24"/>
        </w:rPr>
        <w:fldChar w:fldCharType="end"/>
      </w:r>
    </w:p>
    <w:p w14:paraId="707B50F5">
      <w:pPr>
        <w:pStyle w:val="42"/>
        <w:tabs>
          <w:tab w:val="right" w:leader="dot" w:pos="9628"/>
        </w:tabs>
        <w:rPr>
          <w:rFonts w:ascii="仿宋" w:hAnsi="仿宋" w:eastAsia="仿宋"/>
          <w:smallCaps w:val="0"/>
          <w:sz w:val="24"/>
        </w:rPr>
      </w:pPr>
      <w:r>
        <w:fldChar w:fldCharType="begin"/>
      </w:r>
      <w:r>
        <w:instrText xml:space="preserve"> HYPERLINK \l "_Toc171350582" </w:instrText>
      </w:r>
      <w:r>
        <w:fldChar w:fldCharType="separate"/>
      </w:r>
      <w:r>
        <w:rPr>
          <w:rStyle w:val="57"/>
          <w:rFonts w:hint="eastAsia" w:ascii="仿宋" w:hAnsi="仿宋" w:eastAsia="仿宋"/>
          <w:sz w:val="24"/>
        </w:rPr>
        <w:t>备注：</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_Toc171350582 \h </w:instrText>
      </w:r>
      <w:r>
        <w:rPr>
          <w:rFonts w:ascii="仿宋" w:hAnsi="仿宋" w:eastAsia="仿宋"/>
          <w:sz w:val="24"/>
        </w:rPr>
        <w:fldChar w:fldCharType="separate"/>
      </w:r>
      <w:r>
        <w:rPr>
          <w:rFonts w:ascii="仿宋" w:hAnsi="仿宋" w:eastAsia="仿宋"/>
          <w:sz w:val="24"/>
        </w:rPr>
        <w:t>25</w:t>
      </w:r>
      <w:r>
        <w:rPr>
          <w:rFonts w:ascii="仿宋" w:hAnsi="仿宋" w:eastAsia="仿宋"/>
          <w:sz w:val="24"/>
        </w:rPr>
        <w:fldChar w:fldCharType="end"/>
      </w:r>
      <w:r>
        <w:rPr>
          <w:rFonts w:ascii="仿宋" w:hAnsi="仿宋" w:eastAsia="仿宋"/>
          <w:sz w:val="24"/>
        </w:rPr>
        <w:fldChar w:fldCharType="end"/>
      </w:r>
    </w:p>
    <w:p w14:paraId="2E42CCD2">
      <w:pPr>
        <w:pStyle w:val="26"/>
        <w:tabs>
          <w:tab w:val="right" w:leader="dot" w:pos="9628"/>
        </w:tabs>
        <w:rPr>
          <w:rFonts w:ascii="仿宋" w:hAnsi="仿宋" w:eastAsia="仿宋"/>
          <w:iCs w:val="0"/>
          <w:sz w:val="24"/>
        </w:rPr>
      </w:pPr>
      <w:r>
        <w:fldChar w:fldCharType="begin"/>
      </w:r>
      <w:r>
        <w:instrText xml:space="preserve"> HYPERLINK \l "_Toc171350583" </w:instrText>
      </w:r>
      <w:r>
        <w:fldChar w:fldCharType="separate"/>
      </w:r>
      <w:r>
        <w:rPr>
          <w:rStyle w:val="57"/>
          <w:rFonts w:ascii="仿宋" w:hAnsi="仿宋" w:eastAsia="仿宋"/>
          <w:sz w:val="24"/>
        </w:rPr>
        <w:t>1</w:t>
      </w:r>
      <w:r>
        <w:rPr>
          <w:rStyle w:val="57"/>
          <w:rFonts w:hint="eastAsia" w:ascii="仿宋" w:hAnsi="仿宋" w:eastAsia="仿宋"/>
          <w:sz w:val="24"/>
        </w:rPr>
        <w:t>、资质证书有效期</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_Toc171350583 \h </w:instrText>
      </w:r>
      <w:r>
        <w:rPr>
          <w:rFonts w:ascii="仿宋" w:hAnsi="仿宋" w:eastAsia="仿宋"/>
          <w:sz w:val="24"/>
        </w:rPr>
        <w:fldChar w:fldCharType="separate"/>
      </w:r>
      <w:r>
        <w:rPr>
          <w:rFonts w:ascii="仿宋" w:hAnsi="仿宋" w:eastAsia="仿宋"/>
          <w:sz w:val="24"/>
        </w:rPr>
        <w:t>25</w:t>
      </w:r>
      <w:r>
        <w:rPr>
          <w:rFonts w:ascii="仿宋" w:hAnsi="仿宋" w:eastAsia="仿宋"/>
          <w:sz w:val="24"/>
        </w:rPr>
        <w:fldChar w:fldCharType="end"/>
      </w:r>
      <w:r>
        <w:rPr>
          <w:rFonts w:ascii="仿宋" w:hAnsi="仿宋" w:eastAsia="仿宋"/>
          <w:sz w:val="24"/>
        </w:rPr>
        <w:fldChar w:fldCharType="end"/>
      </w:r>
    </w:p>
    <w:p w14:paraId="5209970D">
      <w:pPr>
        <w:pStyle w:val="26"/>
        <w:tabs>
          <w:tab w:val="right" w:leader="dot" w:pos="9628"/>
        </w:tabs>
        <w:rPr>
          <w:rFonts w:ascii="仿宋" w:hAnsi="仿宋" w:eastAsia="仿宋"/>
          <w:iCs w:val="0"/>
          <w:sz w:val="24"/>
        </w:rPr>
      </w:pPr>
      <w:r>
        <w:fldChar w:fldCharType="begin"/>
      </w:r>
      <w:r>
        <w:instrText xml:space="preserve"> HYPERLINK \l "_Toc171350584" </w:instrText>
      </w:r>
      <w:r>
        <w:fldChar w:fldCharType="separate"/>
      </w:r>
      <w:r>
        <w:rPr>
          <w:rStyle w:val="57"/>
          <w:rFonts w:ascii="仿宋" w:hAnsi="仿宋" w:eastAsia="仿宋"/>
          <w:sz w:val="24"/>
        </w:rPr>
        <w:t>2</w:t>
      </w:r>
      <w:r>
        <w:rPr>
          <w:rStyle w:val="57"/>
          <w:rFonts w:hint="eastAsia" w:ascii="仿宋" w:hAnsi="仿宋" w:eastAsia="仿宋"/>
          <w:sz w:val="24"/>
        </w:rPr>
        <w:t>、政府采购扶持政策</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_Toc171350584 \h </w:instrText>
      </w:r>
      <w:r>
        <w:rPr>
          <w:rFonts w:ascii="仿宋" w:hAnsi="仿宋" w:eastAsia="仿宋"/>
          <w:sz w:val="24"/>
        </w:rPr>
        <w:fldChar w:fldCharType="separate"/>
      </w:r>
      <w:r>
        <w:rPr>
          <w:rFonts w:ascii="仿宋" w:hAnsi="仿宋" w:eastAsia="仿宋"/>
          <w:sz w:val="24"/>
        </w:rPr>
        <w:t>25</w:t>
      </w:r>
      <w:r>
        <w:rPr>
          <w:rFonts w:ascii="仿宋" w:hAnsi="仿宋" w:eastAsia="仿宋"/>
          <w:sz w:val="24"/>
        </w:rPr>
        <w:fldChar w:fldCharType="end"/>
      </w:r>
      <w:r>
        <w:rPr>
          <w:rFonts w:ascii="仿宋" w:hAnsi="仿宋" w:eastAsia="仿宋"/>
          <w:sz w:val="24"/>
        </w:rPr>
        <w:fldChar w:fldCharType="end"/>
      </w:r>
    </w:p>
    <w:p w14:paraId="74726AA0">
      <w:pPr>
        <w:pStyle w:val="35"/>
        <w:tabs>
          <w:tab w:val="right" w:leader="dot" w:pos="9628"/>
        </w:tabs>
        <w:rPr>
          <w:rFonts w:ascii="仿宋" w:hAnsi="仿宋" w:eastAsia="仿宋"/>
          <w:b w:val="0"/>
          <w:bCs w:val="0"/>
          <w:caps w:val="0"/>
          <w:sz w:val="24"/>
        </w:rPr>
      </w:pPr>
      <w:r>
        <w:fldChar w:fldCharType="begin"/>
      </w:r>
      <w:r>
        <w:instrText xml:space="preserve"> HYPERLINK \l "_Toc171350585" </w:instrText>
      </w:r>
      <w:r>
        <w:fldChar w:fldCharType="separate"/>
      </w:r>
      <w:r>
        <w:rPr>
          <w:rStyle w:val="57"/>
          <w:rFonts w:hint="eastAsia" w:ascii="仿宋" w:hAnsi="仿宋" w:eastAsia="仿宋"/>
          <w:sz w:val="24"/>
        </w:rPr>
        <w:t>第五章投标人须知前附表</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_Toc171350585 \h </w:instrText>
      </w:r>
      <w:r>
        <w:rPr>
          <w:rFonts w:ascii="仿宋" w:hAnsi="仿宋" w:eastAsia="仿宋"/>
          <w:sz w:val="24"/>
        </w:rPr>
        <w:fldChar w:fldCharType="separate"/>
      </w:r>
      <w:r>
        <w:rPr>
          <w:rFonts w:ascii="仿宋" w:hAnsi="仿宋" w:eastAsia="仿宋"/>
          <w:sz w:val="24"/>
        </w:rPr>
        <w:t>27</w:t>
      </w:r>
      <w:r>
        <w:rPr>
          <w:rFonts w:ascii="仿宋" w:hAnsi="仿宋" w:eastAsia="仿宋"/>
          <w:sz w:val="24"/>
        </w:rPr>
        <w:fldChar w:fldCharType="end"/>
      </w:r>
      <w:r>
        <w:rPr>
          <w:rFonts w:ascii="仿宋" w:hAnsi="仿宋" w:eastAsia="仿宋"/>
          <w:sz w:val="24"/>
        </w:rPr>
        <w:fldChar w:fldCharType="end"/>
      </w:r>
    </w:p>
    <w:p w14:paraId="2AE58DC9">
      <w:pPr>
        <w:pStyle w:val="35"/>
        <w:tabs>
          <w:tab w:val="right" w:leader="dot" w:pos="9628"/>
        </w:tabs>
        <w:rPr>
          <w:rFonts w:ascii="仿宋" w:hAnsi="仿宋" w:eastAsia="仿宋"/>
          <w:b w:val="0"/>
          <w:bCs w:val="0"/>
          <w:caps w:val="0"/>
          <w:sz w:val="24"/>
        </w:rPr>
      </w:pPr>
      <w:r>
        <w:fldChar w:fldCharType="begin"/>
      </w:r>
      <w:r>
        <w:instrText xml:space="preserve"> HYPERLINK \l "_Toc171350586" </w:instrText>
      </w:r>
      <w:r>
        <w:fldChar w:fldCharType="separate"/>
      </w:r>
      <w:r>
        <w:rPr>
          <w:rStyle w:val="57"/>
          <w:rFonts w:hint="eastAsia" w:ascii="仿宋" w:hAnsi="仿宋" w:eastAsia="仿宋"/>
          <w:sz w:val="24"/>
        </w:rPr>
        <w:t>第六章投标人须知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_Toc171350586 \h </w:instrText>
      </w:r>
      <w:r>
        <w:rPr>
          <w:rFonts w:ascii="仿宋" w:hAnsi="仿宋" w:eastAsia="仿宋"/>
          <w:sz w:val="24"/>
        </w:rPr>
        <w:fldChar w:fldCharType="separate"/>
      </w:r>
      <w:r>
        <w:rPr>
          <w:rFonts w:ascii="仿宋" w:hAnsi="仿宋" w:eastAsia="仿宋"/>
          <w:sz w:val="24"/>
        </w:rPr>
        <w:t>28</w:t>
      </w:r>
      <w:r>
        <w:rPr>
          <w:rFonts w:ascii="仿宋" w:hAnsi="仿宋" w:eastAsia="仿宋"/>
          <w:sz w:val="24"/>
        </w:rPr>
        <w:fldChar w:fldCharType="end"/>
      </w:r>
      <w:r>
        <w:rPr>
          <w:rFonts w:ascii="仿宋" w:hAnsi="仿宋" w:eastAsia="仿宋"/>
          <w:sz w:val="24"/>
        </w:rPr>
        <w:fldChar w:fldCharType="end"/>
      </w:r>
    </w:p>
    <w:p w14:paraId="147722B2">
      <w:pPr>
        <w:pStyle w:val="42"/>
        <w:tabs>
          <w:tab w:val="right" w:leader="dot" w:pos="9628"/>
        </w:tabs>
        <w:rPr>
          <w:rFonts w:ascii="仿宋" w:hAnsi="仿宋" w:eastAsia="仿宋"/>
          <w:smallCaps w:val="0"/>
          <w:sz w:val="24"/>
        </w:rPr>
      </w:pPr>
      <w:r>
        <w:fldChar w:fldCharType="begin"/>
      </w:r>
      <w:r>
        <w:instrText xml:space="preserve"> HYPERLINK \l "_Toc171350587" </w:instrText>
      </w:r>
      <w:r>
        <w:fldChar w:fldCharType="separate"/>
      </w:r>
      <w:r>
        <w:rPr>
          <w:rStyle w:val="57"/>
          <w:rFonts w:hint="eastAsia" w:ascii="仿宋" w:hAnsi="仿宋" w:eastAsia="仿宋"/>
          <w:sz w:val="24"/>
        </w:rPr>
        <w:t>一、说明</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_Toc171350587 \h </w:instrText>
      </w:r>
      <w:r>
        <w:rPr>
          <w:rFonts w:ascii="仿宋" w:hAnsi="仿宋" w:eastAsia="仿宋"/>
          <w:sz w:val="24"/>
        </w:rPr>
        <w:fldChar w:fldCharType="separate"/>
      </w:r>
      <w:r>
        <w:rPr>
          <w:rFonts w:ascii="仿宋" w:hAnsi="仿宋" w:eastAsia="仿宋"/>
          <w:sz w:val="24"/>
        </w:rPr>
        <w:t>28</w:t>
      </w:r>
      <w:r>
        <w:rPr>
          <w:rFonts w:ascii="仿宋" w:hAnsi="仿宋" w:eastAsia="仿宋"/>
          <w:sz w:val="24"/>
        </w:rPr>
        <w:fldChar w:fldCharType="end"/>
      </w:r>
      <w:r>
        <w:rPr>
          <w:rFonts w:ascii="仿宋" w:hAnsi="仿宋" w:eastAsia="仿宋"/>
          <w:sz w:val="24"/>
        </w:rPr>
        <w:fldChar w:fldCharType="end"/>
      </w:r>
    </w:p>
    <w:p w14:paraId="0D69DC9C">
      <w:pPr>
        <w:pStyle w:val="42"/>
        <w:tabs>
          <w:tab w:val="right" w:leader="dot" w:pos="9628"/>
        </w:tabs>
        <w:rPr>
          <w:rFonts w:ascii="仿宋" w:hAnsi="仿宋" w:eastAsia="仿宋"/>
          <w:smallCaps w:val="0"/>
          <w:sz w:val="24"/>
        </w:rPr>
      </w:pPr>
      <w:r>
        <w:fldChar w:fldCharType="begin"/>
      </w:r>
      <w:r>
        <w:instrText xml:space="preserve"> HYPERLINK \l "_Toc171350588" </w:instrText>
      </w:r>
      <w:r>
        <w:fldChar w:fldCharType="separate"/>
      </w:r>
      <w:r>
        <w:rPr>
          <w:rStyle w:val="57"/>
          <w:rFonts w:hint="eastAsia" w:ascii="仿宋" w:hAnsi="仿宋" w:eastAsia="仿宋"/>
          <w:sz w:val="24"/>
        </w:rPr>
        <w:t>二、招标文件说明</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_Toc171350588 \h </w:instrText>
      </w:r>
      <w:r>
        <w:rPr>
          <w:rFonts w:ascii="仿宋" w:hAnsi="仿宋" w:eastAsia="仿宋"/>
          <w:sz w:val="24"/>
        </w:rPr>
        <w:fldChar w:fldCharType="separate"/>
      </w:r>
      <w:r>
        <w:rPr>
          <w:rFonts w:ascii="仿宋" w:hAnsi="仿宋" w:eastAsia="仿宋"/>
          <w:sz w:val="24"/>
        </w:rPr>
        <w:t>30</w:t>
      </w:r>
      <w:r>
        <w:rPr>
          <w:rFonts w:ascii="仿宋" w:hAnsi="仿宋" w:eastAsia="仿宋"/>
          <w:sz w:val="24"/>
        </w:rPr>
        <w:fldChar w:fldCharType="end"/>
      </w:r>
      <w:r>
        <w:rPr>
          <w:rFonts w:ascii="仿宋" w:hAnsi="仿宋" w:eastAsia="仿宋"/>
          <w:sz w:val="24"/>
        </w:rPr>
        <w:fldChar w:fldCharType="end"/>
      </w:r>
    </w:p>
    <w:p w14:paraId="70D36E2B">
      <w:pPr>
        <w:pStyle w:val="42"/>
        <w:tabs>
          <w:tab w:val="right" w:leader="dot" w:pos="9628"/>
        </w:tabs>
        <w:rPr>
          <w:rFonts w:ascii="仿宋" w:hAnsi="仿宋" w:eastAsia="仿宋"/>
          <w:smallCaps w:val="0"/>
          <w:sz w:val="24"/>
        </w:rPr>
      </w:pPr>
      <w:r>
        <w:fldChar w:fldCharType="begin"/>
      </w:r>
      <w:r>
        <w:instrText xml:space="preserve"> HYPERLINK \l "_Toc171350589" </w:instrText>
      </w:r>
      <w:r>
        <w:fldChar w:fldCharType="separate"/>
      </w:r>
      <w:r>
        <w:rPr>
          <w:rStyle w:val="57"/>
          <w:rFonts w:hint="eastAsia" w:ascii="仿宋" w:hAnsi="仿宋" w:eastAsia="仿宋"/>
          <w:sz w:val="24"/>
        </w:rPr>
        <w:t>三、投标文件的编写</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_Toc171350589 \h </w:instrText>
      </w:r>
      <w:r>
        <w:rPr>
          <w:rFonts w:ascii="仿宋" w:hAnsi="仿宋" w:eastAsia="仿宋"/>
          <w:sz w:val="24"/>
        </w:rPr>
        <w:fldChar w:fldCharType="separate"/>
      </w:r>
      <w:r>
        <w:rPr>
          <w:rFonts w:ascii="仿宋" w:hAnsi="仿宋" w:eastAsia="仿宋"/>
          <w:sz w:val="24"/>
        </w:rPr>
        <w:t>31</w:t>
      </w:r>
      <w:r>
        <w:rPr>
          <w:rFonts w:ascii="仿宋" w:hAnsi="仿宋" w:eastAsia="仿宋"/>
          <w:sz w:val="24"/>
        </w:rPr>
        <w:fldChar w:fldCharType="end"/>
      </w:r>
      <w:r>
        <w:rPr>
          <w:rFonts w:ascii="仿宋" w:hAnsi="仿宋" w:eastAsia="仿宋"/>
          <w:sz w:val="24"/>
        </w:rPr>
        <w:fldChar w:fldCharType="end"/>
      </w:r>
    </w:p>
    <w:p w14:paraId="19DEBD5A">
      <w:pPr>
        <w:pStyle w:val="42"/>
        <w:tabs>
          <w:tab w:val="right" w:leader="dot" w:pos="9628"/>
        </w:tabs>
        <w:rPr>
          <w:rFonts w:ascii="仿宋" w:hAnsi="仿宋" w:eastAsia="仿宋"/>
          <w:smallCaps w:val="0"/>
          <w:sz w:val="24"/>
        </w:rPr>
      </w:pPr>
      <w:r>
        <w:fldChar w:fldCharType="begin"/>
      </w:r>
      <w:r>
        <w:instrText xml:space="preserve"> HYPERLINK \l "_Toc171350590" </w:instrText>
      </w:r>
      <w:r>
        <w:fldChar w:fldCharType="separate"/>
      </w:r>
      <w:r>
        <w:rPr>
          <w:rStyle w:val="57"/>
          <w:rFonts w:hint="eastAsia" w:ascii="仿宋" w:hAnsi="仿宋" w:eastAsia="仿宋"/>
          <w:sz w:val="24"/>
        </w:rPr>
        <w:t>四、投标文件的递交</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_Toc171350590 \h </w:instrText>
      </w:r>
      <w:r>
        <w:rPr>
          <w:rFonts w:ascii="仿宋" w:hAnsi="仿宋" w:eastAsia="仿宋"/>
          <w:sz w:val="24"/>
        </w:rPr>
        <w:fldChar w:fldCharType="separate"/>
      </w:r>
      <w:r>
        <w:rPr>
          <w:rFonts w:ascii="仿宋" w:hAnsi="仿宋" w:eastAsia="仿宋"/>
          <w:sz w:val="24"/>
        </w:rPr>
        <w:t>33</w:t>
      </w:r>
      <w:r>
        <w:rPr>
          <w:rFonts w:ascii="仿宋" w:hAnsi="仿宋" w:eastAsia="仿宋"/>
          <w:sz w:val="24"/>
        </w:rPr>
        <w:fldChar w:fldCharType="end"/>
      </w:r>
      <w:r>
        <w:rPr>
          <w:rFonts w:ascii="仿宋" w:hAnsi="仿宋" w:eastAsia="仿宋"/>
          <w:sz w:val="24"/>
        </w:rPr>
        <w:fldChar w:fldCharType="end"/>
      </w:r>
    </w:p>
    <w:p w14:paraId="3EB9202A">
      <w:pPr>
        <w:pStyle w:val="42"/>
        <w:tabs>
          <w:tab w:val="right" w:leader="dot" w:pos="9628"/>
        </w:tabs>
        <w:rPr>
          <w:rFonts w:ascii="仿宋" w:hAnsi="仿宋" w:eastAsia="仿宋"/>
          <w:smallCaps w:val="0"/>
          <w:sz w:val="24"/>
        </w:rPr>
      </w:pPr>
      <w:r>
        <w:fldChar w:fldCharType="begin"/>
      </w:r>
      <w:r>
        <w:instrText xml:space="preserve"> HYPERLINK \l "_Toc171350591" </w:instrText>
      </w:r>
      <w:r>
        <w:fldChar w:fldCharType="separate"/>
      </w:r>
      <w:r>
        <w:rPr>
          <w:rStyle w:val="57"/>
          <w:rFonts w:hint="eastAsia" w:ascii="仿宋" w:hAnsi="仿宋" w:eastAsia="仿宋"/>
          <w:sz w:val="24"/>
        </w:rPr>
        <w:t>五、开标和评标</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_Toc171350591 \h </w:instrText>
      </w:r>
      <w:r>
        <w:rPr>
          <w:rFonts w:ascii="仿宋" w:hAnsi="仿宋" w:eastAsia="仿宋"/>
          <w:sz w:val="24"/>
        </w:rPr>
        <w:fldChar w:fldCharType="separate"/>
      </w:r>
      <w:r>
        <w:rPr>
          <w:rFonts w:ascii="仿宋" w:hAnsi="仿宋" w:eastAsia="仿宋"/>
          <w:sz w:val="24"/>
        </w:rPr>
        <w:t>35</w:t>
      </w:r>
      <w:r>
        <w:rPr>
          <w:rFonts w:ascii="仿宋" w:hAnsi="仿宋" w:eastAsia="仿宋"/>
          <w:sz w:val="24"/>
        </w:rPr>
        <w:fldChar w:fldCharType="end"/>
      </w:r>
      <w:r>
        <w:rPr>
          <w:rFonts w:ascii="仿宋" w:hAnsi="仿宋" w:eastAsia="仿宋"/>
          <w:sz w:val="24"/>
        </w:rPr>
        <w:fldChar w:fldCharType="end"/>
      </w:r>
    </w:p>
    <w:p w14:paraId="4AA2B95B">
      <w:pPr>
        <w:pStyle w:val="42"/>
        <w:tabs>
          <w:tab w:val="right" w:leader="dot" w:pos="9628"/>
        </w:tabs>
        <w:rPr>
          <w:rFonts w:ascii="仿宋" w:hAnsi="仿宋" w:eastAsia="仿宋"/>
          <w:smallCaps w:val="0"/>
          <w:sz w:val="24"/>
        </w:rPr>
      </w:pPr>
      <w:r>
        <w:fldChar w:fldCharType="begin"/>
      </w:r>
      <w:r>
        <w:instrText xml:space="preserve"> HYPERLINK \l "_Toc171350592" </w:instrText>
      </w:r>
      <w:r>
        <w:fldChar w:fldCharType="separate"/>
      </w:r>
      <w:r>
        <w:rPr>
          <w:rStyle w:val="57"/>
          <w:rFonts w:hint="eastAsia" w:ascii="仿宋" w:hAnsi="仿宋" w:eastAsia="仿宋"/>
          <w:sz w:val="24"/>
        </w:rPr>
        <w:t>六、授予合同</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_Toc171350592 \h </w:instrText>
      </w:r>
      <w:r>
        <w:rPr>
          <w:rFonts w:ascii="仿宋" w:hAnsi="仿宋" w:eastAsia="仿宋"/>
          <w:sz w:val="24"/>
        </w:rPr>
        <w:fldChar w:fldCharType="separate"/>
      </w:r>
      <w:r>
        <w:rPr>
          <w:rFonts w:ascii="仿宋" w:hAnsi="仿宋" w:eastAsia="仿宋"/>
          <w:sz w:val="24"/>
        </w:rPr>
        <w:t>37</w:t>
      </w:r>
      <w:r>
        <w:rPr>
          <w:rFonts w:ascii="仿宋" w:hAnsi="仿宋" w:eastAsia="仿宋"/>
          <w:sz w:val="24"/>
        </w:rPr>
        <w:fldChar w:fldCharType="end"/>
      </w:r>
      <w:r>
        <w:rPr>
          <w:rFonts w:ascii="仿宋" w:hAnsi="仿宋" w:eastAsia="仿宋"/>
          <w:sz w:val="24"/>
        </w:rPr>
        <w:fldChar w:fldCharType="end"/>
      </w:r>
    </w:p>
    <w:p w14:paraId="093E6B64">
      <w:pPr>
        <w:pStyle w:val="42"/>
        <w:tabs>
          <w:tab w:val="right" w:leader="dot" w:pos="9628"/>
        </w:tabs>
        <w:rPr>
          <w:rFonts w:ascii="仿宋" w:hAnsi="仿宋" w:eastAsia="仿宋"/>
          <w:smallCaps w:val="0"/>
          <w:sz w:val="24"/>
        </w:rPr>
      </w:pPr>
      <w:r>
        <w:fldChar w:fldCharType="begin"/>
      </w:r>
      <w:r>
        <w:instrText xml:space="preserve"> HYPERLINK \l "_Toc171350593" </w:instrText>
      </w:r>
      <w:r>
        <w:fldChar w:fldCharType="separate"/>
      </w:r>
      <w:r>
        <w:rPr>
          <w:rStyle w:val="57"/>
          <w:rFonts w:hint="eastAsia" w:ascii="仿宋" w:hAnsi="仿宋" w:eastAsia="仿宋"/>
          <w:sz w:val="24"/>
        </w:rPr>
        <w:t>七、质疑处理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_Toc171350593 \h </w:instrText>
      </w:r>
      <w:r>
        <w:rPr>
          <w:rFonts w:ascii="仿宋" w:hAnsi="仿宋" w:eastAsia="仿宋"/>
          <w:sz w:val="24"/>
        </w:rPr>
        <w:fldChar w:fldCharType="separate"/>
      </w:r>
      <w:r>
        <w:rPr>
          <w:rFonts w:ascii="仿宋" w:hAnsi="仿宋" w:eastAsia="仿宋"/>
          <w:sz w:val="24"/>
        </w:rPr>
        <w:t>38</w:t>
      </w:r>
      <w:r>
        <w:rPr>
          <w:rFonts w:ascii="仿宋" w:hAnsi="仿宋" w:eastAsia="仿宋"/>
          <w:sz w:val="24"/>
        </w:rPr>
        <w:fldChar w:fldCharType="end"/>
      </w:r>
      <w:r>
        <w:rPr>
          <w:rFonts w:ascii="仿宋" w:hAnsi="仿宋" w:eastAsia="仿宋"/>
          <w:sz w:val="24"/>
        </w:rPr>
        <w:fldChar w:fldCharType="end"/>
      </w:r>
    </w:p>
    <w:p w14:paraId="6524929E">
      <w:pPr>
        <w:pStyle w:val="35"/>
        <w:tabs>
          <w:tab w:val="right" w:leader="dot" w:pos="9628"/>
        </w:tabs>
        <w:rPr>
          <w:rFonts w:ascii="仿宋" w:hAnsi="仿宋" w:eastAsia="仿宋"/>
          <w:b w:val="0"/>
          <w:bCs w:val="0"/>
          <w:caps w:val="0"/>
          <w:sz w:val="24"/>
        </w:rPr>
      </w:pPr>
      <w:r>
        <w:fldChar w:fldCharType="begin"/>
      </w:r>
      <w:r>
        <w:instrText xml:space="preserve"> HYPERLINK \l "_Toc171350594" </w:instrText>
      </w:r>
      <w:r>
        <w:fldChar w:fldCharType="separate"/>
      </w:r>
      <w:r>
        <w:rPr>
          <w:rStyle w:val="57"/>
          <w:rFonts w:hint="eastAsia" w:ascii="仿宋" w:hAnsi="仿宋" w:eastAsia="仿宋"/>
          <w:sz w:val="24"/>
        </w:rPr>
        <w:t>第七章投标文件格式</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_Toc171350594 \h </w:instrText>
      </w:r>
      <w:r>
        <w:rPr>
          <w:rFonts w:ascii="仿宋" w:hAnsi="仿宋" w:eastAsia="仿宋"/>
          <w:sz w:val="24"/>
        </w:rPr>
        <w:fldChar w:fldCharType="separate"/>
      </w:r>
      <w:r>
        <w:rPr>
          <w:rFonts w:ascii="仿宋" w:hAnsi="仿宋" w:eastAsia="仿宋"/>
          <w:sz w:val="24"/>
        </w:rPr>
        <w:t>41</w:t>
      </w:r>
      <w:r>
        <w:rPr>
          <w:rFonts w:ascii="仿宋" w:hAnsi="仿宋" w:eastAsia="仿宋"/>
          <w:sz w:val="24"/>
        </w:rPr>
        <w:fldChar w:fldCharType="end"/>
      </w:r>
      <w:r>
        <w:rPr>
          <w:rFonts w:ascii="仿宋" w:hAnsi="仿宋" w:eastAsia="仿宋"/>
          <w:sz w:val="24"/>
        </w:rPr>
        <w:fldChar w:fldCharType="end"/>
      </w:r>
    </w:p>
    <w:p w14:paraId="1AC0F74D">
      <w:pPr>
        <w:pStyle w:val="42"/>
        <w:tabs>
          <w:tab w:val="right" w:leader="dot" w:pos="9628"/>
        </w:tabs>
        <w:rPr>
          <w:rFonts w:ascii="仿宋" w:hAnsi="仿宋" w:eastAsia="仿宋"/>
          <w:smallCaps w:val="0"/>
          <w:sz w:val="24"/>
        </w:rPr>
      </w:pPr>
      <w:r>
        <w:fldChar w:fldCharType="begin"/>
      </w:r>
      <w:r>
        <w:instrText xml:space="preserve"> HYPERLINK \l "_Toc171350595" </w:instrText>
      </w:r>
      <w:r>
        <w:fldChar w:fldCharType="separate"/>
      </w:r>
      <w:r>
        <w:rPr>
          <w:rStyle w:val="57"/>
          <w:rFonts w:hint="eastAsia" w:ascii="仿宋" w:hAnsi="仿宋" w:eastAsia="仿宋"/>
          <w:sz w:val="24"/>
        </w:rPr>
        <w:t>投标文件编制说明</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_Toc171350595 \h </w:instrText>
      </w:r>
      <w:r>
        <w:rPr>
          <w:rFonts w:ascii="仿宋" w:hAnsi="仿宋" w:eastAsia="仿宋"/>
          <w:sz w:val="24"/>
        </w:rPr>
        <w:fldChar w:fldCharType="separate"/>
      </w:r>
      <w:r>
        <w:rPr>
          <w:rFonts w:ascii="仿宋" w:hAnsi="仿宋" w:eastAsia="仿宋"/>
          <w:sz w:val="24"/>
        </w:rPr>
        <w:t>41</w:t>
      </w:r>
      <w:r>
        <w:rPr>
          <w:rFonts w:ascii="仿宋" w:hAnsi="仿宋" w:eastAsia="仿宋"/>
          <w:sz w:val="24"/>
        </w:rPr>
        <w:fldChar w:fldCharType="end"/>
      </w:r>
      <w:r>
        <w:rPr>
          <w:rFonts w:ascii="仿宋" w:hAnsi="仿宋" w:eastAsia="仿宋"/>
          <w:sz w:val="24"/>
        </w:rPr>
        <w:fldChar w:fldCharType="end"/>
      </w:r>
    </w:p>
    <w:p w14:paraId="59111BED">
      <w:pPr>
        <w:pStyle w:val="42"/>
        <w:tabs>
          <w:tab w:val="right" w:leader="dot" w:pos="9628"/>
        </w:tabs>
        <w:rPr>
          <w:rFonts w:ascii="仿宋" w:hAnsi="仿宋" w:eastAsia="仿宋"/>
          <w:smallCaps w:val="0"/>
          <w:sz w:val="24"/>
        </w:rPr>
      </w:pPr>
      <w:r>
        <w:fldChar w:fldCharType="begin"/>
      </w:r>
      <w:r>
        <w:instrText xml:space="preserve"> HYPERLINK \l "_Toc171350596" </w:instrText>
      </w:r>
      <w:r>
        <w:fldChar w:fldCharType="separate"/>
      </w:r>
      <w:r>
        <w:rPr>
          <w:rStyle w:val="57"/>
          <w:rFonts w:hint="eastAsia" w:ascii="仿宋" w:hAnsi="仿宋" w:eastAsia="仿宋"/>
          <w:sz w:val="24"/>
        </w:rPr>
        <w:t>投标文件格式</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_Toc171350596 \h </w:instrText>
      </w:r>
      <w:r>
        <w:rPr>
          <w:rFonts w:ascii="仿宋" w:hAnsi="仿宋" w:eastAsia="仿宋"/>
          <w:sz w:val="24"/>
        </w:rPr>
        <w:fldChar w:fldCharType="separate"/>
      </w:r>
      <w:r>
        <w:rPr>
          <w:rFonts w:ascii="仿宋" w:hAnsi="仿宋" w:eastAsia="仿宋"/>
          <w:sz w:val="24"/>
        </w:rPr>
        <w:t>43</w:t>
      </w:r>
      <w:r>
        <w:rPr>
          <w:rFonts w:ascii="仿宋" w:hAnsi="仿宋" w:eastAsia="仿宋"/>
          <w:sz w:val="24"/>
        </w:rPr>
        <w:fldChar w:fldCharType="end"/>
      </w:r>
      <w:r>
        <w:rPr>
          <w:rFonts w:ascii="仿宋" w:hAnsi="仿宋" w:eastAsia="仿宋"/>
          <w:sz w:val="24"/>
        </w:rPr>
        <w:fldChar w:fldCharType="end"/>
      </w:r>
    </w:p>
    <w:p w14:paraId="1D3EAFF0">
      <w:pPr>
        <w:pStyle w:val="42"/>
        <w:tabs>
          <w:tab w:val="right" w:leader="dot" w:pos="9628"/>
        </w:tabs>
        <w:rPr>
          <w:rFonts w:ascii="仿宋" w:hAnsi="仿宋" w:eastAsia="仿宋"/>
          <w:smallCaps w:val="0"/>
          <w:sz w:val="24"/>
        </w:rPr>
      </w:pPr>
      <w:r>
        <w:fldChar w:fldCharType="begin"/>
      </w:r>
      <w:r>
        <w:instrText xml:space="preserve"> HYPERLINK \l "_Toc171350597" </w:instrText>
      </w:r>
      <w:r>
        <w:fldChar w:fldCharType="separate"/>
      </w:r>
      <w:r>
        <w:rPr>
          <w:rStyle w:val="57"/>
          <w:rFonts w:hint="eastAsia" w:ascii="仿宋" w:hAnsi="仿宋" w:eastAsia="仿宋"/>
          <w:sz w:val="24"/>
        </w:rPr>
        <w:t>评标指引表</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_Toc171350597 \h </w:instrText>
      </w:r>
      <w:r>
        <w:rPr>
          <w:rFonts w:ascii="仿宋" w:hAnsi="仿宋" w:eastAsia="仿宋"/>
          <w:sz w:val="24"/>
        </w:rPr>
        <w:fldChar w:fldCharType="separate"/>
      </w:r>
      <w:r>
        <w:rPr>
          <w:rFonts w:ascii="仿宋" w:hAnsi="仿宋" w:eastAsia="仿宋"/>
          <w:sz w:val="24"/>
        </w:rPr>
        <w:t>44</w:t>
      </w:r>
      <w:r>
        <w:rPr>
          <w:rFonts w:ascii="仿宋" w:hAnsi="仿宋" w:eastAsia="仿宋"/>
          <w:sz w:val="24"/>
        </w:rPr>
        <w:fldChar w:fldCharType="end"/>
      </w:r>
      <w:r>
        <w:rPr>
          <w:rFonts w:ascii="仿宋" w:hAnsi="仿宋" w:eastAsia="仿宋"/>
          <w:sz w:val="24"/>
        </w:rPr>
        <w:fldChar w:fldCharType="end"/>
      </w:r>
    </w:p>
    <w:p w14:paraId="41DAE6E3">
      <w:pPr>
        <w:pStyle w:val="35"/>
        <w:tabs>
          <w:tab w:val="right" w:leader="dot" w:pos="9628"/>
        </w:tabs>
        <w:rPr>
          <w:rFonts w:ascii="仿宋" w:hAnsi="仿宋" w:eastAsia="仿宋"/>
          <w:b w:val="0"/>
          <w:bCs w:val="0"/>
          <w:caps w:val="0"/>
          <w:sz w:val="24"/>
        </w:rPr>
      </w:pPr>
      <w:r>
        <w:fldChar w:fldCharType="begin"/>
      </w:r>
      <w:r>
        <w:instrText xml:space="preserve"> HYPERLINK \l "_Toc171350608" </w:instrText>
      </w:r>
      <w:r>
        <w:fldChar w:fldCharType="separate"/>
      </w:r>
      <w:r>
        <w:rPr>
          <w:rStyle w:val="57"/>
          <w:rFonts w:hint="eastAsia" w:ascii="仿宋" w:hAnsi="仿宋" w:eastAsia="仿宋"/>
          <w:sz w:val="24"/>
        </w:rPr>
        <w:t>第八章合同条款</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_Toc171350608 \h </w:instrText>
      </w:r>
      <w:r>
        <w:rPr>
          <w:rFonts w:ascii="仿宋" w:hAnsi="仿宋" w:eastAsia="仿宋"/>
          <w:sz w:val="24"/>
        </w:rPr>
        <w:fldChar w:fldCharType="separate"/>
      </w:r>
      <w:r>
        <w:rPr>
          <w:rFonts w:ascii="仿宋" w:hAnsi="仿宋" w:eastAsia="仿宋"/>
          <w:sz w:val="24"/>
        </w:rPr>
        <w:t>64</w:t>
      </w:r>
      <w:r>
        <w:rPr>
          <w:rFonts w:ascii="仿宋" w:hAnsi="仿宋" w:eastAsia="仿宋"/>
          <w:sz w:val="24"/>
        </w:rPr>
        <w:fldChar w:fldCharType="end"/>
      </w:r>
      <w:r>
        <w:rPr>
          <w:rFonts w:ascii="仿宋" w:hAnsi="仿宋" w:eastAsia="仿宋"/>
          <w:sz w:val="24"/>
        </w:rPr>
        <w:fldChar w:fldCharType="end"/>
      </w:r>
    </w:p>
    <w:p w14:paraId="4FFF18BF">
      <w:pPr>
        <w:pStyle w:val="35"/>
        <w:tabs>
          <w:tab w:val="right" w:leader="dot" w:pos="9628"/>
        </w:tabs>
        <w:rPr>
          <w:rFonts w:ascii="仿宋" w:hAnsi="仿宋" w:eastAsia="仿宋"/>
          <w:b w:val="0"/>
          <w:bCs w:val="0"/>
          <w:caps w:val="0"/>
          <w:sz w:val="24"/>
        </w:rPr>
      </w:pPr>
      <w:r>
        <w:fldChar w:fldCharType="begin"/>
      </w:r>
      <w:r>
        <w:instrText xml:space="preserve"> HYPERLINK \l "_Toc171350614" </w:instrText>
      </w:r>
      <w:r>
        <w:fldChar w:fldCharType="separate"/>
      </w:r>
      <w:r>
        <w:rPr>
          <w:rStyle w:val="57"/>
          <w:rFonts w:hint="eastAsia" w:ascii="仿宋" w:hAnsi="仿宋" w:eastAsia="仿宋"/>
          <w:sz w:val="24"/>
        </w:rPr>
        <w:t>第九章附件</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_Toc171350614 \h </w:instrText>
      </w:r>
      <w:r>
        <w:rPr>
          <w:rFonts w:ascii="仿宋" w:hAnsi="仿宋" w:eastAsia="仿宋"/>
          <w:sz w:val="24"/>
        </w:rPr>
        <w:fldChar w:fldCharType="separate"/>
      </w:r>
      <w:r>
        <w:rPr>
          <w:rFonts w:ascii="仿宋" w:hAnsi="仿宋" w:eastAsia="仿宋"/>
          <w:sz w:val="24"/>
        </w:rPr>
        <w:t>64</w:t>
      </w:r>
      <w:r>
        <w:rPr>
          <w:rFonts w:ascii="仿宋" w:hAnsi="仿宋" w:eastAsia="仿宋"/>
          <w:sz w:val="24"/>
        </w:rPr>
        <w:fldChar w:fldCharType="end"/>
      </w:r>
      <w:r>
        <w:rPr>
          <w:rFonts w:ascii="仿宋" w:hAnsi="仿宋" w:eastAsia="仿宋"/>
          <w:sz w:val="24"/>
        </w:rPr>
        <w:fldChar w:fldCharType="end"/>
      </w:r>
    </w:p>
    <w:p w14:paraId="641D9C0F">
      <w:pPr>
        <w:pStyle w:val="42"/>
        <w:tabs>
          <w:tab w:val="right" w:leader="dot" w:pos="9628"/>
        </w:tabs>
        <w:rPr>
          <w:rFonts w:ascii="仿宋" w:hAnsi="仿宋" w:eastAsia="仿宋"/>
          <w:smallCaps w:val="0"/>
          <w:sz w:val="24"/>
        </w:rPr>
      </w:pPr>
      <w:r>
        <w:fldChar w:fldCharType="begin"/>
      </w:r>
      <w:r>
        <w:instrText xml:space="preserve"> HYPERLINK \l "_Toc171350615" </w:instrText>
      </w:r>
      <w:r>
        <w:fldChar w:fldCharType="separate"/>
      </w:r>
      <w:r>
        <w:rPr>
          <w:rStyle w:val="57"/>
          <w:rFonts w:hint="eastAsia" w:ascii="仿宋" w:hAnsi="仿宋" w:eastAsia="仿宋"/>
          <w:sz w:val="24"/>
        </w:rPr>
        <w:t>一、财政部工业和信息化部关于印发《政府采购促进中小企业发展管理办法》的通知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_Toc171350615 \h </w:instrText>
      </w:r>
      <w:r>
        <w:rPr>
          <w:rFonts w:ascii="仿宋" w:hAnsi="仿宋" w:eastAsia="仿宋"/>
          <w:sz w:val="24"/>
        </w:rPr>
        <w:fldChar w:fldCharType="separate"/>
      </w:r>
      <w:r>
        <w:rPr>
          <w:rFonts w:ascii="仿宋" w:hAnsi="仿宋" w:eastAsia="仿宋"/>
          <w:sz w:val="24"/>
        </w:rPr>
        <w:t>71</w:t>
      </w:r>
      <w:r>
        <w:rPr>
          <w:rFonts w:ascii="仿宋" w:hAnsi="仿宋" w:eastAsia="仿宋"/>
          <w:sz w:val="24"/>
        </w:rPr>
        <w:fldChar w:fldCharType="end"/>
      </w:r>
      <w:r>
        <w:rPr>
          <w:rFonts w:ascii="仿宋" w:hAnsi="仿宋" w:eastAsia="仿宋"/>
          <w:sz w:val="24"/>
        </w:rPr>
        <w:fldChar w:fldCharType="end"/>
      </w:r>
    </w:p>
    <w:p w14:paraId="708270C4">
      <w:pPr>
        <w:pStyle w:val="42"/>
        <w:tabs>
          <w:tab w:val="right" w:leader="dot" w:pos="9628"/>
        </w:tabs>
        <w:rPr>
          <w:rFonts w:ascii="仿宋" w:hAnsi="仿宋" w:eastAsia="仿宋"/>
          <w:smallCaps w:val="0"/>
          <w:sz w:val="24"/>
        </w:rPr>
      </w:pPr>
      <w:r>
        <w:fldChar w:fldCharType="begin"/>
      </w:r>
      <w:r>
        <w:instrText xml:space="preserve"> HYPERLINK \l "_Toc171350616" </w:instrText>
      </w:r>
      <w:r>
        <w:fldChar w:fldCharType="separate"/>
      </w:r>
      <w:r>
        <w:rPr>
          <w:rStyle w:val="57"/>
          <w:rFonts w:hint="eastAsia" w:ascii="仿宋" w:hAnsi="仿宋" w:eastAsia="仿宋"/>
          <w:sz w:val="24"/>
        </w:rPr>
        <w:t>二、关于印发中小企业划型标准规定的通知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_Toc171350616 \h </w:instrText>
      </w:r>
      <w:r>
        <w:rPr>
          <w:rFonts w:ascii="仿宋" w:hAnsi="仿宋" w:eastAsia="仿宋"/>
          <w:sz w:val="24"/>
        </w:rPr>
        <w:fldChar w:fldCharType="separate"/>
      </w:r>
      <w:r>
        <w:rPr>
          <w:rFonts w:ascii="仿宋" w:hAnsi="仿宋" w:eastAsia="仿宋"/>
          <w:sz w:val="24"/>
        </w:rPr>
        <w:t>75</w:t>
      </w:r>
      <w:r>
        <w:rPr>
          <w:rFonts w:ascii="仿宋" w:hAnsi="仿宋" w:eastAsia="仿宋"/>
          <w:sz w:val="24"/>
        </w:rPr>
        <w:fldChar w:fldCharType="end"/>
      </w:r>
      <w:r>
        <w:rPr>
          <w:rFonts w:ascii="仿宋" w:hAnsi="仿宋" w:eastAsia="仿宋"/>
          <w:sz w:val="24"/>
        </w:rPr>
        <w:fldChar w:fldCharType="end"/>
      </w:r>
    </w:p>
    <w:p w14:paraId="4538F29C">
      <w:pPr>
        <w:pStyle w:val="42"/>
        <w:tabs>
          <w:tab w:val="right" w:leader="dot" w:pos="9628"/>
        </w:tabs>
        <w:rPr>
          <w:rFonts w:ascii="仿宋" w:hAnsi="仿宋" w:eastAsia="仿宋"/>
          <w:smallCaps w:val="0"/>
          <w:sz w:val="24"/>
        </w:rPr>
      </w:pPr>
      <w:r>
        <w:fldChar w:fldCharType="begin"/>
      </w:r>
      <w:r>
        <w:instrText xml:space="preserve"> HYPERLINK \l "_Toc171350617" </w:instrText>
      </w:r>
      <w:r>
        <w:fldChar w:fldCharType="separate"/>
      </w:r>
      <w:r>
        <w:rPr>
          <w:rStyle w:val="57"/>
          <w:rFonts w:hint="eastAsia" w:ascii="仿宋" w:hAnsi="仿宋" w:eastAsia="仿宋"/>
          <w:sz w:val="24"/>
        </w:rPr>
        <w:t>三、国家统计局关于印发《统计上大中小微型企业划分办法（</w:t>
      </w:r>
      <w:r>
        <w:rPr>
          <w:rStyle w:val="57"/>
          <w:rFonts w:ascii="仿宋" w:hAnsi="仿宋" w:eastAsia="仿宋"/>
          <w:sz w:val="24"/>
        </w:rPr>
        <w:t>2017</w:t>
      </w:r>
      <w:r>
        <w:rPr>
          <w:rStyle w:val="57"/>
          <w:rFonts w:hint="eastAsia" w:ascii="仿宋" w:hAnsi="仿宋" w:eastAsia="仿宋"/>
          <w:sz w:val="24"/>
        </w:rPr>
        <w:t>）》的通知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_Toc171350617 \h </w:instrText>
      </w:r>
      <w:r>
        <w:rPr>
          <w:rFonts w:ascii="仿宋" w:hAnsi="仿宋" w:eastAsia="仿宋"/>
          <w:sz w:val="24"/>
        </w:rPr>
        <w:fldChar w:fldCharType="separate"/>
      </w:r>
      <w:r>
        <w:rPr>
          <w:rFonts w:ascii="仿宋" w:hAnsi="仿宋" w:eastAsia="仿宋"/>
          <w:sz w:val="24"/>
        </w:rPr>
        <w:t>78</w:t>
      </w:r>
      <w:r>
        <w:rPr>
          <w:rFonts w:ascii="仿宋" w:hAnsi="仿宋" w:eastAsia="仿宋"/>
          <w:sz w:val="24"/>
        </w:rPr>
        <w:fldChar w:fldCharType="end"/>
      </w:r>
      <w:r>
        <w:rPr>
          <w:rFonts w:ascii="仿宋" w:hAnsi="仿宋" w:eastAsia="仿宋"/>
          <w:sz w:val="24"/>
        </w:rPr>
        <w:fldChar w:fldCharType="end"/>
      </w:r>
    </w:p>
    <w:p w14:paraId="143DA009">
      <w:pPr>
        <w:pStyle w:val="42"/>
        <w:tabs>
          <w:tab w:val="right" w:leader="dot" w:pos="9628"/>
        </w:tabs>
        <w:rPr>
          <w:rFonts w:ascii="仿宋" w:hAnsi="仿宋" w:eastAsia="仿宋"/>
          <w:smallCaps w:val="0"/>
          <w:sz w:val="24"/>
        </w:rPr>
      </w:pPr>
      <w:r>
        <w:fldChar w:fldCharType="begin"/>
      </w:r>
      <w:r>
        <w:instrText xml:space="preserve"> HYPERLINK \l "_Toc171350618" </w:instrText>
      </w:r>
      <w:r>
        <w:fldChar w:fldCharType="separate"/>
      </w:r>
      <w:r>
        <w:rPr>
          <w:rStyle w:val="57"/>
          <w:rFonts w:hint="eastAsia" w:ascii="仿宋" w:hAnsi="仿宋" w:eastAsia="仿宋"/>
          <w:sz w:val="24"/>
        </w:rPr>
        <w:t>四、财政部民政部中国残疾人联合会关于促进残疾人就业政府采购政策的通知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_Toc171350618 \h </w:instrText>
      </w:r>
      <w:r>
        <w:rPr>
          <w:rFonts w:ascii="仿宋" w:hAnsi="仿宋" w:eastAsia="仿宋"/>
          <w:sz w:val="24"/>
        </w:rPr>
        <w:fldChar w:fldCharType="separate"/>
      </w:r>
      <w:r>
        <w:rPr>
          <w:rFonts w:ascii="仿宋" w:hAnsi="仿宋" w:eastAsia="仿宋"/>
          <w:sz w:val="24"/>
        </w:rPr>
        <w:t>81</w:t>
      </w:r>
      <w:r>
        <w:rPr>
          <w:rFonts w:ascii="仿宋" w:hAnsi="仿宋" w:eastAsia="仿宋"/>
          <w:sz w:val="24"/>
        </w:rPr>
        <w:fldChar w:fldCharType="end"/>
      </w:r>
      <w:r>
        <w:rPr>
          <w:rFonts w:ascii="仿宋" w:hAnsi="仿宋" w:eastAsia="仿宋"/>
          <w:sz w:val="24"/>
        </w:rPr>
        <w:fldChar w:fldCharType="end"/>
      </w:r>
    </w:p>
    <w:p w14:paraId="4781DBEB">
      <w:pPr>
        <w:pStyle w:val="42"/>
        <w:tabs>
          <w:tab w:val="right" w:leader="dot" w:pos="9628"/>
        </w:tabs>
        <w:rPr>
          <w:rFonts w:ascii="仿宋" w:hAnsi="仿宋" w:eastAsia="仿宋"/>
          <w:smallCaps w:val="0"/>
          <w:sz w:val="24"/>
        </w:rPr>
      </w:pPr>
      <w:r>
        <w:fldChar w:fldCharType="begin"/>
      </w:r>
      <w:r>
        <w:instrText xml:space="preserve"> HYPERLINK \l "_Toc171350619" </w:instrText>
      </w:r>
      <w:r>
        <w:fldChar w:fldCharType="separate"/>
      </w:r>
      <w:r>
        <w:rPr>
          <w:rStyle w:val="57"/>
          <w:rFonts w:hint="eastAsia" w:ascii="仿宋" w:hAnsi="仿宋" w:eastAsia="仿宋"/>
          <w:sz w:val="24"/>
        </w:rPr>
        <w:t>五、财政部司法部关于政府采购支持监狱企业发展有关问题的通知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_Toc171350619 \h </w:instrText>
      </w:r>
      <w:r>
        <w:rPr>
          <w:rFonts w:ascii="仿宋" w:hAnsi="仿宋" w:eastAsia="仿宋"/>
          <w:sz w:val="24"/>
        </w:rPr>
        <w:fldChar w:fldCharType="separate"/>
      </w:r>
      <w:r>
        <w:rPr>
          <w:rFonts w:ascii="仿宋" w:hAnsi="仿宋" w:eastAsia="仿宋"/>
          <w:sz w:val="24"/>
        </w:rPr>
        <w:t>83</w:t>
      </w:r>
      <w:r>
        <w:rPr>
          <w:rFonts w:ascii="仿宋" w:hAnsi="仿宋" w:eastAsia="仿宋"/>
          <w:sz w:val="24"/>
        </w:rPr>
        <w:fldChar w:fldCharType="end"/>
      </w:r>
      <w:r>
        <w:rPr>
          <w:rFonts w:ascii="仿宋" w:hAnsi="仿宋" w:eastAsia="仿宋"/>
          <w:sz w:val="24"/>
        </w:rPr>
        <w:fldChar w:fldCharType="end"/>
      </w:r>
    </w:p>
    <w:p w14:paraId="698954AD">
      <w:pPr>
        <w:pStyle w:val="42"/>
        <w:tabs>
          <w:tab w:val="right" w:leader="dot" w:pos="9628"/>
        </w:tabs>
        <w:spacing w:line="360" w:lineRule="exact"/>
      </w:pPr>
      <w:r>
        <w:rPr>
          <w:rFonts w:hint="eastAsia" w:ascii="仿宋" w:hAnsi="仿宋" w:eastAsia="仿宋"/>
          <w:sz w:val="24"/>
        </w:rPr>
        <w:fldChar w:fldCharType="end"/>
      </w:r>
    </w:p>
    <w:p w14:paraId="6E5FEDC4"/>
    <w:p w14:paraId="63F63CDD"/>
    <w:p w14:paraId="2EAA437A"/>
    <w:p w14:paraId="0B0F311F"/>
    <w:p w14:paraId="129C554E"/>
    <w:p w14:paraId="5A2906BB">
      <w:pPr>
        <w:pStyle w:val="3"/>
      </w:pPr>
      <w:bookmarkStart w:id="0" w:name="_Toc171350576"/>
      <w:r>
        <w:rPr>
          <w:rFonts w:hint="eastAsia"/>
        </w:rPr>
        <w:t>第一章  投标邀请</w:t>
      </w:r>
      <w:bookmarkEnd w:id="0"/>
    </w:p>
    <w:p w14:paraId="51001751">
      <w:pPr>
        <w:pBdr>
          <w:top w:val="single" w:color="auto" w:sz="4" w:space="1"/>
          <w:left w:val="single" w:color="auto" w:sz="4" w:space="0"/>
          <w:bottom w:val="single" w:color="auto" w:sz="4" w:space="1"/>
          <w:right w:val="single" w:color="auto" w:sz="4" w:space="4"/>
        </w:pBdr>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项目概况</w:t>
      </w:r>
    </w:p>
    <w:p w14:paraId="57F74604">
      <w:pPr>
        <w:pBdr>
          <w:top w:val="single" w:color="auto" w:sz="4" w:space="1"/>
          <w:left w:val="single" w:color="auto" w:sz="4" w:space="0"/>
          <w:bottom w:val="single" w:color="auto" w:sz="4" w:space="1"/>
          <w:right w:val="single" w:color="auto" w:sz="4" w:space="4"/>
        </w:pBdr>
        <w:spacing w:line="360" w:lineRule="auto"/>
        <w:ind w:firstLine="420" w:firstLineChars="200"/>
        <w:rPr>
          <w:rFonts w:ascii="宋体" w:hAnsi="宋体" w:cs="宋体"/>
          <w:snapToGrid w:val="0"/>
          <w:szCs w:val="21"/>
          <w:u w:val="single"/>
        </w:rPr>
      </w:pPr>
      <w:r>
        <w:rPr>
          <w:rFonts w:hint="eastAsia" w:ascii="宋体" w:hAnsi="宋体" w:cs="宋体"/>
          <w:snapToGrid w:val="0"/>
          <w:kern w:val="0"/>
          <w:szCs w:val="21"/>
          <w:u w:val="single"/>
        </w:rPr>
        <w:t>深圳海关辅助执法作业服务项目（东部、西部片区）</w:t>
      </w:r>
      <w:r>
        <w:rPr>
          <w:rFonts w:hint="eastAsia" w:ascii="宋体" w:hAnsi="宋体" w:cs="宋体"/>
          <w:snapToGrid w:val="0"/>
          <w:kern w:val="0"/>
          <w:szCs w:val="21"/>
        </w:rPr>
        <w:t>的潜在投标人应在</w:t>
      </w:r>
      <w:r>
        <w:rPr>
          <w:rFonts w:hint="eastAsia" w:ascii="宋体" w:hAnsi="宋体" w:cs="宋体"/>
          <w:snapToGrid w:val="0"/>
          <w:szCs w:val="21"/>
          <w:u w:val="single"/>
        </w:rPr>
        <w:t>深圳市福田区民田路171号新华保险大厦903</w:t>
      </w:r>
      <w:r>
        <w:rPr>
          <w:rFonts w:hint="eastAsia" w:ascii="宋体" w:hAnsi="宋体" w:cs="宋体"/>
          <w:snapToGrid w:val="0"/>
          <w:kern w:val="0"/>
          <w:szCs w:val="21"/>
        </w:rPr>
        <w:t>获取招标文件，并于2025年</w:t>
      </w:r>
      <w:r>
        <w:rPr>
          <w:rFonts w:hint="eastAsia" w:ascii="宋体" w:hAnsi="宋体" w:cs="宋体"/>
          <w:snapToGrid w:val="0"/>
          <w:kern w:val="0"/>
          <w:szCs w:val="21"/>
          <w:lang w:val="en-US" w:eastAsia="zh-CN"/>
        </w:rPr>
        <w:t>6</w:t>
      </w:r>
      <w:r>
        <w:rPr>
          <w:rFonts w:hint="eastAsia" w:ascii="宋体" w:hAnsi="宋体" w:cs="宋体"/>
          <w:snapToGrid w:val="0"/>
          <w:kern w:val="0"/>
          <w:szCs w:val="21"/>
        </w:rPr>
        <w:t>月</w:t>
      </w:r>
      <w:r>
        <w:rPr>
          <w:rFonts w:hint="eastAsia" w:ascii="宋体" w:hAnsi="宋体" w:cs="宋体"/>
          <w:snapToGrid w:val="0"/>
          <w:kern w:val="0"/>
          <w:szCs w:val="21"/>
          <w:lang w:val="en-US" w:eastAsia="zh-CN"/>
        </w:rPr>
        <w:t>12</w:t>
      </w:r>
      <w:r>
        <w:rPr>
          <w:rFonts w:hint="eastAsia" w:ascii="宋体" w:hAnsi="宋体" w:cs="宋体"/>
          <w:snapToGrid w:val="0"/>
          <w:kern w:val="0"/>
          <w:szCs w:val="21"/>
        </w:rPr>
        <w:t>日</w:t>
      </w:r>
      <w:r>
        <w:rPr>
          <w:rFonts w:hint="eastAsia" w:ascii="宋体" w:hAnsi="宋体" w:cs="宋体"/>
          <w:snapToGrid w:val="0"/>
          <w:kern w:val="0"/>
          <w:szCs w:val="21"/>
          <w:lang w:val="en-US" w:eastAsia="zh-CN"/>
        </w:rPr>
        <w:t>9</w:t>
      </w:r>
      <w:r>
        <w:rPr>
          <w:rFonts w:hint="eastAsia" w:ascii="宋体" w:hAnsi="宋体" w:cs="宋体"/>
          <w:snapToGrid w:val="0"/>
          <w:kern w:val="0"/>
          <w:szCs w:val="21"/>
        </w:rPr>
        <w:t>点30分（北京时间）前递交投标文件。</w:t>
      </w:r>
    </w:p>
    <w:p w14:paraId="0C30D96F">
      <w:pPr>
        <w:adjustRightInd w:val="0"/>
        <w:snapToGrid w:val="0"/>
        <w:spacing w:line="360" w:lineRule="auto"/>
        <w:ind w:firstLine="420" w:firstLineChars="200"/>
        <w:jc w:val="left"/>
        <w:rPr>
          <w:rFonts w:ascii="宋体" w:hAnsi="宋体" w:cs="宋体"/>
          <w:snapToGrid w:val="0"/>
          <w:kern w:val="0"/>
          <w:szCs w:val="21"/>
        </w:rPr>
      </w:pPr>
    </w:p>
    <w:p w14:paraId="0F64DFD3">
      <w:pPr>
        <w:widowControl/>
        <w:adjustRightInd w:val="0"/>
        <w:snapToGrid w:val="0"/>
        <w:spacing w:line="360" w:lineRule="auto"/>
        <w:ind w:left="360" w:leftChars="1" w:hanging="358" w:hangingChars="170"/>
        <w:jc w:val="left"/>
        <w:rPr>
          <w:rFonts w:ascii="宋体" w:hAnsi="宋体" w:cs="宋体"/>
          <w:b/>
          <w:snapToGrid w:val="0"/>
          <w:kern w:val="0"/>
          <w:szCs w:val="21"/>
        </w:rPr>
      </w:pPr>
      <w:r>
        <w:rPr>
          <w:rFonts w:hint="eastAsia" w:ascii="宋体" w:hAnsi="宋体" w:cs="宋体"/>
          <w:b/>
          <w:snapToGrid w:val="0"/>
          <w:kern w:val="0"/>
          <w:szCs w:val="21"/>
        </w:rPr>
        <w:t>一、项目基本情况</w:t>
      </w:r>
    </w:p>
    <w:p w14:paraId="2FBFF65B">
      <w:pPr>
        <w:pStyle w:val="455"/>
        <w:adjustRightInd w:val="0"/>
        <w:snapToGrid w:val="0"/>
        <w:spacing w:before="0" w:beforeAutospacing="0" w:after="0" w:afterAutospacing="0" w:line="360" w:lineRule="auto"/>
        <w:ind w:left="1413" w:leftChars="202" w:hanging="989" w:hangingChars="471"/>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招标编号：SZZZ2025-QC0185</w:t>
      </w:r>
    </w:p>
    <w:p w14:paraId="75185BC1">
      <w:pPr>
        <w:pStyle w:val="455"/>
        <w:adjustRightInd w:val="0"/>
        <w:snapToGrid w:val="0"/>
        <w:spacing w:before="0" w:beforeAutospacing="0" w:after="0" w:afterAutospacing="0" w:line="360" w:lineRule="auto"/>
        <w:ind w:left="1413" w:leftChars="202" w:hanging="989" w:hangingChars="471"/>
        <w:rPr>
          <w:rFonts w:ascii="宋体" w:hAnsi="宋体" w:eastAsia="宋体" w:cs="宋体"/>
          <w:snapToGrid w:val="0"/>
          <w:color w:val="FF0000"/>
          <w:sz w:val="21"/>
          <w:szCs w:val="21"/>
        </w:rPr>
      </w:pPr>
      <w:r>
        <w:rPr>
          <w:rFonts w:hint="eastAsia" w:ascii="宋体" w:hAnsi="宋体" w:eastAsia="宋体" w:cs="宋体"/>
          <w:snapToGrid w:val="0"/>
          <w:color w:val="auto"/>
          <w:sz w:val="21"/>
          <w:szCs w:val="21"/>
        </w:rPr>
        <w:t>项目名称：深圳海关辅助执法作业服务项目（东部、西部片区）</w:t>
      </w:r>
    </w:p>
    <w:p w14:paraId="7B63F7DA">
      <w:pPr>
        <w:pStyle w:val="455"/>
        <w:adjustRightInd w:val="0"/>
        <w:snapToGrid w:val="0"/>
        <w:spacing w:before="0" w:beforeAutospacing="0" w:after="0" w:afterAutospacing="0" w:line="360" w:lineRule="auto"/>
        <w:ind w:left="1831" w:leftChars="202" w:hanging="1407" w:hangingChars="670"/>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采购方式：公开招标</w:t>
      </w:r>
    </w:p>
    <w:p w14:paraId="70A4C2BA">
      <w:pPr>
        <w:pStyle w:val="455"/>
        <w:adjustRightInd w:val="0"/>
        <w:snapToGrid w:val="0"/>
        <w:spacing w:before="0" w:beforeAutospacing="0" w:after="0" w:afterAutospacing="0" w:line="360" w:lineRule="auto"/>
        <w:ind w:left="1831" w:leftChars="202" w:hanging="1407" w:hangingChars="670"/>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预算金额：人民币97,136,640.00元</w:t>
      </w:r>
    </w:p>
    <w:p w14:paraId="295140A6">
      <w:pPr>
        <w:pStyle w:val="455"/>
        <w:adjustRightInd w:val="0"/>
        <w:snapToGrid w:val="0"/>
        <w:spacing w:before="0" w:beforeAutospacing="0" w:after="0" w:afterAutospacing="0" w:line="360" w:lineRule="auto"/>
        <w:ind w:left="1413" w:leftChars="202" w:hanging="989" w:hangingChars="471"/>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采购需求：</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2251"/>
        <w:gridCol w:w="705"/>
        <w:gridCol w:w="750"/>
        <w:gridCol w:w="4389"/>
        <w:gridCol w:w="861"/>
      </w:tblGrid>
      <w:tr w14:paraId="24F8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noWrap/>
            <w:vAlign w:val="center"/>
          </w:tcPr>
          <w:p w14:paraId="78AE2002">
            <w:pPr>
              <w:spacing w:line="360" w:lineRule="exact"/>
              <w:jc w:val="center"/>
              <w:rPr>
                <w:rFonts w:ascii="宋体" w:hAnsi="宋体" w:cs="宋体"/>
                <w:b/>
                <w:bCs/>
                <w:szCs w:val="21"/>
              </w:rPr>
            </w:pPr>
            <w:r>
              <w:rPr>
                <w:rFonts w:hint="eastAsia" w:ascii="宋体" w:hAnsi="宋体" w:cs="宋体"/>
                <w:b/>
                <w:bCs/>
                <w:szCs w:val="21"/>
              </w:rPr>
              <w:t>包号</w:t>
            </w:r>
          </w:p>
        </w:tc>
        <w:tc>
          <w:tcPr>
            <w:tcW w:w="2251" w:type="dxa"/>
            <w:noWrap/>
            <w:vAlign w:val="center"/>
          </w:tcPr>
          <w:p w14:paraId="48F68D3F">
            <w:pPr>
              <w:spacing w:line="360" w:lineRule="exact"/>
              <w:jc w:val="center"/>
              <w:rPr>
                <w:rFonts w:ascii="宋体" w:hAnsi="宋体" w:cs="宋体"/>
                <w:b/>
                <w:bCs/>
                <w:szCs w:val="21"/>
              </w:rPr>
            </w:pPr>
            <w:r>
              <w:rPr>
                <w:rFonts w:hint="eastAsia" w:ascii="宋体" w:hAnsi="宋体" w:cs="宋体"/>
                <w:b/>
                <w:bCs/>
                <w:szCs w:val="21"/>
              </w:rPr>
              <w:t>标的名称</w:t>
            </w:r>
          </w:p>
        </w:tc>
        <w:tc>
          <w:tcPr>
            <w:tcW w:w="705" w:type="dxa"/>
            <w:noWrap/>
            <w:vAlign w:val="center"/>
          </w:tcPr>
          <w:p w14:paraId="17D61A6F">
            <w:pPr>
              <w:spacing w:line="360" w:lineRule="exact"/>
              <w:jc w:val="center"/>
              <w:rPr>
                <w:rFonts w:ascii="宋体" w:hAnsi="宋体" w:cs="宋体"/>
                <w:b/>
                <w:bCs/>
                <w:szCs w:val="21"/>
              </w:rPr>
            </w:pPr>
            <w:r>
              <w:rPr>
                <w:rFonts w:hint="eastAsia" w:ascii="宋体" w:hAnsi="宋体" w:cs="宋体"/>
                <w:b/>
                <w:bCs/>
                <w:szCs w:val="21"/>
              </w:rPr>
              <w:t>数量</w:t>
            </w:r>
          </w:p>
        </w:tc>
        <w:tc>
          <w:tcPr>
            <w:tcW w:w="750" w:type="dxa"/>
            <w:noWrap/>
          </w:tcPr>
          <w:p w14:paraId="1C32F0CA">
            <w:pPr>
              <w:spacing w:line="360" w:lineRule="exact"/>
              <w:jc w:val="center"/>
              <w:rPr>
                <w:rFonts w:ascii="宋体" w:hAnsi="宋体" w:cs="宋体"/>
                <w:b/>
                <w:bCs/>
                <w:szCs w:val="21"/>
              </w:rPr>
            </w:pPr>
            <w:r>
              <w:rPr>
                <w:rFonts w:hint="eastAsia" w:ascii="宋体" w:hAnsi="宋体" w:cs="宋体"/>
                <w:b/>
                <w:bCs/>
                <w:szCs w:val="21"/>
              </w:rPr>
              <w:t>单位</w:t>
            </w:r>
          </w:p>
        </w:tc>
        <w:tc>
          <w:tcPr>
            <w:tcW w:w="4389" w:type="dxa"/>
            <w:noWrap/>
          </w:tcPr>
          <w:p w14:paraId="4973F9C7">
            <w:pPr>
              <w:spacing w:line="360" w:lineRule="exact"/>
              <w:jc w:val="center"/>
              <w:rPr>
                <w:rFonts w:ascii="宋体" w:hAnsi="宋体" w:cs="宋体"/>
                <w:b/>
                <w:bCs/>
                <w:szCs w:val="21"/>
              </w:rPr>
            </w:pPr>
            <w:r>
              <w:rPr>
                <w:rFonts w:hint="eastAsia" w:ascii="宋体" w:hAnsi="宋体" w:cs="宋体"/>
                <w:b/>
                <w:bCs/>
                <w:szCs w:val="21"/>
              </w:rPr>
              <w:t>简要技术需求或服务要求</w:t>
            </w:r>
          </w:p>
        </w:tc>
        <w:tc>
          <w:tcPr>
            <w:tcW w:w="861" w:type="dxa"/>
            <w:noWrap/>
          </w:tcPr>
          <w:p w14:paraId="791DD021">
            <w:pPr>
              <w:spacing w:line="360" w:lineRule="exact"/>
              <w:jc w:val="center"/>
              <w:rPr>
                <w:rFonts w:ascii="宋体" w:hAnsi="宋体" w:cs="宋体"/>
                <w:b/>
                <w:bCs/>
                <w:szCs w:val="21"/>
              </w:rPr>
            </w:pPr>
            <w:r>
              <w:rPr>
                <w:rFonts w:hint="eastAsia" w:ascii="宋体" w:hAnsi="宋体" w:cs="宋体"/>
                <w:b/>
                <w:bCs/>
                <w:szCs w:val="21"/>
              </w:rPr>
              <w:t>备注</w:t>
            </w:r>
          </w:p>
        </w:tc>
      </w:tr>
      <w:tr w14:paraId="4F9E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727" w:type="dxa"/>
            <w:noWrap/>
            <w:vAlign w:val="center"/>
          </w:tcPr>
          <w:p w14:paraId="5BA0EFF9">
            <w:pPr>
              <w:adjustRightInd w:val="0"/>
              <w:snapToGrid w:val="0"/>
              <w:spacing w:line="360" w:lineRule="exact"/>
              <w:jc w:val="center"/>
              <w:rPr>
                <w:rFonts w:ascii="宋体" w:hAnsi="宋体" w:cs="宋体"/>
                <w:snapToGrid w:val="0"/>
                <w:kern w:val="0"/>
                <w:szCs w:val="21"/>
              </w:rPr>
            </w:pPr>
            <w:r>
              <w:rPr>
                <w:rFonts w:hint="eastAsia" w:ascii="宋体" w:hAnsi="宋体" w:cs="宋体"/>
                <w:snapToGrid w:val="0"/>
                <w:kern w:val="0"/>
                <w:szCs w:val="21"/>
              </w:rPr>
              <w:t>A</w:t>
            </w:r>
          </w:p>
        </w:tc>
        <w:tc>
          <w:tcPr>
            <w:tcW w:w="2251" w:type="dxa"/>
            <w:noWrap/>
            <w:vAlign w:val="center"/>
          </w:tcPr>
          <w:p w14:paraId="1254F434">
            <w:pPr>
              <w:spacing w:line="360" w:lineRule="exact"/>
              <w:jc w:val="center"/>
              <w:rPr>
                <w:rFonts w:ascii="宋体" w:hAnsi="宋体" w:cs="宋体"/>
                <w:snapToGrid w:val="0"/>
                <w:kern w:val="0"/>
                <w:szCs w:val="21"/>
              </w:rPr>
            </w:pPr>
            <w:r>
              <w:rPr>
                <w:rFonts w:hint="eastAsia" w:ascii="宋体" w:hAnsi="宋体" w:cs="宋体"/>
                <w:snapToGrid w:val="0"/>
                <w:kern w:val="0"/>
                <w:szCs w:val="21"/>
              </w:rPr>
              <w:t>深圳海关辅助执法作业服务项目（东部片区）</w:t>
            </w:r>
          </w:p>
        </w:tc>
        <w:tc>
          <w:tcPr>
            <w:tcW w:w="705" w:type="dxa"/>
            <w:noWrap/>
            <w:vAlign w:val="center"/>
          </w:tcPr>
          <w:p w14:paraId="6177AA4D">
            <w:pPr>
              <w:widowControl/>
              <w:spacing w:line="360" w:lineRule="exact"/>
              <w:jc w:val="center"/>
              <w:rPr>
                <w:rFonts w:ascii="宋体" w:hAnsi="宋体" w:cs="宋体"/>
                <w:snapToGrid w:val="0"/>
                <w:kern w:val="0"/>
                <w:szCs w:val="21"/>
              </w:rPr>
            </w:pPr>
            <w:r>
              <w:rPr>
                <w:rFonts w:hint="eastAsia" w:ascii="宋体" w:hAnsi="宋体" w:cs="宋体"/>
                <w:snapToGrid w:val="0"/>
                <w:kern w:val="0"/>
                <w:szCs w:val="21"/>
              </w:rPr>
              <w:t>1</w:t>
            </w:r>
          </w:p>
        </w:tc>
        <w:tc>
          <w:tcPr>
            <w:tcW w:w="750" w:type="dxa"/>
            <w:noWrap/>
            <w:vAlign w:val="center"/>
          </w:tcPr>
          <w:p w14:paraId="7C116571">
            <w:pPr>
              <w:widowControl/>
              <w:spacing w:line="360" w:lineRule="exact"/>
              <w:jc w:val="center"/>
              <w:rPr>
                <w:rFonts w:ascii="宋体" w:hAnsi="宋体" w:cs="宋体"/>
                <w:snapToGrid w:val="0"/>
                <w:kern w:val="0"/>
                <w:szCs w:val="21"/>
              </w:rPr>
            </w:pPr>
            <w:r>
              <w:rPr>
                <w:rFonts w:ascii="宋体" w:hAnsi="宋体" w:cs="宋体"/>
                <w:snapToGrid w:val="0"/>
                <w:kern w:val="0"/>
                <w:szCs w:val="21"/>
              </w:rPr>
              <w:t>项</w:t>
            </w:r>
          </w:p>
        </w:tc>
        <w:tc>
          <w:tcPr>
            <w:tcW w:w="4389" w:type="dxa"/>
            <w:noWrap/>
            <w:vAlign w:val="center"/>
          </w:tcPr>
          <w:p w14:paraId="2E6E2F81">
            <w:pPr>
              <w:spacing w:line="360" w:lineRule="exact"/>
              <w:rPr>
                <w:rFonts w:ascii="宋体" w:hAnsi="宋体" w:cs="宋体"/>
                <w:snapToGrid w:val="0"/>
                <w:kern w:val="0"/>
                <w:szCs w:val="21"/>
              </w:rPr>
            </w:pPr>
            <w:r>
              <w:rPr>
                <w:rFonts w:hint="eastAsia" w:ascii="宋体" w:hAnsi="宋体"/>
                <w:szCs w:val="21"/>
              </w:rPr>
              <w:t>A包服务范围包含深圳海关下属的皇岗海关、罗湖海关、文锦渡海关、大鹏海关、沙头角海关、西九龙站海关、梅沙海关、莲塘海关、坪山海关等单位或深圳海关指定的其他隶属海关，要求提供辅助执法作业人员</w:t>
            </w:r>
            <w:r>
              <w:rPr>
                <w:rFonts w:hint="eastAsia"/>
              </w:rPr>
              <w:t>（协管员）</w:t>
            </w:r>
            <w:r>
              <w:rPr>
                <w:rFonts w:hint="eastAsia" w:ascii="宋体" w:hAnsi="宋体"/>
                <w:szCs w:val="21"/>
              </w:rPr>
              <w:t>474名。</w:t>
            </w:r>
          </w:p>
        </w:tc>
        <w:tc>
          <w:tcPr>
            <w:tcW w:w="861" w:type="dxa"/>
            <w:noWrap/>
            <w:vAlign w:val="center"/>
          </w:tcPr>
          <w:p w14:paraId="38766FB8">
            <w:pPr>
              <w:widowControl/>
              <w:spacing w:line="360" w:lineRule="exact"/>
              <w:jc w:val="center"/>
              <w:rPr>
                <w:rFonts w:ascii="宋体" w:hAnsi="宋体" w:cs="宋体"/>
                <w:snapToGrid w:val="0"/>
                <w:kern w:val="0"/>
                <w:szCs w:val="21"/>
              </w:rPr>
            </w:pPr>
            <w:r>
              <w:rPr>
                <w:rFonts w:hint="eastAsia" w:ascii="宋体" w:hAnsi="宋体" w:cs="宋体"/>
                <w:snapToGrid w:val="0"/>
                <w:kern w:val="0"/>
                <w:szCs w:val="21"/>
              </w:rPr>
              <w:t>无</w:t>
            </w:r>
          </w:p>
        </w:tc>
      </w:tr>
      <w:tr w14:paraId="749F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727" w:type="dxa"/>
            <w:noWrap/>
            <w:vAlign w:val="center"/>
          </w:tcPr>
          <w:p w14:paraId="35C85436">
            <w:pPr>
              <w:adjustRightInd w:val="0"/>
              <w:snapToGrid w:val="0"/>
              <w:spacing w:line="360" w:lineRule="exact"/>
              <w:jc w:val="center"/>
              <w:rPr>
                <w:rFonts w:ascii="宋体" w:hAnsi="宋体" w:cs="宋体"/>
                <w:snapToGrid w:val="0"/>
                <w:kern w:val="0"/>
                <w:szCs w:val="21"/>
              </w:rPr>
            </w:pPr>
            <w:r>
              <w:rPr>
                <w:rFonts w:hint="eastAsia" w:ascii="宋体" w:hAnsi="宋体" w:cs="宋体"/>
                <w:snapToGrid w:val="0"/>
                <w:kern w:val="0"/>
                <w:szCs w:val="21"/>
              </w:rPr>
              <w:t>B</w:t>
            </w:r>
          </w:p>
        </w:tc>
        <w:tc>
          <w:tcPr>
            <w:tcW w:w="2251" w:type="dxa"/>
            <w:noWrap/>
            <w:vAlign w:val="center"/>
          </w:tcPr>
          <w:p w14:paraId="7EC62E4F">
            <w:pPr>
              <w:spacing w:line="360" w:lineRule="exact"/>
              <w:jc w:val="center"/>
              <w:rPr>
                <w:rFonts w:ascii="宋体" w:hAnsi="宋体" w:cs="宋体"/>
                <w:snapToGrid w:val="0"/>
                <w:kern w:val="0"/>
                <w:szCs w:val="21"/>
              </w:rPr>
            </w:pPr>
            <w:r>
              <w:rPr>
                <w:rFonts w:hint="eastAsia" w:ascii="宋体" w:hAnsi="宋体" w:cs="宋体"/>
                <w:snapToGrid w:val="0"/>
                <w:kern w:val="0"/>
                <w:szCs w:val="21"/>
              </w:rPr>
              <w:t>深圳海关辅助执法作业服务项目（西部片区）</w:t>
            </w:r>
          </w:p>
        </w:tc>
        <w:tc>
          <w:tcPr>
            <w:tcW w:w="705" w:type="dxa"/>
            <w:noWrap/>
            <w:vAlign w:val="center"/>
          </w:tcPr>
          <w:p w14:paraId="1923A4D7">
            <w:pPr>
              <w:widowControl/>
              <w:spacing w:line="360" w:lineRule="exact"/>
              <w:jc w:val="center"/>
              <w:rPr>
                <w:rFonts w:ascii="宋体" w:hAnsi="宋体" w:cs="宋体"/>
                <w:snapToGrid w:val="0"/>
                <w:kern w:val="0"/>
                <w:szCs w:val="21"/>
              </w:rPr>
            </w:pPr>
            <w:r>
              <w:rPr>
                <w:rFonts w:hint="eastAsia" w:ascii="宋体" w:hAnsi="宋体" w:cs="宋体"/>
                <w:snapToGrid w:val="0"/>
                <w:kern w:val="0"/>
                <w:szCs w:val="21"/>
              </w:rPr>
              <w:t>1</w:t>
            </w:r>
          </w:p>
        </w:tc>
        <w:tc>
          <w:tcPr>
            <w:tcW w:w="750" w:type="dxa"/>
            <w:noWrap/>
            <w:vAlign w:val="center"/>
          </w:tcPr>
          <w:p w14:paraId="4AB94A37">
            <w:pPr>
              <w:widowControl/>
              <w:spacing w:line="360" w:lineRule="exact"/>
              <w:jc w:val="center"/>
              <w:rPr>
                <w:rFonts w:ascii="宋体" w:hAnsi="宋体" w:cs="宋体"/>
                <w:snapToGrid w:val="0"/>
                <w:kern w:val="0"/>
                <w:szCs w:val="21"/>
              </w:rPr>
            </w:pPr>
            <w:r>
              <w:rPr>
                <w:rFonts w:ascii="宋体" w:hAnsi="宋体" w:cs="宋体"/>
                <w:snapToGrid w:val="0"/>
                <w:kern w:val="0"/>
                <w:szCs w:val="21"/>
              </w:rPr>
              <w:t>项</w:t>
            </w:r>
          </w:p>
        </w:tc>
        <w:tc>
          <w:tcPr>
            <w:tcW w:w="4389" w:type="dxa"/>
            <w:noWrap/>
            <w:vAlign w:val="center"/>
          </w:tcPr>
          <w:p w14:paraId="500A031D">
            <w:pPr>
              <w:widowControl/>
              <w:spacing w:line="360" w:lineRule="exact"/>
              <w:rPr>
                <w:rFonts w:ascii="宋体" w:hAnsi="宋体" w:cs="宋体"/>
                <w:snapToGrid w:val="0"/>
                <w:kern w:val="0"/>
                <w:szCs w:val="21"/>
              </w:rPr>
            </w:pPr>
            <w:r>
              <w:rPr>
                <w:rFonts w:hint="eastAsia" w:ascii="宋体" w:hAnsi="宋体"/>
                <w:szCs w:val="21"/>
              </w:rPr>
              <w:t>B包服务范围包含深圳海关下属的皇岗海关、深圳宝安机场海关、深圳湾海关、蛇口海关、大铲湾海关、深圳邮局海关、福田海关等单位或深圳海关指定的其他隶属海关，要求提供辅助执法作业人员</w:t>
            </w:r>
            <w:r>
              <w:rPr>
                <w:rFonts w:hint="eastAsia"/>
              </w:rPr>
              <w:t>（协管员）</w:t>
            </w:r>
            <w:r>
              <w:rPr>
                <w:rFonts w:hint="eastAsia" w:ascii="宋体" w:hAnsi="宋体"/>
                <w:szCs w:val="21"/>
              </w:rPr>
              <w:t>486名。</w:t>
            </w:r>
          </w:p>
        </w:tc>
        <w:tc>
          <w:tcPr>
            <w:tcW w:w="861" w:type="dxa"/>
            <w:noWrap/>
            <w:vAlign w:val="center"/>
          </w:tcPr>
          <w:p w14:paraId="5078260C">
            <w:pPr>
              <w:widowControl/>
              <w:spacing w:line="360" w:lineRule="exact"/>
              <w:jc w:val="center"/>
              <w:rPr>
                <w:rFonts w:ascii="宋体" w:hAnsi="宋体" w:cs="宋体"/>
                <w:snapToGrid w:val="0"/>
                <w:kern w:val="0"/>
                <w:szCs w:val="21"/>
              </w:rPr>
            </w:pPr>
            <w:r>
              <w:rPr>
                <w:rFonts w:hint="eastAsia" w:ascii="宋体" w:hAnsi="宋体" w:cs="宋体"/>
                <w:snapToGrid w:val="0"/>
                <w:kern w:val="0"/>
                <w:szCs w:val="21"/>
              </w:rPr>
              <w:t>无</w:t>
            </w:r>
          </w:p>
        </w:tc>
      </w:tr>
    </w:tbl>
    <w:p w14:paraId="7F67961F">
      <w:pPr>
        <w:pStyle w:val="455"/>
        <w:adjustRightInd w:val="0"/>
        <w:snapToGrid w:val="0"/>
        <w:spacing w:beforeLines="50" w:beforeAutospacing="0" w:after="0" w:afterAutospacing="0" w:line="360" w:lineRule="auto"/>
        <w:ind w:firstLine="422" w:firstLineChars="201"/>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合同履行期限：自合同约定之日起一年。该项目为一招两年服务项目，合同一年一签。采购人根据项目需求和中标人履约情况，评估确定是否续签第二年合同。</w:t>
      </w:r>
    </w:p>
    <w:p w14:paraId="622B8F83">
      <w:pPr>
        <w:pStyle w:val="455"/>
        <w:adjustRightInd w:val="0"/>
        <w:snapToGrid w:val="0"/>
        <w:spacing w:before="0" w:beforeAutospacing="0" w:after="0" w:afterAutospacing="0" w:line="360" w:lineRule="auto"/>
        <w:ind w:left="1413" w:leftChars="202" w:hanging="989" w:hangingChars="471"/>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本项目不接受联合体投标。</w:t>
      </w:r>
    </w:p>
    <w:p w14:paraId="3679A462">
      <w:pPr>
        <w:pStyle w:val="411"/>
        <w:ind w:firstLine="420"/>
        <w:rPr>
          <w:rFonts w:ascii="宋体" w:hAnsi="宋体" w:cs="宋体"/>
          <w:snapToGrid w:val="0"/>
          <w:szCs w:val="21"/>
        </w:rPr>
      </w:pPr>
    </w:p>
    <w:p w14:paraId="225E4064">
      <w:pPr>
        <w:widowControl/>
        <w:adjustRightInd w:val="0"/>
        <w:snapToGrid w:val="0"/>
        <w:spacing w:line="360" w:lineRule="auto"/>
        <w:ind w:firstLine="105" w:firstLineChars="50"/>
        <w:jc w:val="left"/>
        <w:rPr>
          <w:rFonts w:ascii="宋体" w:hAnsi="宋体" w:cs="宋体"/>
          <w:b/>
          <w:snapToGrid w:val="0"/>
          <w:kern w:val="0"/>
          <w:szCs w:val="21"/>
        </w:rPr>
      </w:pPr>
      <w:r>
        <w:rPr>
          <w:rFonts w:hint="eastAsia" w:ascii="宋体" w:hAnsi="宋体" w:cs="宋体"/>
          <w:b/>
          <w:snapToGrid w:val="0"/>
          <w:kern w:val="0"/>
          <w:szCs w:val="21"/>
        </w:rPr>
        <w:t>二、申请人的资格要求：</w:t>
      </w:r>
    </w:p>
    <w:p w14:paraId="5B40262A">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1.满足《中华人民共和国政府采购法》第二十二条规定【须提供</w:t>
      </w:r>
      <w:r>
        <w:rPr>
          <w:rFonts w:hint="eastAsia" w:ascii="宋体" w:hAnsi="宋体" w:cs="宋体"/>
          <w:snapToGrid w:val="0"/>
          <w:szCs w:val="21"/>
        </w:rPr>
        <w:t>声明函（格式自拟）以及</w:t>
      </w:r>
      <w:r>
        <w:rPr>
          <w:rFonts w:hint="eastAsia" w:ascii="宋体" w:hAnsi="宋体" w:cs="宋体"/>
          <w:snapToGrid w:val="0"/>
          <w:kern w:val="0"/>
          <w:szCs w:val="21"/>
        </w:rPr>
        <w:t>具有独立承担民事责任能力的法人或其他组织的营业执照或法人证书等证明材料复印件或扫描件。如果是分支机构参与投标，还须同时提供其具有独立法人资格的上级主体出具的有效授权书及上级主体的营业执照或法人证书等证明材料复印件或扫描件；本项目不接受总公司与分支机构同时参与投标，也不接受同一总公司有两个或以上分支机构参与投标，如出现以上情形，该两家或以上投标人均按无效投标处理】：</w:t>
      </w:r>
    </w:p>
    <w:p w14:paraId="7C693F09">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（1）具有独立承担民事责任的能力；</w:t>
      </w:r>
    </w:p>
    <w:p w14:paraId="6A41B600">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（2）具有良好的商业信誉和健全的财务会计制度；</w:t>
      </w:r>
    </w:p>
    <w:p w14:paraId="66F875D1">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（3）具有履行合同所必需的设备和专业技术能力；</w:t>
      </w:r>
    </w:p>
    <w:p w14:paraId="7052C3E7">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（4）有依法缴纳税收和社会保障资金的良好记录；</w:t>
      </w:r>
    </w:p>
    <w:p w14:paraId="0A6C01EA">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（5）参加政府采购活动前三年内，在经营活动中没有重大违法记录；</w:t>
      </w:r>
    </w:p>
    <w:p w14:paraId="3BCE03DA">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（6）法律、行政法规规定的其他条件。</w:t>
      </w:r>
    </w:p>
    <w:p w14:paraId="35421EF7">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2.落实政府采购政策需满足的资格要求：</w:t>
      </w:r>
    </w:p>
    <w:p w14:paraId="420140C9">
      <w:pPr>
        <w:widowControl/>
        <w:adjustRightInd w:val="0"/>
        <w:snapToGrid w:val="0"/>
        <w:spacing w:line="360" w:lineRule="auto"/>
        <w:ind w:firstLine="424" w:firstLineChars="202"/>
        <w:jc w:val="left"/>
        <w:rPr>
          <w:rFonts w:ascii="宋体" w:hAnsi="宋体" w:cs="宋体"/>
          <w:szCs w:val="21"/>
        </w:rPr>
      </w:pPr>
      <w:r>
        <w:rPr>
          <w:rFonts w:hint="eastAsia" w:ascii="宋体" w:hAnsi="宋体" w:cs="宋体"/>
          <w:snapToGrid w:val="0"/>
          <w:kern w:val="0"/>
          <w:szCs w:val="21"/>
        </w:rPr>
        <w:t>（1）</w:t>
      </w:r>
      <w:r>
        <w:rPr>
          <w:rFonts w:hint="eastAsia" w:ascii="宋体" w:hAnsi="宋体" w:cs="宋体"/>
          <w:szCs w:val="21"/>
        </w:rPr>
        <w:t>本项目A包非专门面向中小企业采购；</w:t>
      </w:r>
    </w:p>
    <w:p w14:paraId="4823C059">
      <w:pPr>
        <w:widowControl/>
        <w:adjustRightInd w:val="0"/>
        <w:snapToGrid w:val="0"/>
        <w:spacing w:line="360" w:lineRule="auto"/>
        <w:ind w:firstLine="424" w:firstLineChars="202"/>
        <w:jc w:val="left"/>
        <w:rPr>
          <w:rFonts w:ascii="宋体" w:hAnsi="宋体" w:cs="宋体"/>
          <w:b/>
          <w:bCs/>
          <w:snapToGrid w:val="0"/>
          <w:kern w:val="0"/>
          <w:szCs w:val="21"/>
        </w:rPr>
      </w:pPr>
      <w:r>
        <w:rPr>
          <w:rFonts w:hint="eastAsia" w:ascii="宋体" w:hAnsi="宋体" w:cs="宋体"/>
          <w:szCs w:val="21"/>
        </w:rPr>
        <w:t>（2）本项目B包专门面向中小企业采购（提供符合要求的《中小企业声明函》，且供应商属于中型企业、小型企业或微型企业；如供应商为残疾人福利性单位或监狱企业，视同小型、微型企业，提供《残疾人福利性单位声明函》或《监狱企业声明函》及监狱企业证明文件亦视为符合）。</w:t>
      </w:r>
    </w:p>
    <w:p w14:paraId="336191B1">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3.本项目的特定资格要求：</w:t>
      </w:r>
    </w:p>
    <w:p w14:paraId="1F03752A">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（1）参与本项目采购活动前三年内，在经营活动中没有重大违法记录（由投标人提供</w:t>
      </w:r>
      <w:r>
        <w:rPr>
          <w:rFonts w:hint="eastAsia" w:ascii="宋体" w:hAnsi="宋体" w:cs="宋体"/>
          <w:snapToGrid w:val="0"/>
          <w:szCs w:val="21"/>
        </w:rPr>
        <w:t>声明函</w:t>
      </w:r>
      <w:r>
        <w:rPr>
          <w:rFonts w:hint="eastAsia" w:ascii="宋体" w:hAnsi="宋体" w:cs="宋体"/>
          <w:snapToGrid w:val="0"/>
          <w:kern w:val="0"/>
          <w:szCs w:val="21"/>
        </w:rPr>
        <w:t>，格式自拟）；</w:t>
      </w:r>
    </w:p>
    <w:p w14:paraId="25953740">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（2）参与本项目政府采购活动时不存在被有关部门禁止参与政府采购活动且在有效期内的情况（由投标人提供</w:t>
      </w:r>
      <w:r>
        <w:rPr>
          <w:rFonts w:hint="eastAsia" w:ascii="宋体" w:hAnsi="宋体" w:cs="宋体"/>
          <w:snapToGrid w:val="0"/>
          <w:szCs w:val="21"/>
        </w:rPr>
        <w:t>声明函</w:t>
      </w:r>
      <w:r>
        <w:rPr>
          <w:rFonts w:hint="eastAsia" w:ascii="宋体" w:hAnsi="宋体" w:cs="宋体"/>
          <w:snapToGrid w:val="0"/>
          <w:kern w:val="0"/>
          <w:szCs w:val="21"/>
        </w:rPr>
        <w:t>，格式自拟）；</w:t>
      </w:r>
    </w:p>
    <w:p w14:paraId="59D99CB0">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（3）除单一来源采购项目外，为采购项目提供整体设计、规范编制或者项目管理、监理、检测等服务的供应商，不得再参加该采购项目的其他采购活动（由投标人提供</w:t>
      </w:r>
      <w:r>
        <w:rPr>
          <w:rFonts w:hint="eastAsia" w:ascii="宋体" w:hAnsi="宋体" w:cs="宋体"/>
          <w:snapToGrid w:val="0"/>
          <w:szCs w:val="21"/>
        </w:rPr>
        <w:t>声明函</w:t>
      </w:r>
      <w:r>
        <w:rPr>
          <w:rFonts w:hint="eastAsia" w:ascii="宋体" w:hAnsi="宋体" w:cs="宋体"/>
          <w:snapToGrid w:val="0"/>
          <w:kern w:val="0"/>
          <w:szCs w:val="21"/>
        </w:rPr>
        <w:t>，格式自拟）；</w:t>
      </w:r>
    </w:p>
    <w:p w14:paraId="11986727">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（4）参与本项目政府采购活动不存在与其他采购参加人串通投标，隐瞒真实情况，提供虚假资料等违法违规情形（由投标人提供</w:t>
      </w:r>
      <w:r>
        <w:rPr>
          <w:rFonts w:hint="eastAsia" w:ascii="宋体" w:hAnsi="宋体" w:cs="宋体"/>
          <w:snapToGrid w:val="0"/>
          <w:szCs w:val="21"/>
        </w:rPr>
        <w:t>声明函</w:t>
      </w:r>
      <w:r>
        <w:rPr>
          <w:rFonts w:hint="eastAsia" w:ascii="宋体" w:hAnsi="宋体" w:cs="宋体"/>
          <w:snapToGrid w:val="0"/>
          <w:kern w:val="0"/>
          <w:szCs w:val="21"/>
        </w:rPr>
        <w:t>，格式自拟）；</w:t>
      </w:r>
    </w:p>
    <w:p w14:paraId="14C1F1C3">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5）单位负责人为同一人或者存在直接控股、管理关系的不同供应商，不得参加同一合同项下的政府采购活动，招标代理机构通过国家企业信用信息公示系统（https://www.gsxt.gov.cn/index.html）或机关赋码和事业单位登记管理网（http://www.gjsy.gov.cn/sydwfrxxcx/）或全国社会组织信用信息公示平台（https://xxgs.chinanpo.mca.gov.cn/gsxt/newList）网站查询投标人信息，投标人无需提供证明材料；</w:t>
      </w:r>
    </w:p>
    <w:p w14:paraId="4DF7EB05">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6）未被列入失信被执行人、重大税收违法案件当事人名单及政府采购严重违法失信行为记录名单（信用中国网“信用服务”栏的“重大税收违法失信主体”、“失信被执行人”，中国政府采购网“政府采购严重违法失信行为记录名单”为投标人信用信息查询渠道，相关信息以开标当日的查询结果为准。由招标代理机构查询，投标人无需提供证明材料）；</w:t>
      </w:r>
    </w:p>
    <w:p w14:paraId="4723D9D9">
      <w:pPr>
        <w:widowControl/>
        <w:adjustRightInd w:val="0"/>
        <w:snapToGrid w:val="0"/>
        <w:spacing w:line="360" w:lineRule="auto"/>
        <w:ind w:firstLine="424" w:firstLineChars="202"/>
        <w:rPr>
          <w:rFonts w:ascii="宋体" w:hAnsi="宋体" w:cs="宋体"/>
          <w:snapToGrid w:val="0"/>
          <w:kern w:val="0"/>
          <w:szCs w:val="21"/>
        </w:rPr>
      </w:pPr>
      <w:r>
        <w:rPr>
          <w:rFonts w:hint="eastAsia" w:ascii="宋体" w:hAnsi="宋体" w:cs="宋体"/>
          <w:snapToGrid w:val="0"/>
          <w:kern w:val="0"/>
          <w:szCs w:val="21"/>
        </w:rPr>
        <w:t>（7）本项目不接受联合体投标，不允许挂靠、分包或转包（由投标人提供声明函，格式自拟）；</w:t>
      </w:r>
    </w:p>
    <w:p w14:paraId="4BA6E438">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（8）投标人须至少满足下列任一条件：</w:t>
      </w:r>
    </w:p>
    <w:p w14:paraId="4016BBBE">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①行政主管部门颁发的有效的《劳务派遣经营许可证》（提供《劳务派遣经营许可证》复印件或扫描件）；</w:t>
      </w:r>
    </w:p>
    <w:p w14:paraId="4D29DA20">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②公安机关颁发的有效的《保安服务许可证》（提供《保安服务许可证》复印件或扫描件）；非深圳市登记注册的投标人应同时提供在深圳市公安机关的备案证明复印件或扫描件，或承诺中标后在合同履行前完成在深圳市公安机关的备案（提供《承诺函》，格式自拟）；如国家另有规定的，则适用其规定，投标人须提供相关证明材料。</w:t>
      </w:r>
    </w:p>
    <w:p w14:paraId="7A761F7F">
      <w:pPr>
        <w:pStyle w:val="455"/>
        <w:adjustRightInd w:val="0"/>
        <w:snapToGrid w:val="0"/>
        <w:spacing w:before="0" w:beforeAutospacing="0" w:after="0" w:afterAutospacing="0" w:line="360" w:lineRule="auto"/>
        <w:ind w:firstLine="424" w:firstLineChars="202"/>
        <w:rPr>
          <w:rFonts w:ascii="宋体" w:hAnsi="宋体" w:eastAsia="宋体" w:cs="宋体"/>
          <w:snapToGrid w:val="0"/>
          <w:sz w:val="21"/>
          <w:szCs w:val="21"/>
          <w:highlight w:val="green"/>
        </w:rPr>
      </w:pPr>
    </w:p>
    <w:p w14:paraId="5C6BA7A3">
      <w:pPr>
        <w:widowControl/>
        <w:adjustRightInd w:val="0"/>
        <w:snapToGrid w:val="0"/>
        <w:spacing w:line="360" w:lineRule="auto"/>
        <w:ind w:left="360" w:leftChars="1" w:hanging="358" w:hangingChars="170"/>
        <w:jc w:val="left"/>
        <w:rPr>
          <w:rFonts w:ascii="宋体" w:hAnsi="宋体" w:cs="宋体"/>
          <w:b/>
          <w:snapToGrid w:val="0"/>
          <w:kern w:val="0"/>
          <w:szCs w:val="21"/>
        </w:rPr>
      </w:pPr>
      <w:r>
        <w:rPr>
          <w:rFonts w:hint="eastAsia" w:ascii="宋体" w:hAnsi="宋体" w:cs="宋体"/>
          <w:b/>
          <w:snapToGrid w:val="0"/>
          <w:kern w:val="0"/>
          <w:szCs w:val="21"/>
        </w:rPr>
        <w:t xml:space="preserve">三、获取招标文件 </w:t>
      </w:r>
    </w:p>
    <w:p w14:paraId="7F6B2B2E">
      <w:pPr>
        <w:widowControl/>
        <w:adjustRightInd w:val="0"/>
        <w:snapToGrid w:val="0"/>
        <w:spacing w:line="360" w:lineRule="auto"/>
        <w:ind w:firstLine="426"/>
        <w:jc w:val="left"/>
        <w:rPr>
          <w:rFonts w:ascii="宋体" w:hAnsi="宋体" w:cs="宋体"/>
          <w:snapToGrid w:val="0"/>
          <w:kern w:val="0"/>
          <w:szCs w:val="21"/>
        </w:rPr>
      </w:pPr>
      <w:r>
        <w:rPr>
          <w:rFonts w:hint="eastAsia" w:ascii="宋体" w:hAnsi="宋体" w:cs="宋体"/>
          <w:snapToGrid w:val="0"/>
          <w:kern w:val="0"/>
          <w:szCs w:val="21"/>
        </w:rPr>
        <w:t>1.时间：</w:t>
      </w:r>
      <w:r>
        <w:rPr>
          <w:rFonts w:hint="eastAsia" w:ascii="宋体" w:hAnsi="宋体" w:cs="宋体"/>
          <w:snapToGrid w:val="0"/>
          <w:kern w:val="0"/>
          <w:szCs w:val="21"/>
          <w:u w:val="single"/>
        </w:rPr>
        <w:t>2025年</w:t>
      </w:r>
      <w:r>
        <w:rPr>
          <w:rFonts w:hint="eastAsia" w:ascii="宋体" w:hAnsi="宋体" w:cs="宋体"/>
          <w:snapToGrid w:val="0"/>
          <w:kern w:val="0"/>
          <w:szCs w:val="21"/>
          <w:u w:val="single"/>
          <w:lang w:val="en-US" w:eastAsia="zh-CN"/>
        </w:rPr>
        <w:t>5</w:t>
      </w:r>
      <w:r>
        <w:rPr>
          <w:rFonts w:hint="eastAsia" w:ascii="宋体" w:hAnsi="宋体" w:cs="宋体"/>
          <w:snapToGrid w:val="0"/>
          <w:kern w:val="0"/>
          <w:szCs w:val="21"/>
          <w:u w:val="single"/>
        </w:rPr>
        <w:t>月</w:t>
      </w:r>
      <w:r>
        <w:rPr>
          <w:rFonts w:hint="eastAsia" w:ascii="宋体" w:hAnsi="宋体" w:cs="宋体"/>
          <w:snapToGrid w:val="0"/>
          <w:kern w:val="0"/>
          <w:szCs w:val="21"/>
          <w:u w:val="single"/>
          <w:lang w:val="en-US" w:eastAsia="zh-CN"/>
        </w:rPr>
        <w:t>23</w:t>
      </w:r>
      <w:r>
        <w:rPr>
          <w:rFonts w:hint="eastAsia" w:ascii="宋体" w:hAnsi="宋体" w:cs="宋体"/>
          <w:snapToGrid w:val="0"/>
          <w:kern w:val="0"/>
          <w:szCs w:val="21"/>
          <w:u w:val="single"/>
        </w:rPr>
        <w:t>日至2025年</w:t>
      </w:r>
      <w:r>
        <w:rPr>
          <w:rFonts w:hint="eastAsia" w:ascii="宋体" w:hAnsi="宋体" w:cs="宋体"/>
          <w:snapToGrid w:val="0"/>
          <w:kern w:val="0"/>
          <w:szCs w:val="21"/>
          <w:u w:val="single"/>
          <w:lang w:val="en-US" w:eastAsia="zh-CN"/>
        </w:rPr>
        <w:t>6</w:t>
      </w:r>
      <w:r>
        <w:rPr>
          <w:rFonts w:hint="eastAsia" w:ascii="宋体" w:hAnsi="宋体" w:cs="宋体"/>
          <w:snapToGrid w:val="0"/>
          <w:kern w:val="0"/>
          <w:szCs w:val="21"/>
          <w:u w:val="single"/>
        </w:rPr>
        <w:t>月</w:t>
      </w:r>
      <w:r>
        <w:rPr>
          <w:rFonts w:hint="eastAsia" w:ascii="宋体" w:hAnsi="宋体" w:cs="宋体"/>
          <w:snapToGrid w:val="0"/>
          <w:kern w:val="0"/>
          <w:szCs w:val="21"/>
          <w:u w:val="single"/>
          <w:lang w:val="en-US" w:eastAsia="zh-CN"/>
        </w:rPr>
        <w:t>6</w:t>
      </w:r>
      <w:r>
        <w:rPr>
          <w:rFonts w:hint="eastAsia" w:ascii="宋体" w:hAnsi="宋体" w:cs="宋体"/>
          <w:snapToGrid w:val="0"/>
          <w:kern w:val="0"/>
          <w:szCs w:val="21"/>
          <w:u w:val="single"/>
        </w:rPr>
        <w:t>日，每天上午9：00至11:30，下午14：30至17:30（北京时间，法定节假日除外）</w:t>
      </w:r>
      <w:r>
        <w:rPr>
          <w:rFonts w:hint="eastAsia" w:ascii="宋体" w:hAnsi="宋体" w:cs="宋体"/>
          <w:snapToGrid w:val="0"/>
          <w:kern w:val="0"/>
          <w:szCs w:val="21"/>
        </w:rPr>
        <w:t>。</w:t>
      </w:r>
    </w:p>
    <w:p w14:paraId="34B67962">
      <w:pPr>
        <w:widowControl/>
        <w:adjustRightInd w:val="0"/>
        <w:snapToGrid w:val="0"/>
        <w:spacing w:line="360" w:lineRule="auto"/>
        <w:ind w:firstLine="426"/>
        <w:jc w:val="left"/>
        <w:rPr>
          <w:rFonts w:ascii="宋体" w:hAnsi="宋体" w:cs="宋体"/>
          <w:snapToGrid w:val="0"/>
          <w:kern w:val="0"/>
          <w:szCs w:val="21"/>
        </w:rPr>
      </w:pPr>
      <w:r>
        <w:rPr>
          <w:rFonts w:hint="eastAsia" w:ascii="宋体" w:hAnsi="宋体" w:cs="宋体"/>
          <w:snapToGrid w:val="0"/>
          <w:kern w:val="0"/>
          <w:szCs w:val="21"/>
        </w:rPr>
        <w:t xml:space="preserve">2.地点：深圳市福田区民田路171号新华保险大厦903。 </w:t>
      </w:r>
    </w:p>
    <w:p w14:paraId="5D701ADD">
      <w:pPr>
        <w:widowControl/>
        <w:adjustRightInd w:val="0"/>
        <w:snapToGrid w:val="0"/>
        <w:spacing w:line="360" w:lineRule="auto"/>
        <w:ind w:firstLine="426"/>
        <w:jc w:val="left"/>
        <w:rPr>
          <w:rFonts w:ascii="宋体" w:hAnsi="宋体" w:cs="宋体"/>
          <w:snapToGrid w:val="0"/>
          <w:kern w:val="0"/>
          <w:szCs w:val="21"/>
        </w:rPr>
      </w:pPr>
      <w:r>
        <w:rPr>
          <w:rFonts w:hint="eastAsia" w:ascii="宋体" w:hAnsi="宋体" w:cs="宋体"/>
          <w:snapToGrid w:val="0"/>
          <w:kern w:val="0"/>
          <w:szCs w:val="21"/>
        </w:rPr>
        <w:t>3.方式：现场获取或线上获取</w:t>
      </w:r>
    </w:p>
    <w:p w14:paraId="61BF05BA">
      <w:pPr>
        <w:pStyle w:val="455"/>
        <w:adjustRightInd w:val="0"/>
        <w:snapToGrid w:val="0"/>
        <w:spacing w:before="0" w:beforeAutospacing="0" w:after="0" w:afterAutospacing="0" w:line="360" w:lineRule="auto"/>
        <w:ind w:firstLine="426"/>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（1）现场获取：投标人按以上时间和地点现场报名和获取招标文件（提供加盖公章的《购买标书登记表》），逾期不予受理。</w:t>
      </w:r>
    </w:p>
    <w:p w14:paraId="546C4C29">
      <w:pPr>
        <w:pStyle w:val="455"/>
        <w:adjustRightInd w:val="0"/>
        <w:snapToGrid w:val="0"/>
        <w:spacing w:before="0" w:beforeAutospacing="0" w:after="0" w:afterAutospacing="0" w:line="360" w:lineRule="auto"/>
        <w:ind w:firstLine="426"/>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（2）线上获取：投标人通过邮件报名及获取招标文件，报名时间以我司邮箱收件时间为准（我司邮箱：qtszzzzb@163.com），逾期不予受理。需提供以下资料: ①加盖公章的《购买标书登记表》（下载地址：www.szzzt.com 首页“下载中心”）；②购买招标文件费用的银行转账凭证。</w:t>
      </w:r>
    </w:p>
    <w:p w14:paraId="3698555B">
      <w:pPr>
        <w:pStyle w:val="455"/>
        <w:adjustRightInd w:val="0"/>
        <w:snapToGrid w:val="0"/>
        <w:spacing w:before="0" w:beforeAutospacing="0" w:after="0" w:afterAutospacing="0" w:line="360" w:lineRule="auto"/>
        <w:ind w:firstLine="426"/>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4.售价：人民币600元，采购文件售后不退。购买采购文件账号信息如下：</w:t>
      </w:r>
    </w:p>
    <w:p w14:paraId="70829917">
      <w:pPr>
        <w:pStyle w:val="455"/>
        <w:adjustRightInd w:val="0"/>
        <w:snapToGrid w:val="0"/>
        <w:spacing w:before="0" w:beforeAutospacing="0" w:after="0" w:afterAutospacing="0" w:line="360" w:lineRule="auto"/>
        <w:ind w:firstLine="426"/>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银行账号：03003729353</w:t>
      </w:r>
    </w:p>
    <w:p w14:paraId="5B8E6D62">
      <w:pPr>
        <w:pStyle w:val="455"/>
        <w:adjustRightInd w:val="0"/>
        <w:snapToGrid w:val="0"/>
        <w:spacing w:before="0" w:beforeAutospacing="0" w:after="0" w:afterAutospacing="0" w:line="360" w:lineRule="auto"/>
        <w:ind w:firstLine="426"/>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开户名称：深圳市中正招标有限公司</w:t>
      </w:r>
    </w:p>
    <w:p w14:paraId="5057AF5B">
      <w:pPr>
        <w:pStyle w:val="455"/>
        <w:adjustRightInd w:val="0"/>
        <w:snapToGrid w:val="0"/>
        <w:spacing w:before="0" w:beforeAutospacing="0" w:after="0" w:afterAutospacing="0" w:line="360" w:lineRule="auto"/>
        <w:ind w:firstLine="426"/>
        <w:rPr>
          <w:rFonts w:ascii="宋体" w:hAnsi="宋体" w:eastAsia="宋体" w:cs="宋体"/>
          <w:snapToGrid w:val="0"/>
          <w:color w:val="auto"/>
          <w:sz w:val="21"/>
          <w:szCs w:val="21"/>
        </w:rPr>
      </w:pPr>
      <w:r>
        <w:rPr>
          <w:rFonts w:hint="eastAsia" w:ascii="宋体" w:hAnsi="宋体" w:eastAsia="宋体" w:cs="宋体"/>
          <w:snapToGrid w:val="0"/>
          <w:color w:val="auto"/>
          <w:sz w:val="21"/>
          <w:szCs w:val="21"/>
        </w:rPr>
        <w:t>开户银行：上海银行深圳天安支行</w:t>
      </w:r>
    </w:p>
    <w:p w14:paraId="393EA2EF">
      <w:pPr>
        <w:widowControl/>
        <w:adjustRightInd w:val="0"/>
        <w:snapToGrid w:val="0"/>
        <w:spacing w:line="360" w:lineRule="auto"/>
        <w:ind w:left="360" w:leftChars="1" w:hanging="358" w:hangingChars="170"/>
        <w:jc w:val="left"/>
        <w:rPr>
          <w:rFonts w:ascii="宋体" w:hAnsi="宋体" w:cs="宋体"/>
          <w:b/>
          <w:snapToGrid w:val="0"/>
          <w:kern w:val="0"/>
          <w:szCs w:val="21"/>
        </w:rPr>
      </w:pPr>
    </w:p>
    <w:p w14:paraId="4EDC73EB">
      <w:pPr>
        <w:widowControl/>
        <w:adjustRightInd w:val="0"/>
        <w:snapToGrid w:val="0"/>
        <w:spacing w:line="360" w:lineRule="auto"/>
        <w:ind w:left="360" w:leftChars="1" w:hanging="358" w:hangingChars="170"/>
        <w:jc w:val="left"/>
        <w:rPr>
          <w:rFonts w:ascii="宋体" w:hAnsi="宋体" w:cs="宋体"/>
          <w:b/>
          <w:snapToGrid w:val="0"/>
          <w:kern w:val="0"/>
          <w:szCs w:val="21"/>
        </w:rPr>
      </w:pPr>
      <w:r>
        <w:rPr>
          <w:rFonts w:hint="eastAsia" w:ascii="宋体" w:hAnsi="宋体" w:cs="宋体"/>
          <w:b/>
          <w:snapToGrid w:val="0"/>
          <w:kern w:val="0"/>
          <w:szCs w:val="21"/>
        </w:rPr>
        <w:t>四、提交投标文件截止时间、开标时间和地点</w:t>
      </w:r>
    </w:p>
    <w:p w14:paraId="366E52EE">
      <w:pPr>
        <w:widowControl/>
        <w:adjustRightInd w:val="0"/>
        <w:snapToGrid w:val="0"/>
        <w:spacing w:line="360" w:lineRule="auto"/>
        <w:ind w:firstLine="422" w:firstLineChars="201"/>
        <w:jc w:val="left"/>
        <w:rPr>
          <w:rFonts w:ascii="宋体" w:hAnsi="宋体" w:cs="宋体"/>
          <w:snapToGrid w:val="0"/>
          <w:kern w:val="0"/>
          <w:szCs w:val="21"/>
          <w:u w:val="single"/>
        </w:rPr>
      </w:pPr>
      <w:r>
        <w:rPr>
          <w:rFonts w:hint="eastAsia" w:ascii="宋体" w:hAnsi="宋体" w:cs="宋体"/>
          <w:snapToGrid w:val="0"/>
          <w:kern w:val="0"/>
          <w:szCs w:val="21"/>
        </w:rPr>
        <w:t>1.时间：</w:t>
      </w:r>
      <w:r>
        <w:rPr>
          <w:rFonts w:hint="eastAsia" w:ascii="宋体" w:hAnsi="宋体" w:cs="宋体"/>
          <w:snapToGrid w:val="0"/>
          <w:kern w:val="0"/>
          <w:szCs w:val="21"/>
          <w:u w:val="single"/>
        </w:rPr>
        <w:t>2025年</w:t>
      </w:r>
      <w:r>
        <w:rPr>
          <w:rFonts w:hint="eastAsia" w:ascii="宋体" w:hAnsi="宋体" w:cs="宋体"/>
          <w:snapToGrid w:val="0"/>
          <w:kern w:val="0"/>
          <w:szCs w:val="21"/>
          <w:u w:val="single"/>
          <w:lang w:val="en-US" w:eastAsia="zh-CN"/>
        </w:rPr>
        <w:t>6</w:t>
      </w:r>
      <w:r>
        <w:rPr>
          <w:rFonts w:hint="eastAsia" w:ascii="宋体" w:hAnsi="宋体" w:cs="宋体"/>
          <w:snapToGrid w:val="0"/>
          <w:kern w:val="0"/>
          <w:szCs w:val="21"/>
          <w:u w:val="single"/>
        </w:rPr>
        <w:t>月</w:t>
      </w:r>
      <w:r>
        <w:rPr>
          <w:rFonts w:hint="eastAsia" w:ascii="宋体" w:hAnsi="宋体" w:cs="宋体"/>
          <w:snapToGrid w:val="0"/>
          <w:kern w:val="0"/>
          <w:szCs w:val="21"/>
          <w:u w:val="single"/>
          <w:lang w:val="en-US" w:eastAsia="zh-CN"/>
        </w:rPr>
        <w:t>12</w:t>
      </w:r>
      <w:r>
        <w:rPr>
          <w:rFonts w:hint="eastAsia" w:ascii="宋体" w:hAnsi="宋体" w:cs="宋体"/>
          <w:snapToGrid w:val="0"/>
          <w:kern w:val="0"/>
          <w:szCs w:val="21"/>
          <w:u w:val="single"/>
        </w:rPr>
        <w:t>日</w:t>
      </w:r>
      <w:r>
        <w:rPr>
          <w:rFonts w:hint="eastAsia" w:ascii="宋体" w:hAnsi="宋体" w:cs="宋体"/>
          <w:snapToGrid w:val="0"/>
          <w:kern w:val="0"/>
          <w:szCs w:val="21"/>
          <w:u w:val="single"/>
          <w:lang w:val="en-US" w:eastAsia="zh-CN"/>
        </w:rPr>
        <w:t>9</w:t>
      </w:r>
      <w:r>
        <w:rPr>
          <w:rFonts w:hint="eastAsia" w:ascii="宋体" w:hAnsi="宋体" w:cs="宋体"/>
          <w:snapToGrid w:val="0"/>
          <w:kern w:val="0"/>
          <w:szCs w:val="21"/>
          <w:u w:val="single"/>
        </w:rPr>
        <w:t>点30分（北京时间）。</w:t>
      </w:r>
    </w:p>
    <w:p w14:paraId="4D24690A">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2.地点：</w:t>
      </w:r>
      <w:r>
        <w:rPr>
          <w:rFonts w:hint="eastAsia" w:ascii="宋体" w:hAnsi="宋体" w:cs="宋体"/>
          <w:snapToGrid w:val="0"/>
          <w:kern w:val="0"/>
          <w:szCs w:val="21"/>
          <w:u w:val="single"/>
        </w:rPr>
        <w:t>深圳市福田区民田路171号新华保险大厦903中正招标有限公司会议室。</w:t>
      </w:r>
    </w:p>
    <w:p w14:paraId="3B2756F3">
      <w:pPr>
        <w:widowControl/>
        <w:adjustRightInd w:val="0"/>
        <w:snapToGrid w:val="0"/>
        <w:spacing w:line="360" w:lineRule="auto"/>
        <w:ind w:left="360" w:leftChars="1" w:hanging="358" w:hangingChars="170"/>
        <w:jc w:val="left"/>
        <w:rPr>
          <w:rFonts w:ascii="宋体" w:hAnsi="宋体" w:cs="宋体"/>
          <w:b/>
          <w:snapToGrid w:val="0"/>
          <w:kern w:val="0"/>
          <w:szCs w:val="21"/>
        </w:rPr>
      </w:pPr>
    </w:p>
    <w:p w14:paraId="58338510">
      <w:pPr>
        <w:widowControl/>
        <w:adjustRightInd w:val="0"/>
        <w:snapToGrid w:val="0"/>
        <w:spacing w:line="360" w:lineRule="auto"/>
        <w:ind w:left="360" w:leftChars="1" w:hanging="358" w:hangingChars="170"/>
        <w:jc w:val="left"/>
        <w:rPr>
          <w:rFonts w:ascii="宋体" w:hAnsi="宋体" w:cs="宋体"/>
          <w:b/>
          <w:snapToGrid w:val="0"/>
          <w:kern w:val="0"/>
          <w:szCs w:val="21"/>
        </w:rPr>
      </w:pPr>
      <w:r>
        <w:rPr>
          <w:rFonts w:hint="eastAsia" w:ascii="宋体" w:hAnsi="宋体" w:cs="宋体"/>
          <w:b/>
          <w:snapToGrid w:val="0"/>
          <w:kern w:val="0"/>
          <w:szCs w:val="21"/>
        </w:rPr>
        <w:t>五、公告期限</w:t>
      </w:r>
    </w:p>
    <w:p w14:paraId="245A20FD">
      <w:pPr>
        <w:widowControl/>
        <w:adjustRightInd w:val="0"/>
        <w:snapToGrid w:val="0"/>
        <w:spacing w:line="360" w:lineRule="auto"/>
        <w:ind w:left="359" w:leftChars="171" w:firstLine="65" w:firstLineChars="31"/>
        <w:jc w:val="left"/>
        <w:rPr>
          <w:rFonts w:ascii="宋体" w:hAnsi="宋体" w:cs="宋体"/>
          <w:snapToGrid w:val="0"/>
          <w:kern w:val="0"/>
          <w:szCs w:val="21"/>
        </w:rPr>
      </w:pPr>
      <w:r>
        <w:rPr>
          <w:rFonts w:hint="eastAsia" w:ascii="宋体" w:hAnsi="宋体" w:cs="宋体"/>
          <w:snapToGrid w:val="0"/>
          <w:kern w:val="0"/>
          <w:szCs w:val="21"/>
        </w:rPr>
        <w:t>自本公告发布之日起5个工作日。</w:t>
      </w:r>
    </w:p>
    <w:p w14:paraId="318BF62B">
      <w:pPr>
        <w:widowControl/>
        <w:adjustRightInd w:val="0"/>
        <w:snapToGrid w:val="0"/>
        <w:spacing w:line="360" w:lineRule="auto"/>
        <w:ind w:left="360" w:leftChars="1" w:hanging="358" w:hangingChars="170"/>
        <w:jc w:val="left"/>
        <w:rPr>
          <w:rFonts w:ascii="宋体" w:hAnsi="宋体" w:cs="宋体"/>
          <w:b/>
          <w:snapToGrid w:val="0"/>
          <w:kern w:val="0"/>
          <w:szCs w:val="21"/>
        </w:rPr>
      </w:pPr>
    </w:p>
    <w:p w14:paraId="240B5649">
      <w:pPr>
        <w:widowControl/>
        <w:adjustRightInd w:val="0"/>
        <w:snapToGrid w:val="0"/>
        <w:spacing w:line="360" w:lineRule="auto"/>
        <w:ind w:left="360" w:leftChars="1" w:hanging="358" w:hangingChars="170"/>
        <w:jc w:val="left"/>
        <w:rPr>
          <w:rFonts w:ascii="宋体" w:hAnsi="宋体" w:cs="宋体"/>
          <w:b/>
          <w:snapToGrid w:val="0"/>
          <w:kern w:val="0"/>
          <w:szCs w:val="21"/>
        </w:rPr>
      </w:pPr>
      <w:r>
        <w:rPr>
          <w:rFonts w:hint="eastAsia" w:ascii="宋体" w:hAnsi="宋体" w:cs="宋体"/>
          <w:b/>
          <w:snapToGrid w:val="0"/>
          <w:kern w:val="0"/>
          <w:szCs w:val="21"/>
        </w:rPr>
        <w:t>六、其他补充事宜</w:t>
      </w:r>
    </w:p>
    <w:p w14:paraId="6E6768B3">
      <w:pPr>
        <w:pStyle w:val="19"/>
        <w:spacing w:line="360" w:lineRule="auto"/>
        <w:ind w:firstLine="420" w:firstLineChars="200"/>
        <w:rPr>
          <w:rFonts w:ascii="宋体" w:hAnsi="宋体" w:cs="宋体"/>
          <w:bCs/>
          <w:snapToGrid w:val="0"/>
          <w:u w:val="single"/>
        </w:rPr>
      </w:pPr>
      <w:r>
        <w:rPr>
          <w:rFonts w:hint="eastAsia" w:ascii="宋体" w:hAnsi="宋体" w:cs="宋体"/>
          <w:bCs/>
          <w:snapToGrid w:val="0"/>
        </w:rPr>
        <w:t>1．本项目所属行业为</w:t>
      </w:r>
      <w:r>
        <w:rPr>
          <w:rFonts w:hint="eastAsia"/>
          <w:b/>
          <w:bCs/>
          <w:u w:val="single"/>
        </w:rPr>
        <w:t>租赁和商务服务业</w:t>
      </w:r>
      <w:r>
        <w:rPr>
          <w:rFonts w:hint="eastAsia" w:ascii="宋体" w:hAnsi="宋体" w:cs="宋体"/>
          <w:bCs/>
          <w:snapToGrid w:val="0"/>
        </w:rPr>
        <w:t>。</w:t>
      </w:r>
    </w:p>
    <w:p w14:paraId="5D0D215C">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2.本项目需要落实的政府采购政策：《财政部工业和信息化部关于印发《政府采购促进中小企业发展管理办法》的通知》(财库〔2020〕46号)、《关于政府采购支持监狱企业发展有关问题的通知》(财库〔2014〕68号)、《关于促进残疾人就业政府采购政策的通知》（财库〔2017〕141号)。</w:t>
      </w:r>
    </w:p>
    <w:p w14:paraId="3D325EB7">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3．本项目相关公告在以下媒体发布：</w:t>
      </w:r>
    </w:p>
    <w:p w14:paraId="334DDDA9">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（1）中国政府采购网（www.ccgp.gov.cn）；</w:t>
      </w:r>
    </w:p>
    <w:p w14:paraId="559D1064">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（2）深圳海关门户网（http://shenzhen.customs.gov.cn）；</w:t>
      </w:r>
    </w:p>
    <w:p w14:paraId="4109766D">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（3）深圳市中正招标网（www.szzzt.com）；</w:t>
      </w:r>
    </w:p>
    <w:p w14:paraId="357BC7B8">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napToGrid w:val="0"/>
          <w:kern w:val="0"/>
          <w:szCs w:val="21"/>
        </w:rPr>
        <w:t>相关公告在以上媒体上公布之日即视为有效送达，不再另行通知。</w:t>
      </w:r>
    </w:p>
    <w:p w14:paraId="0E73E1B0">
      <w:pPr>
        <w:widowControl/>
        <w:adjustRightInd w:val="0"/>
        <w:snapToGrid w:val="0"/>
        <w:spacing w:line="360" w:lineRule="auto"/>
        <w:ind w:firstLine="424" w:firstLineChars="202"/>
        <w:jc w:val="left"/>
        <w:rPr>
          <w:rFonts w:ascii="宋体" w:hAnsi="宋体" w:cs="宋体"/>
          <w:snapToGrid w:val="0"/>
          <w:kern w:val="0"/>
          <w:szCs w:val="21"/>
        </w:rPr>
      </w:pPr>
      <w:r>
        <w:rPr>
          <w:rFonts w:hint="eastAsia" w:ascii="宋体" w:hAnsi="宋体" w:cs="宋体"/>
          <w:snapToGrid w:val="0"/>
          <w:kern w:val="0"/>
          <w:szCs w:val="21"/>
        </w:rPr>
        <w:t>4.</w:t>
      </w:r>
      <w:r>
        <w:rPr>
          <w:rFonts w:hint="eastAsia" w:ascii="宋体" w:hAnsi="宋体" w:cs="宋体"/>
          <w:bCs/>
          <w:snapToGrid w:val="0"/>
          <w:szCs w:val="21"/>
        </w:rPr>
        <w:t>本项目投标人可以通过快递方式在提交投标文件截止时间前将投标文件邮寄至我司，送达时间以我司工作人员签收时间为准。快递箱封面需用A4纸清晰标注项目名称、项目编号和投标人名称；投标人自行承担因寄错地址、逾期送达、未按照招标文件要求密封或者邮寄过程中出现包装密封破损等可能导致投标无效情形的责任与后果。投标人未参加开标会的，视同认可开标结果</w:t>
      </w:r>
      <w:r>
        <w:rPr>
          <w:rFonts w:hint="eastAsia" w:ascii="宋体" w:hAnsi="宋体" w:cs="宋体"/>
          <w:bCs/>
          <w:snapToGrid w:val="0"/>
          <w:kern w:val="0"/>
          <w:szCs w:val="21"/>
        </w:rPr>
        <w:t>。</w:t>
      </w:r>
    </w:p>
    <w:p w14:paraId="4B135446">
      <w:pPr>
        <w:widowControl/>
        <w:adjustRightInd w:val="0"/>
        <w:snapToGrid w:val="0"/>
        <w:spacing w:line="360" w:lineRule="auto"/>
        <w:ind w:left="360" w:leftChars="1" w:hanging="358" w:hangingChars="170"/>
        <w:jc w:val="left"/>
        <w:rPr>
          <w:rFonts w:ascii="宋体" w:hAnsi="宋体" w:cs="宋体"/>
          <w:b/>
          <w:snapToGrid w:val="0"/>
          <w:kern w:val="0"/>
          <w:szCs w:val="21"/>
        </w:rPr>
      </w:pPr>
    </w:p>
    <w:p w14:paraId="63C92C2B">
      <w:pPr>
        <w:widowControl/>
        <w:adjustRightInd w:val="0"/>
        <w:snapToGrid w:val="0"/>
        <w:spacing w:line="360" w:lineRule="auto"/>
        <w:ind w:left="360" w:leftChars="1" w:hanging="358" w:hangingChars="170"/>
        <w:jc w:val="left"/>
        <w:rPr>
          <w:rFonts w:ascii="宋体" w:hAnsi="宋体" w:cs="宋体"/>
          <w:b/>
          <w:snapToGrid w:val="0"/>
          <w:kern w:val="0"/>
          <w:szCs w:val="21"/>
        </w:rPr>
      </w:pPr>
      <w:r>
        <w:rPr>
          <w:rFonts w:hint="eastAsia" w:ascii="宋体" w:hAnsi="宋体" w:cs="宋体"/>
          <w:b/>
          <w:snapToGrid w:val="0"/>
          <w:kern w:val="0"/>
          <w:szCs w:val="21"/>
        </w:rPr>
        <w:t>七、凡对本次招标提出询问，请按以下方式联系。</w:t>
      </w:r>
    </w:p>
    <w:p w14:paraId="07EB2979">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1．采购人信息</w:t>
      </w:r>
    </w:p>
    <w:p w14:paraId="0C907DF0">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名称：</w:t>
      </w:r>
      <w:r>
        <w:rPr>
          <w:rFonts w:hint="eastAsia" w:ascii="宋体" w:hAnsi="宋体" w:cs="宋体"/>
        </w:rPr>
        <w:t>中华人民共和国深圳海关</w:t>
      </w:r>
    </w:p>
    <w:p w14:paraId="16A54A88">
      <w:pPr>
        <w:widowControl/>
        <w:adjustRightInd w:val="0"/>
        <w:snapToGrid w:val="0"/>
        <w:spacing w:line="360" w:lineRule="auto"/>
        <w:ind w:firstLine="424" w:firstLineChars="202"/>
        <w:jc w:val="left"/>
        <w:rPr>
          <w:rFonts w:ascii="宋体" w:hAnsi="宋体" w:cs="宋体"/>
        </w:rPr>
      </w:pPr>
      <w:r>
        <w:rPr>
          <w:rFonts w:hint="eastAsia" w:ascii="宋体" w:hAnsi="宋体" w:cs="宋体"/>
        </w:rPr>
        <w:t>地址：深圳市福田区深南大道2006号</w:t>
      </w:r>
    </w:p>
    <w:p w14:paraId="25CD686C">
      <w:pPr>
        <w:widowControl/>
        <w:adjustRightInd w:val="0"/>
        <w:snapToGrid w:val="0"/>
        <w:spacing w:line="360" w:lineRule="auto"/>
        <w:ind w:firstLine="424" w:firstLineChars="202"/>
        <w:jc w:val="left"/>
        <w:rPr>
          <w:rFonts w:ascii="宋体" w:hAnsi="宋体" w:cs="宋体"/>
        </w:rPr>
      </w:pPr>
      <w:r>
        <w:rPr>
          <w:rFonts w:hint="eastAsia" w:ascii="宋体" w:hAnsi="宋体" w:cs="宋体"/>
        </w:rPr>
        <w:t>联系方式：曾先生</w:t>
      </w:r>
      <w:r>
        <w:rPr>
          <w:rFonts w:hint="eastAsia" w:ascii="宋体" w:hAnsi="宋体" w:cs="宋体"/>
          <w:lang w:eastAsia="zh-CN"/>
        </w:rPr>
        <w:t>，</w:t>
      </w:r>
      <w:r>
        <w:rPr>
          <w:rFonts w:hint="eastAsia" w:ascii="宋体" w:hAnsi="宋体" w:cs="宋体"/>
        </w:rPr>
        <w:t>0755-84398653</w:t>
      </w:r>
    </w:p>
    <w:p w14:paraId="63EE6752">
      <w:pPr>
        <w:widowControl/>
        <w:adjustRightInd w:val="0"/>
        <w:snapToGrid w:val="0"/>
        <w:spacing w:line="360" w:lineRule="auto"/>
        <w:ind w:firstLine="424" w:firstLineChars="202"/>
        <w:jc w:val="left"/>
        <w:rPr>
          <w:rFonts w:ascii="宋体" w:hAnsi="宋体" w:cs="宋体"/>
        </w:rPr>
      </w:pPr>
      <w:r>
        <w:rPr>
          <w:rFonts w:hint="eastAsia" w:ascii="宋体" w:hAnsi="宋体" w:cs="宋体"/>
        </w:rPr>
        <w:t>采购人监督投诉电话：0755-84398457</w:t>
      </w:r>
    </w:p>
    <w:p w14:paraId="0862CB89">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2．招标代理机构信息</w:t>
      </w:r>
    </w:p>
    <w:p w14:paraId="51BF9934">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名称：深圳市中正招标有限公司</w:t>
      </w:r>
    </w:p>
    <w:p w14:paraId="285A6209">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地址：深圳市福田区民田路171号新华保险大厦903</w:t>
      </w:r>
    </w:p>
    <w:p w14:paraId="786AC1A3">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联系方式：林工，0755-83026699</w:t>
      </w:r>
    </w:p>
    <w:p w14:paraId="38AD655C">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3．项目联系方式</w:t>
      </w:r>
    </w:p>
    <w:p w14:paraId="7D795979">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项目联系人：林工</w:t>
      </w:r>
    </w:p>
    <w:p w14:paraId="5843AB63">
      <w:pPr>
        <w:widowControl/>
        <w:adjustRightInd w:val="0"/>
        <w:snapToGrid w:val="0"/>
        <w:spacing w:line="360" w:lineRule="auto"/>
        <w:ind w:firstLine="424" w:firstLineChars="202"/>
        <w:jc w:val="left"/>
        <w:rPr>
          <w:rFonts w:ascii="宋体" w:hAnsi="宋体" w:cs="宋体"/>
          <w:bCs/>
          <w:snapToGrid w:val="0"/>
          <w:szCs w:val="21"/>
        </w:rPr>
      </w:pPr>
      <w:r>
        <w:rPr>
          <w:rFonts w:hint="eastAsia" w:ascii="宋体" w:hAnsi="宋体" w:cs="宋体"/>
          <w:bCs/>
          <w:snapToGrid w:val="0"/>
          <w:szCs w:val="21"/>
        </w:rPr>
        <w:t>联系电话：0755-83026699</w:t>
      </w:r>
    </w:p>
    <w:p w14:paraId="2FEC0462">
      <w:pPr>
        <w:widowControl/>
        <w:adjustRightInd w:val="0"/>
        <w:snapToGrid w:val="0"/>
        <w:spacing w:line="360" w:lineRule="auto"/>
        <w:ind w:firstLine="424" w:firstLineChars="202"/>
        <w:jc w:val="left"/>
        <w:rPr>
          <w:rFonts w:ascii="宋体" w:hAnsi="宋体" w:cs="宋体"/>
          <w:bCs/>
          <w:snapToGrid w:val="0"/>
          <w:szCs w:val="21"/>
        </w:rPr>
      </w:pPr>
    </w:p>
    <w:p w14:paraId="611E5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9" w:leftChars="2628" w:hanging="240" w:hangingChars="100"/>
        <w:jc w:val="right"/>
        <w:rPr>
          <w:rFonts w:ascii="宋体" w:hAnsi="宋体"/>
          <w:snapToGrid w:val="0"/>
          <w:kern w:val="0"/>
          <w:sz w:val="24"/>
        </w:rPr>
      </w:pPr>
      <w:r>
        <w:rPr>
          <w:rFonts w:hint="eastAsia" w:ascii="宋体" w:hAnsi="宋体"/>
          <w:snapToGrid w:val="0"/>
          <w:kern w:val="0"/>
          <w:sz w:val="24"/>
        </w:rPr>
        <w:t>深圳市中正招标有限公司</w:t>
      </w:r>
    </w:p>
    <w:p w14:paraId="71D7ADFF">
      <w:pPr>
        <w:tabs>
          <w:tab w:val="left" w:pos="916"/>
          <w:tab w:val="left" w:pos="1832"/>
          <w:tab w:val="left" w:pos="2748"/>
          <w:tab w:val="left" w:pos="3664"/>
          <w:tab w:val="left" w:pos="4580"/>
          <w:tab w:val="left" w:pos="5496"/>
          <w:tab w:val="left" w:pos="6412"/>
          <w:tab w:val="left" w:pos="7215"/>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8" w:leftChars="2742" w:firstLine="480" w:firstLineChars="200"/>
        <w:jc w:val="right"/>
      </w:pPr>
      <w:r>
        <w:rPr>
          <w:rFonts w:hint="eastAsia" w:ascii="宋体" w:hAnsi="宋体"/>
          <w:snapToGrid w:val="0"/>
          <w:kern w:val="0"/>
          <w:sz w:val="24"/>
        </w:rPr>
        <w:t>2025年</w:t>
      </w:r>
      <w:r>
        <w:rPr>
          <w:rFonts w:hint="eastAsia" w:ascii="宋体" w:hAnsi="宋体"/>
          <w:snapToGrid w:val="0"/>
          <w:kern w:val="0"/>
          <w:sz w:val="24"/>
          <w:lang w:val="en-US" w:eastAsia="zh-CN"/>
        </w:rPr>
        <w:t>5</w:t>
      </w:r>
      <w:r>
        <w:rPr>
          <w:rFonts w:hint="eastAsia" w:ascii="宋体" w:hAnsi="宋体"/>
          <w:snapToGrid w:val="0"/>
          <w:kern w:val="0"/>
          <w:sz w:val="24"/>
        </w:rPr>
        <w:t>月</w:t>
      </w:r>
      <w:r>
        <w:rPr>
          <w:rFonts w:hint="eastAsia" w:ascii="宋体" w:hAnsi="宋体"/>
          <w:snapToGrid w:val="0"/>
          <w:kern w:val="0"/>
          <w:sz w:val="24"/>
          <w:lang w:val="en-US" w:eastAsia="zh-CN"/>
        </w:rPr>
        <w:t>22</w:t>
      </w:r>
      <w:r>
        <w:rPr>
          <w:rFonts w:hint="eastAsia" w:ascii="宋体" w:hAnsi="宋体"/>
          <w:snapToGrid w:val="0"/>
          <w:kern w:val="0"/>
          <w:sz w:val="24"/>
        </w:rPr>
        <w:t>日</w:t>
      </w:r>
    </w:p>
    <w:p w14:paraId="3B0DAA1E"/>
    <w:p w14:paraId="4AC651AE"/>
    <w:p w14:paraId="109D5B07"/>
    <w:p w14:paraId="455CADBD"/>
    <w:p w14:paraId="0836FCCA"/>
    <w:p w14:paraId="75A446E5"/>
    <w:p w14:paraId="3218ED2E"/>
    <w:p w14:paraId="71F5FAA2"/>
    <w:p w14:paraId="18D1CE9E"/>
    <w:p w14:paraId="18A10EDD"/>
    <w:p w14:paraId="4F7339C3"/>
    <w:p w14:paraId="73086B95"/>
    <w:p w14:paraId="1D26BDAC"/>
    <w:p w14:paraId="01985A2B"/>
    <w:p w14:paraId="7112808D"/>
    <w:p w14:paraId="59458D04"/>
    <w:p w14:paraId="215C03CB"/>
    <w:p w14:paraId="4A1183D8"/>
    <w:p w14:paraId="480A48A7"/>
    <w:p w14:paraId="6A05454B">
      <w:pPr>
        <w:pStyle w:val="3"/>
      </w:pPr>
      <w:bookmarkStart w:id="1" w:name="_Toc171350577"/>
      <w:r>
        <w:rPr>
          <w:rFonts w:hint="eastAsia"/>
        </w:rPr>
        <w:t>第二章  项目需求</w:t>
      </w:r>
      <w:bookmarkEnd w:id="1"/>
    </w:p>
    <w:p w14:paraId="36769B87">
      <w:pPr>
        <w:spacing w:afterLines="50" w:line="360" w:lineRule="auto"/>
        <w:ind w:left="2"/>
        <w:jc w:val="center"/>
        <w:rPr>
          <w:rFonts w:ascii="宋体" w:hAnsi="宋体"/>
          <w:b/>
          <w:sz w:val="24"/>
        </w:rPr>
      </w:pPr>
      <w:r>
        <w:rPr>
          <w:rFonts w:hint="eastAsia" w:ascii="宋体" w:hAnsi="宋体"/>
          <w:b/>
          <w:sz w:val="24"/>
        </w:rPr>
        <w:t>特别说明</w:t>
      </w:r>
    </w:p>
    <w:p w14:paraId="267F8007">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1、本章项目需求中所出现的工艺、材料、设备或参照的品牌等仅为方便描述而没有限制性，投标人可以在其提供的文件资料中选用替代标准，但这些替代标准要优于或相当于项目需求中要求的标准。</w:t>
      </w:r>
    </w:p>
    <w:p w14:paraId="332706EF">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2、项目需求中要求提供证明材料的，投标文件需提供相应证明材料复印件或扫描件或截图等并注明证明材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w:t>
      </w:r>
    </w:p>
    <w:p w14:paraId="2A3076F3">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3、投标人提供证书或检测报告等证明材料的，颁发证书、出具报告的机构须是合法设立的机构，且具有颁发相应证书或者出具相应报告的资质。</w:t>
      </w:r>
    </w:p>
    <w:p w14:paraId="3914CD8F">
      <w:pPr>
        <w:autoSpaceDE w:val="0"/>
        <w:autoSpaceDN w:val="0"/>
        <w:adjustRightInd w:val="0"/>
        <w:spacing w:line="360" w:lineRule="auto"/>
        <w:ind w:firstLine="480" w:firstLineChars="200"/>
        <w:jc w:val="left"/>
        <w:rPr>
          <w:rFonts w:ascii="仿宋_GB2312" w:eastAsia="仿宋_GB2312"/>
          <w:b/>
          <w:sz w:val="24"/>
        </w:rPr>
      </w:pPr>
      <w:r>
        <w:rPr>
          <w:rFonts w:hint="eastAsia" w:ascii="仿宋_GB2312" w:eastAsia="仿宋_GB2312"/>
          <w:sz w:val="24"/>
        </w:rPr>
        <w:t>4、</w:t>
      </w:r>
      <w:r>
        <w:rPr>
          <w:rFonts w:hint="eastAsia" w:ascii="仿宋_GB2312" w:eastAsia="仿宋_GB2312"/>
          <w:b/>
          <w:sz w:val="24"/>
          <w:highlight w:val="yellow"/>
        </w:rPr>
        <w:t>加注★的条款为不可负偏离的实质性条款，任一项未响应或不满足要求的，将导致投标无效。</w:t>
      </w:r>
    </w:p>
    <w:p w14:paraId="06F78E71">
      <w:pPr>
        <w:pStyle w:val="323"/>
        <w:ind w:firstLine="0" w:firstLineChars="0"/>
        <w:rPr>
          <w:b/>
        </w:rPr>
      </w:pPr>
    </w:p>
    <w:p w14:paraId="6EC1541D">
      <w:pPr>
        <w:pStyle w:val="323"/>
        <w:ind w:firstLine="0" w:firstLineChars="0"/>
        <w:rPr>
          <w:b/>
        </w:rPr>
      </w:pPr>
      <w:r>
        <w:rPr>
          <w:rFonts w:hint="eastAsia"/>
          <w:b/>
        </w:rPr>
        <w:t>一、项目概况</w:t>
      </w:r>
    </w:p>
    <w:p w14:paraId="617A1162">
      <w:pPr>
        <w:pStyle w:val="263"/>
        <w:spacing w:before="156"/>
        <w:ind w:firstLine="0" w:firstLineChars="0"/>
        <w:rPr>
          <w:rFonts w:ascii="宋体" w:hAnsi="宋体" w:eastAsia="宋体"/>
          <w:b/>
        </w:rPr>
      </w:pPr>
      <w:r>
        <w:rPr>
          <w:rFonts w:hint="eastAsia" w:ascii="宋体" w:hAnsi="宋体" w:eastAsia="宋体"/>
          <w:b/>
        </w:rPr>
        <w:t>（一）采购需求</w:t>
      </w:r>
    </w:p>
    <w:tbl>
      <w:tblPr>
        <w:tblStyle w:val="50"/>
        <w:tblW w:w="9796" w:type="dxa"/>
        <w:tblInd w:w="0" w:type="dxa"/>
        <w:tblLayout w:type="fixed"/>
        <w:tblCellMar>
          <w:top w:w="15" w:type="dxa"/>
          <w:left w:w="15" w:type="dxa"/>
          <w:bottom w:w="15" w:type="dxa"/>
          <w:right w:w="15" w:type="dxa"/>
        </w:tblCellMar>
      </w:tblPr>
      <w:tblGrid>
        <w:gridCol w:w="866"/>
        <w:gridCol w:w="3685"/>
        <w:gridCol w:w="921"/>
        <w:gridCol w:w="922"/>
        <w:gridCol w:w="1701"/>
        <w:gridCol w:w="1701"/>
      </w:tblGrid>
      <w:tr w14:paraId="7FE88FA8">
        <w:tblPrEx>
          <w:tblCellMar>
            <w:top w:w="15" w:type="dxa"/>
            <w:left w:w="15" w:type="dxa"/>
            <w:bottom w:w="15" w:type="dxa"/>
            <w:right w:w="15" w:type="dxa"/>
          </w:tblCellMar>
        </w:tblPrEx>
        <w:trPr>
          <w:trHeight w:val="689" w:hRule="atLeast"/>
        </w:trPr>
        <w:tc>
          <w:tcPr>
            <w:tcW w:w="866" w:type="dxa"/>
            <w:tcBorders>
              <w:top w:val="single" w:color="000000" w:sz="4" w:space="0"/>
              <w:left w:val="single" w:color="000000" w:sz="4" w:space="0"/>
              <w:right w:val="single" w:color="000000" w:sz="4" w:space="0"/>
            </w:tcBorders>
            <w:vAlign w:val="center"/>
          </w:tcPr>
          <w:p w14:paraId="2352E9E1">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包号</w:t>
            </w:r>
          </w:p>
        </w:tc>
        <w:tc>
          <w:tcPr>
            <w:tcW w:w="3685" w:type="dxa"/>
            <w:tcBorders>
              <w:top w:val="single" w:color="000000" w:sz="4" w:space="0"/>
              <w:left w:val="single" w:color="000000" w:sz="4" w:space="0"/>
              <w:bottom w:val="single" w:color="000000" w:sz="4" w:space="0"/>
              <w:right w:val="single" w:color="000000" w:sz="4" w:space="0"/>
            </w:tcBorders>
            <w:vAlign w:val="center"/>
          </w:tcPr>
          <w:p w14:paraId="491B2762">
            <w:pPr>
              <w:widowControl/>
              <w:adjustRightInd w:val="0"/>
              <w:snapToGrid w:val="0"/>
              <w:spacing w:line="360" w:lineRule="auto"/>
              <w:jc w:val="center"/>
              <w:textAlignment w:val="center"/>
              <w:rPr>
                <w:rFonts w:ascii="宋体" w:hAnsi="宋体" w:cs="宋体"/>
                <w:b/>
                <w:color w:val="FF0000"/>
                <w:szCs w:val="21"/>
              </w:rPr>
            </w:pPr>
            <w:r>
              <w:rPr>
                <w:rFonts w:hint="eastAsia" w:ascii="宋体" w:hAnsi="宋体" w:cs="宋体"/>
                <w:b/>
                <w:color w:val="FF0000"/>
                <w:szCs w:val="21"/>
              </w:rPr>
              <w:t>标的名称</w:t>
            </w:r>
          </w:p>
        </w:tc>
        <w:tc>
          <w:tcPr>
            <w:tcW w:w="921" w:type="dxa"/>
            <w:tcBorders>
              <w:top w:val="single" w:color="000000" w:sz="4" w:space="0"/>
              <w:left w:val="single" w:color="000000" w:sz="4" w:space="0"/>
              <w:bottom w:val="single" w:color="000000" w:sz="4" w:space="0"/>
              <w:right w:val="single" w:color="000000" w:sz="4" w:space="0"/>
            </w:tcBorders>
            <w:vAlign w:val="center"/>
          </w:tcPr>
          <w:p w14:paraId="7D07B572">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数量</w:t>
            </w:r>
          </w:p>
        </w:tc>
        <w:tc>
          <w:tcPr>
            <w:tcW w:w="922" w:type="dxa"/>
            <w:tcBorders>
              <w:top w:val="single" w:color="000000" w:sz="4" w:space="0"/>
              <w:left w:val="single" w:color="000000" w:sz="4" w:space="0"/>
              <w:bottom w:val="single" w:color="000000" w:sz="4" w:space="0"/>
              <w:right w:val="single" w:color="000000" w:sz="4" w:space="0"/>
            </w:tcBorders>
            <w:vAlign w:val="center"/>
          </w:tcPr>
          <w:p w14:paraId="760A68F8">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单位</w:t>
            </w:r>
          </w:p>
        </w:tc>
        <w:tc>
          <w:tcPr>
            <w:tcW w:w="1701" w:type="dxa"/>
            <w:tcBorders>
              <w:top w:val="single" w:color="000000" w:sz="4" w:space="0"/>
              <w:left w:val="single" w:color="000000" w:sz="4" w:space="0"/>
              <w:bottom w:val="single" w:color="000000" w:sz="4" w:space="0"/>
              <w:right w:val="single" w:color="000000" w:sz="4" w:space="0"/>
            </w:tcBorders>
            <w:vAlign w:val="center"/>
          </w:tcPr>
          <w:p w14:paraId="3013C978">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采购预算金额</w:t>
            </w:r>
          </w:p>
          <w:p w14:paraId="0EB6EB91">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（人民币元）</w:t>
            </w:r>
          </w:p>
        </w:tc>
        <w:tc>
          <w:tcPr>
            <w:tcW w:w="1701" w:type="dxa"/>
            <w:tcBorders>
              <w:top w:val="single" w:color="000000" w:sz="4" w:space="0"/>
              <w:left w:val="single" w:color="000000" w:sz="4" w:space="0"/>
              <w:bottom w:val="single" w:color="000000" w:sz="4" w:space="0"/>
              <w:right w:val="single" w:color="000000" w:sz="4" w:space="0"/>
            </w:tcBorders>
            <w:vAlign w:val="center"/>
          </w:tcPr>
          <w:p w14:paraId="6EF83636">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备注</w:t>
            </w:r>
          </w:p>
        </w:tc>
      </w:tr>
      <w:tr w14:paraId="48B6093C">
        <w:tblPrEx>
          <w:tblCellMar>
            <w:top w:w="15" w:type="dxa"/>
            <w:left w:w="15" w:type="dxa"/>
            <w:bottom w:w="15" w:type="dxa"/>
            <w:right w:w="15" w:type="dxa"/>
          </w:tblCellMar>
        </w:tblPrEx>
        <w:trPr>
          <w:trHeight w:val="799"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644AD482">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A</w:t>
            </w:r>
          </w:p>
        </w:tc>
        <w:tc>
          <w:tcPr>
            <w:tcW w:w="3685" w:type="dxa"/>
            <w:tcBorders>
              <w:top w:val="single" w:color="000000" w:sz="4" w:space="0"/>
              <w:left w:val="single" w:color="000000" w:sz="4" w:space="0"/>
              <w:bottom w:val="single" w:color="000000" w:sz="4" w:space="0"/>
              <w:right w:val="single" w:color="000000" w:sz="4" w:space="0"/>
            </w:tcBorders>
            <w:vAlign w:val="center"/>
          </w:tcPr>
          <w:p w14:paraId="48426310">
            <w:pPr>
              <w:spacing w:line="360" w:lineRule="auto"/>
              <w:jc w:val="center"/>
              <w:rPr>
                <w:rFonts w:ascii="宋体" w:hAnsi="宋体" w:cs="宋体"/>
                <w:szCs w:val="21"/>
              </w:rPr>
            </w:pPr>
            <w:r>
              <w:rPr>
                <w:rFonts w:hint="eastAsia" w:ascii="宋体" w:hAnsi="宋体" w:cs="宋体"/>
                <w:snapToGrid w:val="0"/>
                <w:kern w:val="0"/>
                <w:szCs w:val="21"/>
              </w:rPr>
              <w:t>深圳海关辅助执法作业服务项目（东部片区）</w:t>
            </w:r>
          </w:p>
        </w:tc>
        <w:tc>
          <w:tcPr>
            <w:tcW w:w="921" w:type="dxa"/>
            <w:tcBorders>
              <w:top w:val="single" w:color="000000" w:sz="4" w:space="0"/>
              <w:left w:val="single" w:color="000000" w:sz="4" w:space="0"/>
              <w:bottom w:val="single" w:color="000000" w:sz="4" w:space="0"/>
              <w:right w:val="single" w:color="000000" w:sz="4" w:space="0"/>
            </w:tcBorders>
            <w:vAlign w:val="center"/>
          </w:tcPr>
          <w:p w14:paraId="2FC7D7A3">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1</w:t>
            </w:r>
          </w:p>
        </w:tc>
        <w:tc>
          <w:tcPr>
            <w:tcW w:w="922" w:type="dxa"/>
            <w:tcBorders>
              <w:top w:val="single" w:color="000000" w:sz="4" w:space="0"/>
              <w:left w:val="single" w:color="000000" w:sz="4" w:space="0"/>
              <w:bottom w:val="single" w:color="000000" w:sz="4" w:space="0"/>
              <w:right w:val="single" w:color="000000" w:sz="4" w:space="0"/>
            </w:tcBorders>
            <w:vAlign w:val="center"/>
          </w:tcPr>
          <w:p w14:paraId="2D283789">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项</w:t>
            </w:r>
          </w:p>
        </w:tc>
        <w:tc>
          <w:tcPr>
            <w:tcW w:w="1701" w:type="dxa"/>
            <w:tcBorders>
              <w:top w:val="single" w:color="000000" w:sz="4" w:space="0"/>
              <w:left w:val="single" w:color="000000" w:sz="4" w:space="0"/>
              <w:bottom w:val="single" w:color="000000" w:sz="4" w:space="0"/>
              <w:right w:val="single" w:color="000000" w:sz="4" w:space="0"/>
            </w:tcBorders>
            <w:vAlign w:val="center"/>
          </w:tcPr>
          <w:p w14:paraId="02FDCED6">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47,961,216.00</w:t>
            </w:r>
          </w:p>
        </w:tc>
        <w:tc>
          <w:tcPr>
            <w:tcW w:w="1701" w:type="dxa"/>
            <w:vMerge w:val="restart"/>
            <w:tcBorders>
              <w:top w:val="single" w:color="000000" w:sz="4" w:space="0"/>
              <w:left w:val="single" w:color="000000" w:sz="4" w:space="0"/>
              <w:right w:val="single" w:color="000000" w:sz="4" w:space="0"/>
            </w:tcBorders>
            <w:vAlign w:val="center"/>
          </w:tcPr>
          <w:p w14:paraId="40CC54AF">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本项目预算总金额为：人民币97,136,640.00元</w:t>
            </w:r>
          </w:p>
        </w:tc>
      </w:tr>
      <w:tr w14:paraId="6EEFD316">
        <w:tblPrEx>
          <w:tblCellMar>
            <w:top w:w="15" w:type="dxa"/>
            <w:left w:w="15" w:type="dxa"/>
            <w:bottom w:w="15" w:type="dxa"/>
            <w:right w:w="15" w:type="dxa"/>
          </w:tblCellMar>
        </w:tblPrEx>
        <w:trPr>
          <w:trHeight w:val="799"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6B6B64F9">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B</w:t>
            </w:r>
          </w:p>
        </w:tc>
        <w:tc>
          <w:tcPr>
            <w:tcW w:w="3685" w:type="dxa"/>
            <w:tcBorders>
              <w:top w:val="single" w:color="000000" w:sz="4" w:space="0"/>
              <w:left w:val="single" w:color="000000" w:sz="4" w:space="0"/>
              <w:bottom w:val="single" w:color="000000" w:sz="4" w:space="0"/>
              <w:right w:val="single" w:color="000000" w:sz="4" w:space="0"/>
            </w:tcBorders>
            <w:vAlign w:val="center"/>
          </w:tcPr>
          <w:p w14:paraId="49AF7C06">
            <w:pPr>
              <w:spacing w:line="360" w:lineRule="auto"/>
              <w:jc w:val="center"/>
              <w:rPr>
                <w:rFonts w:ascii="宋体" w:hAnsi="宋体" w:cs="宋体"/>
                <w:snapToGrid w:val="0"/>
                <w:szCs w:val="21"/>
              </w:rPr>
            </w:pPr>
            <w:r>
              <w:rPr>
                <w:rFonts w:hint="eastAsia" w:ascii="宋体" w:hAnsi="宋体" w:cs="宋体"/>
                <w:snapToGrid w:val="0"/>
                <w:kern w:val="0"/>
                <w:szCs w:val="21"/>
              </w:rPr>
              <w:t>深圳海关辅助执法作业服务项目（西部片区）</w:t>
            </w:r>
          </w:p>
        </w:tc>
        <w:tc>
          <w:tcPr>
            <w:tcW w:w="921" w:type="dxa"/>
            <w:tcBorders>
              <w:top w:val="single" w:color="000000" w:sz="4" w:space="0"/>
              <w:left w:val="single" w:color="000000" w:sz="4" w:space="0"/>
              <w:bottom w:val="single" w:color="000000" w:sz="4" w:space="0"/>
              <w:right w:val="single" w:color="000000" w:sz="4" w:space="0"/>
            </w:tcBorders>
            <w:vAlign w:val="center"/>
          </w:tcPr>
          <w:p w14:paraId="20D6A8C7">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1</w:t>
            </w:r>
          </w:p>
        </w:tc>
        <w:tc>
          <w:tcPr>
            <w:tcW w:w="922" w:type="dxa"/>
            <w:tcBorders>
              <w:top w:val="single" w:color="000000" w:sz="4" w:space="0"/>
              <w:left w:val="single" w:color="000000" w:sz="4" w:space="0"/>
              <w:bottom w:val="single" w:color="000000" w:sz="4" w:space="0"/>
              <w:right w:val="single" w:color="000000" w:sz="4" w:space="0"/>
            </w:tcBorders>
            <w:vAlign w:val="center"/>
          </w:tcPr>
          <w:p w14:paraId="0B7C286F">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项</w:t>
            </w:r>
          </w:p>
        </w:tc>
        <w:tc>
          <w:tcPr>
            <w:tcW w:w="1701" w:type="dxa"/>
            <w:tcBorders>
              <w:top w:val="single" w:color="000000" w:sz="4" w:space="0"/>
              <w:left w:val="single" w:color="000000" w:sz="4" w:space="0"/>
              <w:bottom w:val="single" w:color="000000" w:sz="4" w:space="0"/>
              <w:right w:val="single" w:color="000000" w:sz="4" w:space="0"/>
            </w:tcBorders>
            <w:vAlign w:val="center"/>
          </w:tcPr>
          <w:p w14:paraId="272353B7">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49,175,424.00</w:t>
            </w:r>
          </w:p>
        </w:tc>
        <w:tc>
          <w:tcPr>
            <w:tcW w:w="1701" w:type="dxa"/>
            <w:vMerge w:val="continue"/>
            <w:tcBorders>
              <w:left w:val="single" w:color="000000" w:sz="4" w:space="0"/>
              <w:bottom w:val="single" w:color="000000" w:sz="4" w:space="0"/>
              <w:right w:val="single" w:color="000000" w:sz="4" w:space="0"/>
            </w:tcBorders>
            <w:vAlign w:val="center"/>
          </w:tcPr>
          <w:p w14:paraId="3DBAC0F7">
            <w:pPr>
              <w:widowControl/>
              <w:adjustRightInd w:val="0"/>
              <w:snapToGrid w:val="0"/>
              <w:spacing w:line="360" w:lineRule="auto"/>
              <w:jc w:val="center"/>
              <w:textAlignment w:val="center"/>
              <w:rPr>
                <w:rFonts w:ascii="宋体" w:hAnsi="宋体" w:cs="宋体"/>
                <w:szCs w:val="21"/>
              </w:rPr>
            </w:pPr>
          </w:p>
        </w:tc>
      </w:tr>
    </w:tbl>
    <w:p w14:paraId="7987A1E7">
      <w:pPr>
        <w:pStyle w:val="263"/>
        <w:spacing w:before="156" w:line="360" w:lineRule="auto"/>
        <w:ind w:firstLine="0" w:firstLineChars="0"/>
        <w:rPr>
          <w:rFonts w:ascii="宋体" w:hAnsi="宋体" w:eastAsia="宋体"/>
          <w:b/>
        </w:rPr>
      </w:pPr>
      <w:r>
        <w:rPr>
          <w:rFonts w:hint="eastAsia" w:ascii="宋体" w:hAnsi="宋体" w:eastAsia="宋体"/>
          <w:b/>
        </w:rPr>
        <w:t>（二）项目基本情况</w:t>
      </w:r>
    </w:p>
    <w:p w14:paraId="41527000">
      <w:pPr>
        <w:spacing w:line="360" w:lineRule="auto"/>
        <w:ind w:firstLine="420" w:firstLineChars="200"/>
        <w:jc w:val="left"/>
        <w:rPr>
          <w:rFonts w:hint="eastAsia" w:ascii="宋体" w:hAnsi="宋体" w:cs="宋体"/>
          <w:szCs w:val="21"/>
        </w:rPr>
      </w:pPr>
      <w:r>
        <w:rPr>
          <w:rFonts w:hint="eastAsia" w:ascii="宋体" w:hAnsi="宋体" w:cs="宋体"/>
          <w:szCs w:val="21"/>
        </w:rPr>
        <w:t>为解决深圳海关东部、西部片区隶属海关业务现场监管力量缺口，本项目拟采购辅助执法作业服务，配合采购单位在东部、西部片区隶属海关业务现场从事不涉及海关行政执法权力的辅助性工作及提供保安服务，共需辅助执法人员</w:t>
      </w:r>
      <w:r>
        <w:rPr>
          <w:rFonts w:hint="eastAsia"/>
        </w:rPr>
        <w:t>（协管员）</w:t>
      </w:r>
      <w:r>
        <w:rPr>
          <w:rFonts w:hint="eastAsia" w:ascii="宋体" w:hAnsi="宋体" w:cs="宋体"/>
          <w:szCs w:val="21"/>
        </w:rPr>
        <w:t>960名。</w:t>
      </w:r>
    </w:p>
    <w:p w14:paraId="4C5A5668">
      <w:pPr>
        <w:pStyle w:val="8"/>
      </w:pPr>
    </w:p>
    <w:p w14:paraId="2F2FA372">
      <w:pPr>
        <w:pStyle w:val="323"/>
        <w:ind w:firstLine="0" w:firstLineChars="0"/>
        <w:rPr>
          <w:b/>
        </w:rPr>
      </w:pPr>
      <w:r>
        <w:rPr>
          <w:rFonts w:hint="eastAsia"/>
          <w:b/>
        </w:rPr>
        <w:t>二、项目服务要求</w:t>
      </w:r>
    </w:p>
    <w:p w14:paraId="078AA620">
      <w:pPr>
        <w:spacing w:line="360" w:lineRule="auto"/>
        <w:ind w:firstLine="422" w:firstLineChars="200"/>
        <w:jc w:val="left"/>
        <w:rPr>
          <w:rFonts w:ascii="宋体" w:hAnsi="宋体" w:cs="宋体"/>
          <w:b/>
          <w:bCs/>
          <w:szCs w:val="21"/>
        </w:rPr>
      </w:pPr>
      <w:r>
        <w:rPr>
          <w:rFonts w:hint="eastAsia" w:ascii="宋体" w:hAnsi="宋体" w:cs="宋体"/>
          <w:b/>
          <w:bCs/>
          <w:szCs w:val="21"/>
        </w:rPr>
        <w:t>1、服务范围：</w:t>
      </w:r>
    </w:p>
    <w:p w14:paraId="23810FD0">
      <w:pPr>
        <w:spacing w:line="360" w:lineRule="auto"/>
        <w:ind w:firstLine="420" w:firstLineChars="200"/>
        <w:jc w:val="left"/>
        <w:rPr>
          <w:rFonts w:ascii="宋体" w:hAnsi="宋体" w:cs="宋体"/>
          <w:szCs w:val="21"/>
        </w:rPr>
      </w:pPr>
      <w:r>
        <w:rPr>
          <w:rFonts w:hint="eastAsia" w:ascii="宋体" w:hAnsi="宋体"/>
          <w:szCs w:val="21"/>
        </w:rPr>
        <w:t>为深圳海关指定的隶属海关业务现场提供辅助执法作业人员，进行辅助执法作业服务，从事不涉及海关行政执法权力的辅助性工作及提供保安服务。其中：A包服务范围包含深圳海关下属的皇岗海关、罗湖海关、文锦渡海关、大鹏海关、沙头角海关、西九龙站海关、梅沙海关、莲塘海关、坪山海关等单位或深圳海关指定的其他隶属海关，要求提供辅助执法作业人员</w:t>
      </w:r>
      <w:r>
        <w:rPr>
          <w:rFonts w:hint="eastAsia"/>
        </w:rPr>
        <w:t>（协管员）</w:t>
      </w:r>
      <w:r>
        <w:rPr>
          <w:rFonts w:hint="eastAsia" w:ascii="宋体" w:hAnsi="宋体"/>
          <w:szCs w:val="21"/>
        </w:rPr>
        <w:t>474名；B包服务范围包含深圳海关下属的皇岗海关、深圳宝安机场海关、深圳湾海关、蛇口海关、大铲湾海关、深圳邮局海关、福田海关等单位或深圳海关指定的其他隶属海关，要求提供辅助执法作业人员</w:t>
      </w:r>
      <w:r>
        <w:rPr>
          <w:rFonts w:hint="eastAsia"/>
        </w:rPr>
        <w:t>（协管员）</w:t>
      </w:r>
      <w:r>
        <w:rPr>
          <w:rFonts w:hint="eastAsia" w:ascii="宋体" w:hAnsi="宋体"/>
          <w:szCs w:val="21"/>
        </w:rPr>
        <w:t>486名。</w:t>
      </w:r>
    </w:p>
    <w:p w14:paraId="15D10C26">
      <w:pPr>
        <w:numPr>
          <w:ilvl w:val="0"/>
          <w:numId w:val="4"/>
        </w:numPr>
        <w:spacing w:line="360" w:lineRule="auto"/>
        <w:ind w:firstLine="422" w:firstLineChars="200"/>
        <w:jc w:val="left"/>
        <w:rPr>
          <w:rFonts w:ascii="宋体" w:hAnsi="宋体" w:cs="宋体"/>
          <w:b/>
          <w:bCs/>
          <w:szCs w:val="21"/>
        </w:rPr>
      </w:pPr>
      <w:r>
        <w:rPr>
          <w:rFonts w:hint="eastAsia" w:ascii="宋体" w:hAnsi="宋体" w:cs="宋体"/>
          <w:b/>
          <w:bCs/>
          <w:szCs w:val="21"/>
        </w:rPr>
        <w:t>具体服务要求：</w:t>
      </w:r>
    </w:p>
    <w:p w14:paraId="772BE5C0">
      <w:pPr>
        <w:spacing w:line="360" w:lineRule="auto"/>
        <w:ind w:firstLine="420" w:firstLineChars="200"/>
        <w:rPr>
          <w:rFonts w:ascii="宋体" w:hAnsi="宋体" w:cs="宋体"/>
          <w:szCs w:val="21"/>
          <w:highlight w:val="yellow"/>
        </w:rPr>
      </w:pPr>
      <w:r>
        <w:rPr>
          <w:rFonts w:hint="eastAsia" w:ascii="宋体" w:hAnsi="宋体" w:cs="宋体"/>
          <w:szCs w:val="21"/>
          <w:highlight w:val="yellow"/>
        </w:rPr>
        <w:t>★2.1 中标供应商</w:t>
      </w:r>
      <w:r>
        <w:rPr>
          <w:rFonts w:hint="eastAsia" w:ascii="宋体" w:hAnsi="宋体" w:cs="宋体"/>
          <w:color w:val="000000" w:themeColor="text1"/>
          <w:szCs w:val="21"/>
          <w:highlight w:val="yellow"/>
          <w14:textFill>
            <w14:solidFill>
              <w14:schemeClr w14:val="tx1"/>
            </w14:solidFill>
          </w14:textFill>
        </w:rPr>
        <w:t>参与提供辅助性作业服务</w:t>
      </w:r>
      <w:r>
        <w:rPr>
          <w:rFonts w:hint="eastAsia" w:ascii="宋体" w:hAnsi="宋体" w:cs="宋体"/>
          <w:szCs w:val="21"/>
          <w:highlight w:val="yellow"/>
        </w:rPr>
        <w:t>的协管员应具备以下条件：</w:t>
      </w:r>
    </w:p>
    <w:p w14:paraId="2D025AEB">
      <w:pPr>
        <w:spacing w:line="360" w:lineRule="auto"/>
        <w:ind w:firstLine="420" w:firstLineChars="200"/>
        <w:rPr>
          <w:rFonts w:ascii="宋体" w:hAnsi="宋体" w:cs="宋体"/>
          <w:szCs w:val="21"/>
          <w:highlight w:val="yellow"/>
        </w:rPr>
      </w:pPr>
      <w:r>
        <w:rPr>
          <w:rFonts w:hint="eastAsia" w:ascii="宋体" w:hAnsi="宋体" w:cs="宋体"/>
          <w:szCs w:val="21"/>
          <w:highlight w:val="yellow"/>
        </w:rPr>
        <w:t>2.1.1 拥护中华人民共和国宪法、遵守国家法律法规，具有良好的品行；</w:t>
      </w:r>
    </w:p>
    <w:p w14:paraId="5F0FF399">
      <w:pPr>
        <w:spacing w:line="360" w:lineRule="auto"/>
        <w:ind w:firstLine="420" w:firstLineChars="200"/>
        <w:rPr>
          <w:rFonts w:ascii="宋体" w:hAnsi="宋体" w:cs="宋体"/>
          <w:szCs w:val="21"/>
          <w:highlight w:val="yellow"/>
        </w:rPr>
      </w:pPr>
      <w:r>
        <w:rPr>
          <w:rFonts w:hint="eastAsia" w:ascii="宋体" w:hAnsi="宋体" w:cs="宋体"/>
          <w:szCs w:val="21"/>
          <w:highlight w:val="yellow"/>
        </w:rPr>
        <w:t>2.1.2 年龄为20周岁及以上，35周岁及以下，如协管员具有采购人认可的岗位所需的工作技能或经验，可适当放宽</w:t>
      </w:r>
      <w:r>
        <w:rPr>
          <w:rFonts w:hint="eastAsia"/>
          <w:highlight w:val="yellow"/>
        </w:rPr>
        <w:t>年龄要求</w:t>
      </w:r>
      <w:r>
        <w:rPr>
          <w:rFonts w:hint="eastAsia" w:ascii="宋体" w:hAnsi="宋体" w:cs="宋体"/>
          <w:szCs w:val="21"/>
          <w:highlight w:val="yellow"/>
        </w:rPr>
        <w:t>；</w:t>
      </w:r>
    </w:p>
    <w:p w14:paraId="1AE04D2D">
      <w:pPr>
        <w:spacing w:line="360" w:lineRule="auto"/>
        <w:ind w:firstLine="420" w:firstLineChars="200"/>
        <w:rPr>
          <w:rFonts w:ascii="宋体" w:hAnsi="宋体" w:cs="宋体"/>
          <w:szCs w:val="21"/>
          <w:highlight w:val="yellow"/>
        </w:rPr>
      </w:pPr>
      <w:r>
        <w:rPr>
          <w:rFonts w:hint="eastAsia" w:ascii="宋体" w:hAnsi="宋体" w:cs="宋体"/>
          <w:szCs w:val="21"/>
          <w:highlight w:val="yellow"/>
        </w:rPr>
        <w:t>2.1.3</w:t>
      </w:r>
      <w:r>
        <w:rPr>
          <w:rFonts w:hint="eastAsia" w:ascii="宋体" w:hAnsi="宋体" w:cs="宋体"/>
          <w:color w:val="000000" w:themeColor="text1"/>
          <w:szCs w:val="21"/>
          <w:highlight w:val="yellow"/>
          <w14:textFill>
            <w14:solidFill>
              <w14:schemeClr w14:val="tx1"/>
            </w14:solidFill>
          </w14:textFill>
        </w:rPr>
        <w:t>具有大学专科及以上文化程度，如协管员具有采购人认可的岗位所需的工作技能或经验，可适当放宽</w:t>
      </w:r>
      <w:r>
        <w:rPr>
          <w:rFonts w:hint="eastAsia"/>
          <w:highlight w:val="yellow"/>
        </w:rPr>
        <w:t>学历要求</w:t>
      </w:r>
      <w:r>
        <w:rPr>
          <w:rFonts w:hint="eastAsia" w:ascii="宋体" w:hAnsi="宋体" w:cs="宋体"/>
          <w:color w:val="000000" w:themeColor="text1"/>
          <w:szCs w:val="21"/>
          <w:highlight w:val="yellow"/>
          <w14:textFill>
            <w14:solidFill>
              <w14:schemeClr w14:val="tx1"/>
            </w14:solidFill>
          </w14:textFill>
        </w:rPr>
        <w:t>；</w:t>
      </w:r>
    </w:p>
    <w:p w14:paraId="539A17D2">
      <w:pPr>
        <w:spacing w:line="360" w:lineRule="auto"/>
        <w:ind w:firstLine="420" w:firstLineChars="200"/>
        <w:rPr>
          <w:rFonts w:ascii="宋体" w:hAnsi="宋体" w:cs="宋体"/>
          <w:szCs w:val="21"/>
          <w:highlight w:val="yellow"/>
        </w:rPr>
      </w:pPr>
      <w:r>
        <w:rPr>
          <w:rFonts w:hint="eastAsia" w:ascii="宋体" w:hAnsi="宋体" w:cs="宋体"/>
          <w:szCs w:val="21"/>
          <w:highlight w:val="yellow"/>
        </w:rPr>
        <w:t>2.1.4 仪表端庄，身体健康，具有正常履行职责的身体条件；</w:t>
      </w:r>
    </w:p>
    <w:p w14:paraId="09319576">
      <w:pPr>
        <w:spacing w:line="360" w:lineRule="auto"/>
        <w:ind w:firstLine="420" w:firstLineChars="200"/>
        <w:rPr>
          <w:rFonts w:ascii="宋体" w:hAnsi="宋体" w:cs="宋体"/>
          <w:szCs w:val="21"/>
          <w:highlight w:val="yellow"/>
        </w:rPr>
      </w:pPr>
      <w:r>
        <w:rPr>
          <w:rFonts w:hint="eastAsia" w:ascii="宋体" w:hAnsi="宋体" w:cs="宋体"/>
          <w:szCs w:val="21"/>
          <w:highlight w:val="yellow"/>
        </w:rPr>
        <w:t>2.1.5 具备基本法律知识和</w:t>
      </w:r>
      <w:r>
        <w:rPr>
          <w:rFonts w:hint="eastAsia" w:ascii="宋体" w:hAnsi="宋体" w:cs="宋体"/>
          <w:color w:val="000000" w:themeColor="text1"/>
          <w:szCs w:val="21"/>
          <w:highlight w:val="yellow"/>
          <w14:textFill>
            <w14:solidFill>
              <w14:schemeClr w14:val="tx1"/>
            </w14:solidFill>
          </w14:textFill>
        </w:rPr>
        <w:t>提供服务</w:t>
      </w:r>
      <w:r>
        <w:rPr>
          <w:rFonts w:hint="eastAsia" w:ascii="宋体" w:hAnsi="宋体" w:cs="宋体"/>
          <w:szCs w:val="21"/>
          <w:highlight w:val="yellow"/>
        </w:rPr>
        <w:t>所应知应会的业务知识；</w:t>
      </w:r>
    </w:p>
    <w:p w14:paraId="50A61765">
      <w:pPr>
        <w:spacing w:line="360" w:lineRule="auto"/>
        <w:ind w:firstLine="420" w:firstLineChars="200"/>
        <w:rPr>
          <w:rFonts w:ascii="宋体" w:hAnsi="宋体" w:cs="宋体"/>
          <w:szCs w:val="21"/>
          <w:highlight w:val="yellow"/>
        </w:rPr>
      </w:pPr>
      <w:r>
        <w:rPr>
          <w:rFonts w:hint="eastAsia" w:ascii="宋体" w:hAnsi="宋体" w:cs="宋体"/>
          <w:szCs w:val="21"/>
          <w:highlight w:val="yellow"/>
        </w:rPr>
        <w:t>2.1.6 符合采购单位提出的其他要求。</w:t>
      </w:r>
    </w:p>
    <w:p w14:paraId="0171A8B6">
      <w:pPr>
        <w:spacing w:line="360" w:lineRule="auto"/>
        <w:ind w:firstLine="420" w:firstLineChars="200"/>
        <w:rPr>
          <w:rFonts w:ascii="宋体" w:hAnsi="宋体" w:cs="宋体"/>
          <w:szCs w:val="21"/>
          <w:highlight w:val="yellow"/>
        </w:rPr>
      </w:pPr>
      <w:r>
        <w:rPr>
          <w:rFonts w:hint="eastAsia" w:ascii="宋体" w:hAnsi="宋体" w:cs="宋体"/>
          <w:szCs w:val="21"/>
          <w:highlight w:val="yellow"/>
        </w:rPr>
        <w:t>★2.2 中标供应商</w:t>
      </w:r>
      <w:r>
        <w:rPr>
          <w:rFonts w:hint="eastAsia" w:ascii="宋体" w:hAnsi="宋体" w:cs="宋体"/>
          <w:color w:val="000000" w:themeColor="text1"/>
          <w:szCs w:val="21"/>
          <w:highlight w:val="yellow"/>
          <w14:textFill>
            <w14:solidFill>
              <w14:schemeClr w14:val="tx1"/>
            </w14:solidFill>
          </w14:textFill>
        </w:rPr>
        <w:t>参与提供辅助性作业服务</w:t>
      </w:r>
      <w:r>
        <w:rPr>
          <w:rFonts w:hint="eastAsia" w:ascii="宋体" w:hAnsi="宋体" w:cs="宋体"/>
          <w:szCs w:val="21"/>
          <w:highlight w:val="yellow"/>
        </w:rPr>
        <w:t>的协管员不得存在下列情形：</w:t>
      </w:r>
    </w:p>
    <w:p w14:paraId="22EC24B2">
      <w:pPr>
        <w:spacing w:line="360" w:lineRule="auto"/>
        <w:ind w:firstLine="420" w:firstLineChars="200"/>
        <w:rPr>
          <w:rFonts w:ascii="宋体" w:hAnsi="宋体" w:cs="宋体"/>
          <w:szCs w:val="21"/>
          <w:highlight w:val="yellow"/>
        </w:rPr>
      </w:pPr>
      <w:r>
        <w:rPr>
          <w:rFonts w:hint="eastAsia" w:ascii="宋体" w:hAnsi="宋体" w:cs="宋体"/>
          <w:szCs w:val="21"/>
          <w:highlight w:val="yellow"/>
        </w:rPr>
        <w:t>2.2.1 受过刑事处罚或涉嫌违法犯罪尚未查清的；</w:t>
      </w:r>
    </w:p>
    <w:p w14:paraId="2396BA6E">
      <w:pPr>
        <w:spacing w:line="360" w:lineRule="auto"/>
        <w:ind w:firstLine="420" w:firstLineChars="200"/>
        <w:rPr>
          <w:rFonts w:ascii="宋体" w:hAnsi="宋体" w:cs="宋体"/>
          <w:szCs w:val="21"/>
          <w:highlight w:val="yellow"/>
        </w:rPr>
      </w:pPr>
      <w:r>
        <w:rPr>
          <w:rFonts w:hint="eastAsia" w:ascii="宋体" w:hAnsi="宋体" w:cs="宋体"/>
          <w:szCs w:val="21"/>
          <w:highlight w:val="yellow"/>
        </w:rPr>
        <w:t>2.2.2 曾因违法行为，被给予行政拘留、收容教养、强制戒毒等限制人身自由的治安行政处罚的；</w:t>
      </w:r>
    </w:p>
    <w:p w14:paraId="4B6AA14D">
      <w:pPr>
        <w:spacing w:line="360" w:lineRule="auto"/>
        <w:ind w:firstLine="420" w:firstLineChars="200"/>
        <w:rPr>
          <w:rFonts w:ascii="宋体" w:hAnsi="宋体" w:cs="宋体"/>
          <w:szCs w:val="21"/>
          <w:highlight w:val="yellow"/>
        </w:rPr>
      </w:pPr>
      <w:r>
        <w:rPr>
          <w:rFonts w:hint="eastAsia" w:ascii="宋体" w:hAnsi="宋体" w:cs="宋体"/>
          <w:szCs w:val="21"/>
          <w:highlight w:val="yellow"/>
        </w:rPr>
        <w:t>2.2.3 被国家机关、事业单位开除公职或者辞退的；</w:t>
      </w:r>
    </w:p>
    <w:p w14:paraId="041BEA3D">
      <w:pPr>
        <w:spacing w:line="360" w:lineRule="auto"/>
        <w:ind w:firstLine="420" w:firstLineChars="200"/>
        <w:rPr>
          <w:rFonts w:ascii="宋体" w:hAnsi="宋体" w:cs="宋体"/>
          <w:szCs w:val="21"/>
          <w:highlight w:val="yellow"/>
        </w:rPr>
      </w:pPr>
      <w:r>
        <w:rPr>
          <w:rFonts w:hint="eastAsia" w:ascii="宋体" w:hAnsi="宋体" w:cs="宋体"/>
          <w:szCs w:val="21"/>
          <w:highlight w:val="yellow"/>
        </w:rPr>
        <w:t>2.2.4曾有过走私违法行为或其他违反海关监管规定行为的；</w:t>
      </w:r>
    </w:p>
    <w:p w14:paraId="4D8659C4">
      <w:pPr>
        <w:spacing w:line="360" w:lineRule="auto"/>
        <w:ind w:firstLine="420" w:firstLineChars="200"/>
        <w:rPr>
          <w:rFonts w:ascii="宋体" w:hAnsi="宋体" w:cs="宋体"/>
          <w:szCs w:val="21"/>
          <w:highlight w:val="yellow"/>
        </w:rPr>
      </w:pPr>
      <w:r>
        <w:rPr>
          <w:rFonts w:hint="eastAsia" w:ascii="宋体" w:hAnsi="宋体" w:cs="宋体"/>
          <w:szCs w:val="21"/>
          <w:highlight w:val="yellow"/>
        </w:rPr>
        <w:t>2.2.5 有个人不良信用记录的人员；</w:t>
      </w:r>
    </w:p>
    <w:p w14:paraId="3CD9D5E5">
      <w:pPr>
        <w:spacing w:line="360" w:lineRule="auto"/>
        <w:ind w:firstLine="420" w:firstLineChars="200"/>
        <w:rPr>
          <w:rFonts w:ascii="宋体" w:hAnsi="宋体" w:cs="宋体"/>
          <w:szCs w:val="21"/>
          <w:highlight w:val="yellow"/>
        </w:rPr>
      </w:pPr>
      <w:r>
        <w:rPr>
          <w:rFonts w:hint="eastAsia" w:ascii="宋体" w:hAnsi="宋体" w:cs="宋体"/>
          <w:szCs w:val="21"/>
          <w:highlight w:val="yellow"/>
        </w:rPr>
        <w:t>2.2.6曾作为协管员被采购单位或服务的隶属单位要求调换、解聘的；</w:t>
      </w:r>
    </w:p>
    <w:p w14:paraId="4F0F2893">
      <w:pPr>
        <w:spacing w:line="360" w:lineRule="auto"/>
        <w:ind w:firstLine="420" w:firstLineChars="200"/>
        <w:rPr>
          <w:rFonts w:ascii="宋体" w:hAnsi="宋体" w:cs="宋体"/>
          <w:szCs w:val="21"/>
          <w:highlight w:val="yellow"/>
        </w:rPr>
      </w:pPr>
      <w:r>
        <w:rPr>
          <w:rFonts w:hint="eastAsia" w:ascii="宋体" w:hAnsi="宋体" w:cs="宋体"/>
          <w:szCs w:val="21"/>
          <w:highlight w:val="yellow"/>
        </w:rPr>
        <w:t>2.2.7 其他原因不适合从事协管员工作的。</w:t>
      </w:r>
    </w:p>
    <w:p w14:paraId="1C99AFFD">
      <w:pPr>
        <w:spacing w:line="360" w:lineRule="auto"/>
        <w:ind w:firstLine="420" w:firstLineChars="200"/>
        <w:rPr>
          <w:rFonts w:ascii="宋体" w:hAnsi="宋体" w:cs="宋体"/>
          <w:szCs w:val="21"/>
        </w:rPr>
      </w:pPr>
      <w:r>
        <w:rPr>
          <w:rFonts w:hint="eastAsia" w:ascii="宋体" w:hAnsi="宋体" w:cs="宋体"/>
          <w:szCs w:val="21"/>
        </w:rPr>
        <w:t>2.3中标供应商参与提供辅助性作业服务的协管员应服从采购单位的工作安排，遵守采购单位的管理制度和相关规定，听从采购单位工作人员的指挥并接受监督。</w:t>
      </w:r>
    </w:p>
    <w:p w14:paraId="317A57A5">
      <w:pPr>
        <w:spacing w:line="360" w:lineRule="auto"/>
        <w:ind w:firstLine="420" w:firstLineChars="200"/>
        <w:rPr>
          <w:rFonts w:hint="eastAsia" w:ascii="宋体" w:hAnsi="宋体" w:eastAsia="宋体" w:cs="宋体"/>
          <w:szCs w:val="21"/>
        </w:rPr>
      </w:pPr>
      <w:r>
        <w:rPr>
          <w:rFonts w:hint="eastAsia" w:ascii="宋体" w:hAnsi="宋体" w:cs="宋体"/>
          <w:szCs w:val="21"/>
        </w:rPr>
        <w:t>2.4 中标供应商参与提供辅助性作业服务的协管员的工作时长应符合国家《中华人民共和国劳动法》</w:t>
      </w:r>
      <w:r>
        <w:rPr>
          <w:rFonts w:hint="eastAsia" w:ascii="宋体" w:hAnsi="宋体" w:cs="宋体"/>
          <w:szCs w:val="21"/>
          <w:lang w:eastAsia="zh-CN"/>
        </w:rPr>
        <w:t>（下称《劳动法》）</w:t>
      </w:r>
      <w:r>
        <w:rPr>
          <w:rFonts w:hint="eastAsia" w:ascii="宋体" w:hAnsi="宋体" w:cs="宋体"/>
          <w:szCs w:val="21"/>
        </w:rPr>
        <w:t>相关要求，一般每周工作时间不应超过40小时（含通宵班），每周休息2天，如需加班工作可给予相应补休，采购单位不另行支付中标</w:t>
      </w:r>
      <w:r>
        <w:rPr>
          <w:rFonts w:hint="eastAsia" w:ascii="宋体" w:hAnsi="宋体" w:eastAsia="宋体" w:cs="宋体"/>
          <w:szCs w:val="21"/>
        </w:rPr>
        <w:t>供应商相关费用。</w:t>
      </w:r>
    </w:p>
    <w:p w14:paraId="75B977DB">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2.5 </w:t>
      </w:r>
      <w:r>
        <w:rPr>
          <w:rFonts w:hint="eastAsia" w:ascii="宋体" w:hAnsi="宋体" w:eastAsia="宋体" w:cs="宋体"/>
          <w:szCs w:val="21"/>
          <w:lang w:val="en-US" w:eastAsia="zh-CN"/>
        </w:rPr>
        <w:t xml:space="preserve"> </w:t>
      </w:r>
      <w:r>
        <w:rPr>
          <w:rFonts w:hint="eastAsia" w:ascii="宋体" w:hAnsi="宋体" w:eastAsia="宋体" w:cs="宋体"/>
        </w:rPr>
        <w:t>AB包</w:t>
      </w:r>
      <w:r>
        <w:rPr>
          <w:rFonts w:hint="eastAsia" w:ascii="宋体" w:hAnsi="宋体" w:eastAsia="宋体" w:cs="宋体"/>
          <w:szCs w:val="21"/>
        </w:rPr>
        <w:t>中标供应商均应于2025年7月1日安排400名协管员前往采购单位指定的隶属单位提供服务，其余协管员应在合同签订后2周内按照采购单位要求分批上岗。因中标供应商参与提供辅助性作业服务的协管员出现离职、请假等原因或采购单位现场业务形势变化，导致采购单位发生现场一线协管员空缺等应急事件时，中标供应商应机动调整协管员于1天内到岗。</w:t>
      </w:r>
    </w:p>
    <w:p w14:paraId="4B7309B0">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2.6 深圳海关辅助执法作业服务项目（东部、西部片区）项目现有辅助执法作业服务人员960人，投标人应根据项目现有情况，承诺中标后优先安排原有人员岗位，且不与接收的现有协管员约定试用期【</w:t>
      </w:r>
      <w:r>
        <w:rPr>
          <w:rFonts w:hint="eastAsia" w:ascii="宋体" w:hAnsi="宋体" w:eastAsia="宋体" w:cs="宋体"/>
          <w:b/>
          <w:bCs/>
          <w:szCs w:val="21"/>
        </w:rPr>
        <w:t>投标文件中提供满足以上要求的承诺函</w:t>
      </w:r>
      <w:r>
        <w:rPr>
          <w:rFonts w:hint="eastAsia" w:ascii="宋体" w:hAnsi="宋体" w:eastAsia="宋体" w:cs="宋体"/>
          <w:szCs w:val="21"/>
        </w:rPr>
        <w:t>】。</w:t>
      </w:r>
    </w:p>
    <w:p w14:paraId="637A021B">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2.7 为确保服务质量，A包中标供应商需为本项目指派1名负责人，并为服务范围内的每个深圳海关隶属单位（包含深圳海关下属的皇岗海关、罗湖海关、文锦渡海关、大鹏海关、沙头角海关、西九龙站海关、梅沙海关、莲塘海关、坪山海关等单位或深圳海关指定的其他隶属海关）各指派1名协管员管理人员；B包中标供应商需为本项目指派1名负责人，并为服务范围内的每个深圳海关隶属单位（包含深圳海关下属的皇岗海关、深圳宝安机场海关、深圳湾海关、蛇口海关、大铲湾海关、深圳邮局海关、福田海关等单位或深圳海关指定的其他隶属海关）各指派1名协管员管理人员。 </w:t>
      </w:r>
    </w:p>
    <w:p w14:paraId="65796197">
      <w:pPr>
        <w:spacing w:line="360" w:lineRule="auto"/>
        <w:ind w:firstLine="420" w:firstLineChars="200"/>
        <w:rPr>
          <w:rFonts w:ascii="宋体" w:hAnsi="宋体" w:cs="宋体"/>
          <w:szCs w:val="21"/>
        </w:rPr>
      </w:pPr>
      <w:r>
        <w:rPr>
          <w:rFonts w:hint="eastAsia" w:ascii="宋体" w:hAnsi="宋体" w:cs="宋体"/>
          <w:szCs w:val="21"/>
        </w:rPr>
        <w:t>2.8 协管员的配备与管理要求：</w:t>
      </w:r>
    </w:p>
    <w:p w14:paraId="1DE7D383">
      <w:pPr>
        <w:spacing w:line="360" w:lineRule="auto"/>
        <w:ind w:firstLine="420" w:firstLineChars="200"/>
        <w:rPr>
          <w:rFonts w:ascii="宋体" w:hAnsi="宋体" w:cs="宋体"/>
          <w:szCs w:val="21"/>
        </w:rPr>
      </w:pPr>
      <w:r>
        <w:rPr>
          <w:rFonts w:hint="eastAsia" w:ascii="宋体" w:hAnsi="宋体" w:cs="宋体"/>
          <w:szCs w:val="21"/>
        </w:rPr>
        <w:t>2.8.1采购单位根据工作需要，安排协管员的服务内容和服务时间，中标供应商应给予配合。</w:t>
      </w:r>
    </w:p>
    <w:p w14:paraId="09973B8B">
      <w:pPr>
        <w:spacing w:line="360" w:lineRule="auto"/>
        <w:ind w:firstLine="420" w:firstLineChars="200"/>
        <w:rPr>
          <w:rFonts w:ascii="宋体" w:hAnsi="宋体" w:cs="宋体"/>
          <w:szCs w:val="21"/>
        </w:rPr>
      </w:pPr>
      <w:r>
        <w:rPr>
          <w:rFonts w:hint="eastAsia" w:ascii="宋体" w:hAnsi="宋体" w:cs="宋体"/>
          <w:szCs w:val="21"/>
        </w:rPr>
        <w:t>2.8.2为确保服务质量，采购单位每月将协管员服务期间的表现情况向中标供应商通报，中标供应商应根据采购单位的建议实施奖惩。</w:t>
      </w:r>
    </w:p>
    <w:p w14:paraId="2D0D822F">
      <w:pPr>
        <w:spacing w:line="360" w:lineRule="auto"/>
        <w:ind w:firstLine="420" w:firstLineChars="200"/>
        <w:rPr>
          <w:rFonts w:ascii="宋体" w:hAnsi="宋体" w:cs="宋体"/>
          <w:szCs w:val="21"/>
        </w:rPr>
      </w:pPr>
      <w:r>
        <w:rPr>
          <w:rFonts w:hint="eastAsia" w:ascii="宋体" w:hAnsi="宋体" w:cs="宋体"/>
          <w:szCs w:val="21"/>
        </w:rPr>
        <w:t>2.8.3为确保服务质量，采购单位每月向中标供应商提供协管员的服务质量考核结果，包括考勤记录、考核等次结果，其中考核等次分为“不合格”、“合格”和“优秀”三个等次。中标供应商应据此核算并及时、足额支付协管员薪酬及绩效奖金，其中实际发放的绩效奖金一般应与采购单位提出的考核等次结果相对应，确有需要调整的，应与采购单位协商一致。</w:t>
      </w:r>
    </w:p>
    <w:p w14:paraId="78960A30">
      <w:pPr>
        <w:spacing w:line="360" w:lineRule="auto"/>
        <w:ind w:firstLine="420" w:firstLineChars="200"/>
        <w:rPr>
          <w:rFonts w:ascii="宋体" w:hAnsi="宋体" w:cs="宋体"/>
          <w:szCs w:val="21"/>
        </w:rPr>
      </w:pPr>
      <w:r>
        <w:rPr>
          <w:rFonts w:hint="eastAsia" w:ascii="宋体" w:hAnsi="宋体" w:cs="宋体"/>
          <w:szCs w:val="21"/>
        </w:rPr>
        <w:t>2.8.4为确保服务质量，中标供应商应按照《劳动法》及深圳市社保相关规定，及时、足额支付协管员的工资薪酬、法定节假日加班费、业务培训、社会保险、健康体检、工作日用餐、住宿、工作服装等福利待遇，不再向协管员额外收取费用。</w:t>
      </w:r>
    </w:p>
    <w:p w14:paraId="24C505DB">
      <w:pPr>
        <w:spacing w:line="360" w:lineRule="auto"/>
        <w:ind w:firstLine="420" w:firstLineChars="200"/>
        <w:rPr>
          <w:rFonts w:ascii="宋体" w:hAnsi="宋体" w:cs="宋体"/>
          <w:szCs w:val="21"/>
        </w:rPr>
      </w:pPr>
      <w:r>
        <w:rPr>
          <w:rFonts w:hint="eastAsia" w:ascii="宋体" w:hAnsi="宋体" w:cs="宋体"/>
          <w:szCs w:val="21"/>
        </w:rPr>
        <w:t>2.8.5为确保服务质量，中标供应商按照《劳动法》及深圳市社保相关规定，为协管员提供的薪资待遇应至少包括以下内容：</w:t>
      </w:r>
    </w:p>
    <w:p w14:paraId="2D36E8D0">
      <w:pPr>
        <w:spacing w:line="360" w:lineRule="auto"/>
        <w:ind w:firstLine="420" w:firstLineChars="200"/>
        <w:rPr>
          <w:rFonts w:ascii="宋体" w:hAnsi="宋体" w:cs="宋体"/>
          <w:szCs w:val="21"/>
        </w:rPr>
      </w:pPr>
      <w:r>
        <w:rPr>
          <w:rFonts w:hint="eastAsia" w:ascii="宋体" w:hAnsi="宋体" w:cs="宋体"/>
          <w:szCs w:val="21"/>
        </w:rPr>
        <w:t>2.8.5.1 基本工资；</w:t>
      </w:r>
    </w:p>
    <w:p w14:paraId="6E4A48C6">
      <w:pPr>
        <w:spacing w:line="360" w:lineRule="auto"/>
        <w:ind w:firstLine="420" w:firstLineChars="200"/>
        <w:rPr>
          <w:rFonts w:ascii="宋体" w:hAnsi="宋体" w:cs="宋体"/>
          <w:szCs w:val="21"/>
        </w:rPr>
      </w:pPr>
      <w:r>
        <w:rPr>
          <w:rFonts w:hint="eastAsia" w:ascii="宋体" w:hAnsi="宋体" w:cs="宋体"/>
          <w:szCs w:val="21"/>
        </w:rPr>
        <w:t xml:space="preserve">2.8.5.2 绩效奖金； </w:t>
      </w:r>
    </w:p>
    <w:p w14:paraId="046F58A2">
      <w:pPr>
        <w:spacing w:line="360" w:lineRule="auto"/>
        <w:ind w:firstLine="420" w:firstLineChars="200"/>
        <w:rPr>
          <w:rFonts w:ascii="宋体" w:hAnsi="宋体" w:cs="宋体"/>
          <w:szCs w:val="21"/>
        </w:rPr>
      </w:pPr>
      <w:r>
        <w:rPr>
          <w:rFonts w:hint="eastAsia" w:ascii="宋体" w:hAnsi="宋体" w:cs="宋体"/>
          <w:szCs w:val="21"/>
        </w:rPr>
        <w:t>2.8.5.3 法定节假日加班费；</w:t>
      </w:r>
    </w:p>
    <w:p w14:paraId="31FE5E90">
      <w:pPr>
        <w:spacing w:line="360" w:lineRule="auto"/>
        <w:ind w:firstLine="420" w:firstLineChars="200"/>
        <w:rPr>
          <w:rFonts w:ascii="宋体" w:hAnsi="宋体" w:cs="宋体"/>
          <w:szCs w:val="21"/>
        </w:rPr>
      </w:pPr>
      <w:r>
        <w:rPr>
          <w:rFonts w:hint="eastAsia" w:ascii="宋体" w:hAnsi="宋体" w:cs="宋体"/>
          <w:szCs w:val="21"/>
        </w:rPr>
        <w:t>2.8.5.4 社会保险（含养老保险、医疗保险、工伤保险、失业保险和生育保险）和人身意外险；</w:t>
      </w:r>
    </w:p>
    <w:p w14:paraId="7B8F6560">
      <w:pPr>
        <w:spacing w:line="360" w:lineRule="auto"/>
        <w:ind w:firstLine="420" w:firstLineChars="200"/>
        <w:rPr>
          <w:rFonts w:ascii="宋体" w:hAnsi="宋体" w:cs="宋体"/>
          <w:szCs w:val="21"/>
        </w:rPr>
      </w:pPr>
      <w:r>
        <w:rPr>
          <w:rFonts w:hint="eastAsia" w:ascii="宋体" w:hAnsi="宋体" w:cs="宋体"/>
          <w:szCs w:val="21"/>
        </w:rPr>
        <w:t>2.8.5.5 住房公积金；</w:t>
      </w:r>
    </w:p>
    <w:p w14:paraId="23124E71">
      <w:pPr>
        <w:spacing w:line="360" w:lineRule="auto"/>
        <w:ind w:firstLine="420" w:firstLineChars="200"/>
        <w:rPr>
          <w:rFonts w:ascii="宋体" w:hAnsi="宋体" w:cs="宋体"/>
          <w:szCs w:val="21"/>
        </w:rPr>
      </w:pPr>
      <w:r>
        <w:rPr>
          <w:rFonts w:hint="eastAsia" w:ascii="宋体" w:hAnsi="宋体" w:cs="宋体"/>
          <w:szCs w:val="21"/>
        </w:rPr>
        <w:t>2.8.5.6 高温补贴；</w:t>
      </w:r>
    </w:p>
    <w:p w14:paraId="204BB5E6">
      <w:pPr>
        <w:spacing w:line="360" w:lineRule="auto"/>
        <w:ind w:firstLine="420" w:firstLineChars="200"/>
        <w:rPr>
          <w:rFonts w:ascii="宋体" w:hAnsi="宋体" w:cs="宋体"/>
          <w:szCs w:val="21"/>
        </w:rPr>
      </w:pPr>
      <w:r>
        <w:rPr>
          <w:rFonts w:hint="eastAsia" w:ascii="宋体" w:hAnsi="宋体" w:cs="宋体"/>
          <w:szCs w:val="21"/>
        </w:rPr>
        <w:t>2.8.5.7 特殊岗位补助；</w:t>
      </w:r>
    </w:p>
    <w:p w14:paraId="32B73585">
      <w:pPr>
        <w:spacing w:line="360" w:lineRule="auto"/>
        <w:ind w:firstLine="420" w:firstLineChars="200"/>
        <w:rPr>
          <w:rFonts w:ascii="宋体" w:hAnsi="宋体" w:cs="宋体"/>
          <w:szCs w:val="21"/>
        </w:rPr>
      </w:pPr>
      <w:r>
        <w:rPr>
          <w:rFonts w:hint="eastAsia" w:ascii="宋体" w:hAnsi="宋体" w:cs="宋体"/>
          <w:szCs w:val="21"/>
        </w:rPr>
        <w:t>2.8.5.8 国家规定应支付的其他费用。</w:t>
      </w:r>
    </w:p>
    <w:p w14:paraId="23ED61F2">
      <w:pPr>
        <w:spacing w:line="360" w:lineRule="auto"/>
        <w:ind w:firstLine="420" w:firstLineChars="200"/>
        <w:rPr>
          <w:rFonts w:ascii="宋体" w:hAnsi="宋体" w:cs="宋体"/>
          <w:szCs w:val="21"/>
        </w:rPr>
      </w:pPr>
      <w:r>
        <w:rPr>
          <w:rFonts w:hint="eastAsia" w:ascii="宋体" w:hAnsi="宋体" w:cs="宋体"/>
          <w:szCs w:val="21"/>
        </w:rPr>
        <w:t>2.8.6</w:t>
      </w:r>
      <w:r>
        <w:rPr>
          <w:rFonts w:hint="eastAsia" w:ascii="宋体" w:hAnsi="宋体" w:cs="宋体"/>
          <w:color w:val="000000" w:themeColor="text1"/>
          <w:szCs w:val="21"/>
          <w14:textFill>
            <w14:solidFill>
              <w14:schemeClr w14:val="tx1"/>
            </w14:solidFill>
          </w14:textFill>
        </w:rPr>
        <w:t>为确保服务质量，</w:t>
      </w:r>
      <w:r>
        <w:rPr>
          <w:rFonts w:hint="eastAsia" w:ascii="宋体" w:hAnsi="宋体" w:cs="宋体"/>
          <w:szCs w:val="21"/>
        </w:rPr>
        <w:t>中标供应商应为协管员</w:t>
      </w:r>
      <w:r>
        <w:rPr>
          <w:rFonts w:hint="eastAsia"/>
        </w:rPr>
        <w:t>提供以下福利（费用包含在投标报价中，不得向采购人或协管员另外收费）</w:t>
      </w:r>
      <w:r>
        <w:rPr>
          <w:rFonts w:hint="eastAsia" w:ascii="宋体" w:hAnsi="宋体" w:cs="宋体"/>
          <w:szCs w:val="21"/>
        </w:rPr>
        <w:t>：</w:t>
      </w:r>
    </w:p>
    <w:p w14:paraId="7145685E">
      <w:pPr>
        <w:spacing w:line="360" w:lineRule="auto"/>
        <w:ind w:firstLine="420" w:firstLineChars="200"/>
        <w:rPr>
          <w:rFonts w:ascii="宋体" w:hAnsi="宋体" w:cs="宋体"/>
          <w:szCs w:val="21"/>
        </w:rPr>
      </w:pPr>
      <w:r>
        <w:rPr>
          <w:rFonts w:hint="eastAsia" w:ascii="宋体" w:hAnsi="宋体" w:cs="宋体"/>
          <w:szCs w:val="21"/>
        </w:rPr>
        <w:t>2.8.6.1餐饮。工作日提供餐饮。如无法保障、或</w:t>
      </w:r>
      <w:r>
        <w:rPr>
          <w:rFonts w:hint="eastAsia" w:ascii="宋体" w:hAnsi="宋体" w:cs="宋体"/>
          <w:color w:val="000000" w:themeColor="text1"/>
          <w:szCs w:val="21"/>
          <w14:textFill>
            <w14:solidFill>
              <w14:schemeClr w14:val="tx1"/>
            </w14:solidFill>
          </w14:textFill>
        </w:rPr>
        <w:t>服务的隶属单位</w:t>
      </w:r>
      <w:r>
        <w:rPr>
          <w:rFonts w:hint="eastAsia" w:ascii="宋体" w:hAnsi="宋体" w:cs="宋体"/>
          <w:szCs w:val="21"/>
        </w:rPr>
        <w:t>配合保障、或协管员经审批同意放弃餐饮保障的，应发放与提供餐饮成本相当的餐饮补助。</w:t>
      </w:r>
    </w:p>
    <w:p w14:paraId="3021B64D">
      <w:pPr>
        <w:spacing w:line="360" w:lineRule="auto"/>
        <w:ind w:firstLine="420" w:firstLineChars="200"/>
        <w:rPr>
          <w:rFonts w:ascii="宋体" w:hAnsi="宋体" w:cs="宋体"/>
          <w:szCs w:val="21"/>
        </w:rPr>
      </w:pPr>
      <w:r>
        <w:rPr>
          <w:rFonts w:hint="eastAsia" w:ascii="宋体" w:hAnsi="宋体" w:cs="宋体"/>
          <w:color w:val="000000" w:themeColor="text1"/>
          <w:szCs w:val="21"/>
          <w14:textFill>
            <w14:solidFill>
              <w14:schemeClr w14:val="tx1"/>
            </w14:solidFill>
          </w14:textFill>
        </w:rPr>
        <w:t>2.8.6.2住宿。提供员工宿舍，且宿舍所在地应在工作地50分钟公共交通可到达范围内、每间宿舍住宿人数不多于6人。如无法保障住宿或协管员经审批同意放弃住宿保障的，应发放与提供宿舍成本相当的住宿补助。</w:t>
      </w:r>
    </w:p>
    <w:p w14:paraId="374085E5">
      <w:pPr>
        <w:spacing w:line="360" w:lineRule="auto"/>
        <w:ind w:firstLine="420" w:firstLineChars="200"/>
        <w:rPr>
          <w:rFonts w:ascii="宋体" w:hAnsi="宋体" w:cs="宋体"/>
          <w:szCs w:val="21"/>
        </w:rPr>
      </w:pPr>
      <w:r>
        <w:rPr>
          <w:rFonts w:hint="eastAsia" w:ascii="宋体" w:hAnsi="宋体" w:cs="宋体"/>
          <w:szCs w:val="21"/>
        </w:rPr>
        <w:t>2.8.6.3 工作服装。</w:t>
      </w:r>
    </w:p>
    <w:p w14:paraId="0F87E026">
      <w:pPr>
        <w:spacing w:line="360" w:lineRule="auto"/>
        <w:ind w:firstLine="420" w:firstLineChars="200"/>
        <w:rPr>
          <w:rFonts w:ascii="宋体" w:hAnsi="宋体" w:cs="宋体"/>
          <w:szCs w:val="21"/>
        </w:rPr>
      </w:pPr>
      <w:r>
        <w:rPr>
          <w:rFonts w:hint="eastAsia" w:ascii="宋体" w:hAnsi="宋体" w:cs="宋体"/>
          <w:szCs w:val="21"/>
        </w:rPr>
        <w:t>2.8.6.3.1 按照采购单位提供的样式和质量要求，为首次聘用的协管员配发以下服装：2套夏装、2件长袖、2件夹克、2条厚裤子、1双皮鞋和1套服装配件（包括：肩章、臂章、胸标、腰带和帽子），视情况配备防寒服。</w:t>
      </w:r>
    </w:p>
    <w:p w14:paraId="739502DA">
      <w:pPr>
        <w:spacing w:line="360" w:lineRule="auto"/>
        <w:ind w:firstLine="420" w:firstLineChars="200"/>
        <w:rPr>
          <w:rFonts w:ascii="宋体" w:hAnsi="宋体" w:cs="宋体"/>
          <w:szCs w:val="21"/>
        </w:rPr>
      </w:pPr>
      <w:r>
        <w:rPr>
          <w:rFonts w:hint="eastAsia" w:ascii="宋体" w:hAnsi="宋体" w:cs="宋体"/>
          <w:szCs w:val="21"/>
        </w:rPr>
        <w:t>2.8.6.3.2 为非首次配发服装的协管员，每年发放2件夏装、1件长袖、1件夹克、1条夏装裤子、1条厚裤子、1双皮鞋、1条腰带。</w:t>
      </w:r>
    </w:p>
    <w:p w14:paraId="260C8DEC">
      <w:pPr>
        <w:spacing w:line="360" w:lineRule="auto"/>
        <w:ind w:firstLine="420" w:firstLineChars="200"/>
        <w:rPr>
          <w:rFonts w:ascii="宋体" w:hAnsi="宋体" w:cs="宋体"/>
          <w:szCs w:val="21"/>
        </w:rPr>
      </w:pPr>
      <w:r>
        <w:rPr>
          <w:rFonts w:hint="eastAsia" w:ascii="宋体" w:hAnsi="宋体" w:cs="宋体"/>
          <w:szCs w:val="21"/>
        </w:rPr>
        <w:t>2.8.6.4 培训：在协管员上岗前，须安排岗前培训。</w:t>
      </w:r>
    </w:p>
    <w:p w14:paraId="4EC97938">
      <w:pPr>
        <w:spacing w:line="360" w:lineRule="auto"/>
        <w:ind w:firstLine="420" w:firstLineChars="200"/>
        <w:rPr>
          <w:rFonts w:ascii="宋体" w:hAnsi="宋体" w:cs="宋体"/>
          <w:szCs w:val="21"/>
        </w:rPr>
      </w:pPr>
      <w:r>
        <w:rPr>
          <w:rFonts w:hint="eastAsia" w:ascii="宋体" w:hAnsi="宋体" w:cs="宋体"/>
          <w:szCs w:val="21"/>
        </w:rPr>
        <w:t>2.8.7 中标供应商应建立信息化管理系统，妥善管理协管员的个人基本信息及岗位安排、考勤、考核、入职、离职等人事信息，并按采购单位要求随时提供有关资料。</w:t>
      </w:r>
    </w:p>
    <w:p w14:paraId="5BEA1417">
      <w:pPr>
        <w:spacing w:line="360" w:lineRule="auto"/>
        <w:ind w:firstLine="420" w:firstLineChars="200"/>
        <w:rPr>
          <w:rFonts w:ascii="宋体" w:hAnsi="宋体" w:cs="宋体"/>
          <w:szCs w:val="21"/>
        </w:rPr>
      </w:pPr>
      <w:r>
        <w:rPr>
          <w:rFonts w:hint="eastAsia" w:ascii="宋体" w:hAnsi="宋体" w:cs="宋体"/>
          <w:szCs w:val="21"/>
        </w:rPr>
        <w:t>2.8.8 为确保服务质量，中标供应商如需招聘协管员的，应根据本合同规定的聘用资格条件发布招聘公告，实行公开招聘；中标供应商应组织协管员在深圳市内的公立医院进行入职体检，确保协管员健康状况符合服务要求，体检费用由中标供应商承担，中标供应商应与聘用的协管员签订合法合规的《劳动合同》。中标供应商不得借海关名义招聘相关服务人员，在招聘过程中不得收取应聘人员任何费用，不得损害海关名誉及形象。</w:t>
      </w:r>
    </w:p>
    <w:p w14:paraId="1B4E1EAE">
      <w:pPr>
        <w:spacing w:line="360" w:lineRule="auto"/>
        <w:ind w:firstLine="420" w:firstLineChars="200"/>
        <w:rPr>
          <w:rFonts w:ascii="宋体" w:hAnsi="宋体" w:cs="宋体"/>
          <w:szCs w:val="21"/>
        </w:rPr>
      </w:pPr>
      <w:r>
        <w:rPr>
          <w:rFonts w:hint="eastAsia" w:ascii="宋体" w:hAnsi="宋体" w:cs="宋体"/>
          <w:szCs w:val="21"/>
        </w:rPr>
        <w:t>中标供应商参与采购单位辅助执法作业服务的协管员资料应提交采购单位报备，由采购单位安排具体服务地点，办理相关特殊监管区出入手续。中标供应商应协助督促相关协管员到服务地点的海关单位报到。</w:t>
      </w:r>
    </w:p>
    <w:p w14:paraId="2D1DDF32">
      <w:pPr>
        <w:spacing w:line="360" w:lineRule="auto"/>
        <w:ind w:firstLine="420" w:firstLineChars="200"/>
        <w:rPr>
          <w:rFonts w:ascii="宋体" w:hAnsi="宋体" w:cs="宋体"/>
          <w:szCs w:val="21"/>
        </w:rPr>
      </w:pPr>
      <w:r>
        <w:rPr>
          <w:rFonts w:hint="eastAsia" w:ascii="宋体" w:hAnsi="宋体" w:cs="宋体"/>
          <w:szCs w:val="21"/>
        </w:rPr>
        <w:t>2.8.9 涉及协管员的工伤、劳动争议、民事侵权等纠纷，由中标供应商负责处置，采购单位不承担相关法律责任。</w:t>
      </w:r>
    </w:p>
    <w:p w14:paraId="05A32020">
      <w:pPr>
        <w:spacing w:line="360" w:lineRule="auto"/>
        <w:ind w:firstLine="420" w:firstLineChars="200"/>
        <w:rPr>
          <w:rFonts w:ascii="宋体" w:hAnsi="宋体" w:cs="宋体"/>
          <w:szCs w:val="21"/>
        </w:rPr>
      </w:pPr>
      <w:r>
        <w:rPr>
          <w:rFonts w:hint="eastAsia" w:ascii="宋体" w:hAnsi="宋体" w:cs="宋体"/>
          <w:szCs w:val="21"/>
        </w:rPr>
        <w:t>2.8.10 发生涉及协管员的突发事件时，中标供应商应当2小时内派专员到场处置，期间产生的各项处置费用由中标供应商承担。</w:t>
      </w:r>
    </w:p>
    <w:p w14:paraId="2A774364">
      <w:pPr>
        <w:spacing w:line="360" w:lineRule="auto"/>
        <w:ind w:firstLine="420" w:firstLineChars="200"/>
        <w:rPr>
          <w:rFonts w:ascii="宋体" w:hAnsi="宋体" w:cs="宋体"/>
          <w:szCs w:val="21"/>
        </w:rPr>
      </w:pPr>
      <w:r>
        <w:rPr>
          <w:rFonts w:hint="eastAsia" w:ascii="宋体" w:hAnsi="宋体" w:cs="宋体"/>
          <w:szCs w:val="21"/>
        </w:rPr>
        <w:t>2.8.11</w:t>
      </w:r>
      <w:r>
        <w:rPr>
          <w:rFonts w:hint="eastAsia" w:ascii="宋体" w:hAnsi="宋体" w:cs="宋体"/>
          <w:color w:val="000000" w:themeColor="text1"/>
          <w:szCs w:val="21"/>
          <w14:textFill>
            <w14:solidFill>
              <w14:schemeClr w14:val="tx1"/>
            </w14:solidFill>
          </w14:textFill>
        </w:rPr>
        <w:t>采购单位可以根据国家有关政策规定及工作需要，另行支付因跨境服务等产生的额外补助，中标供应商不得截留相关资金，须按时、足额发放至协管员。</w:t>
      </w:r>
    </w:p>
    <w:p w14:paraId="789F0466">
      <w:pPr>
        <w:spacing w:line="360" w:lineRule="auto"/>
        <w:ind w:firstLine="420" w:firstLineChars="200"/>
        <w:rPr>
          <w:rFonts w:ascii="宋体" w:hAnsi="宋体" w:cs="宋体"/>
          <w:szCs w:val="21"/>
        </w:rPr>
      </w:pPr>
      <w:r>
        <w:rPr>
          <w:rFonts w:hint="eastAsia" w:ascii="宋体" w:hAnsi="宋体" w:cs="宋体"/>
          <w:szCs w:val="21"/>
        </w:rPr>
        <w:t>2.8.12因工作需要，中标供应商参与提供辅助性作业服务的协管员应相对固定，如需调换的，应事先告知采购单位，在征得采购单位同意后，对协管员进行调换。</w:t>
      </w:r>
    </w:p>
    <w:p w14:paraId="0026470A">
      <w:pPr>
        <w:spacing w:line="360" w:lineRule="auto"/>
        <w:ind w:firstLine="420" w:firstLineChars="200"/>
        <w:rPr>
          <w:rFonts w:ascii="宋体" w:hAnsi="宋体" w:cs="宋体"/>
          <w:szCs w:val="21"/>
        </w:rPr>
      </w:pPr>
      <w:r>
        <w:rPr>
          <w:rFonts w:hint="eastAsia" w:ascii="宋体" w:hAnsi="宋体" w:cs="宋体"/>
          <w:szCs w:val="21"/>
        </w:rPr>
        <w:t>2.8.13中标供应商应对离职协管员的服装进行回收，并要求其离职后不泄露采购单位内部工作信息。</w:t>
      </w:r>
    </w:p>
    <w:p w14:paraId="048CFAD1">
      <w:pPr>
        <w:spacing w:line="360" w:lineRule="auto"/>
        <w:ind w:firstLine="420" w:firstLineChars="200"/>
        <w:rPr>
          <w:rFonts w:ascii="宋体" w:hAnsi="宋体" w:cs="宋体"/>
          <w:szCs w:val="21"/>
        </w:rPr>
      </w:pPr>
      <w:r>
        <w:rPr>
          <w:rFonts w:hint="eastAsia" w:ascii="宋体" w:hAnsi="宋体" w:cs="宋体"/>
          <w:szCs w:val="21"/>
        </w:rPr>
        <w:t>2.8.14中标供应商为采购单位隶属单位提供的具体辅助性作业服务内容及要求等事项，由采购单位隶属单位与中标供应商另行签订合作备忘录。</w:t>
      </w:r>
    </w:p>
    <w:p w14:paraId="5131D7AC">
      <w:pPr>
        <w:spacing w:line="360" w:lineRule="auto"/>
        <w:ind w:firstLine="420" w:firstLineChars="200"/>
        <w:rPr>
          <w:rFonts w:ascii="宋体" w:hAnsi="宋体" w:cs="宋体"/>
          <w:szCs w:val="21"/>
          <w:highlight w:val="yellow"/>
        </w:rPr>
      </w:pPr>
      <w:r>
        <w:rPr>
          <w:rFonts w:hint="eastAsia" w:ascii="宋体" w:hAnsi="宋体" w:cs="宋体"/>
          <w:szCs w:val="21"/>
          <w:highlight w:val="yellow"/>
        </w:rPr>
        <w:t>★2.8.15 采购单位提出调换或者离职的协管员，应及时进行调换或补充。原则上应在48小时内完成，因客观原因补充确有困难的，经采购单位同意后可延迟补充，具体时间以采购单位意见为准。被调换的协管员，不得再次派出至采购单位。</w:t>
      </w:r>
    </w:p>
    <w:p w14:paraId="7DA052C5">
      <w:pPr>
        <w:numPr>
          <w:ilvl w:val="0"/>
          <w:numId w:val="4"/>
        </w:numPr>
        <w:spacing w:line="360" w:lineRule="auto"/>
        <w:ind w:firstLine="422" w:firstLineChars="200"/>
        <w:jc w:val="left"/>
        <w:rPr>
          <w:rFonts w:ascii="宋体" w:hAnsi="宋体" w:cs="宋体"/>
          <w:szCs w:val="21"/>
        </w:rPr>
      </w:pPr>
      <w:r>
        <w:rPr>
          <w:rFonts w:hint="eastAsia" w:ascii="宋体" w:hAnsi="宋体" w:cs="宋体"/>
          <w:b/>
          <w:bCs/>
          <w:szCs w:val="21"/>
        </w:rPr>
        <w:t>协管员工作服装要求：</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7"/>
      </w:tblGrid>
      <w:tr w14:paraId="6F19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38519265">
            <w:pPr>
              <w:spacing w:line="360" w:lineRule="auto"/>
              <w:ind w:firstLine="420" w:firstLineChars="200"/>
            </w:pPr>
            <w:r>
              <w:rPr>
                <w:rFonts w:hint="eastAsia" w:ascii="宋体" w:hAnsi="宋体" w:cs="宋体"/>
                <w:szCs w:val="21"/>
              </w:rPr>
              <w:t>1.制装样式参照海关查验服样式制作，用料透气、不易变形、不易褪色，藏蓝色。</w:t>
            </w:r>
          </w:p>
        </w:tc>
      </w:tr>
      <w:tr w14:paraId="4122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2E42D2D6">
            <w:pPr>
              <w:spacing w:line="360" w:lineRule="auto"/>
              <w:ind w:firstLine="420" w:firstLineChars="200"/>
              <w:rPr>
                <w:rFonts w:ascii="宋体" w:hAnsi="宋体" w:cs="宋体"/>
                <w:szCs w:val="21"/>
              </w:rPr>
            </w:pPr>
            <w:r>
              <w:rPr>
                <w:rFonts w:hint="eastAsia" w:ascii="宋体" w:hAnsi="宋体" w:cs="宋体"/>
                <w:szCs w:val="21"/>
              </w:rPr>
              <w:t>1.1.夏装：</w:t>
            </w:r>
          </w:p>
          <w:p w14:paraId="64E61627">
            <w:pPr>
              <w:spacing w:line="360" w:lineRule="auto"/>
              <w:rPr>
                <w:rFonts w:ascii="宋体" w:hAnsi="宋体" w:cs="宋体"/>
                <w:szCs w:val="21"/>
              </w:rPr>
            </w:pPr>
            <w:r>
              <w:drawing>
                <wp:inline distT="0" distB="0" distL="114300" distR="114300">
                  <wp:extent cx="3693160" cy="2467610"/>
                  <wp:effectExtent l="0" t="0" r="2540" b="889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1" cstate="print"/>
                          <a:srcRect t="14967"/>
                          <a:stretch>
                            <a:fillRect/>
                          </a:stretch>
                        </pic:blipFill>
                        <pic:spPr>
                          <a:xfrm>
                            <a:off x="0" y="0"/>
                            <a:ext cx="3693160" cy="2467610"/>
                          </a:xfrm>
                          <a:prstGeom prst="rect">
                            <a:avLst/>
                          </a:prstGeom>
                          <a:noFill/>
                          <a:ln>
                            <a:noFill/>
                          </a:ln>
                        </pic:spPr>
                      </pic:pic>
                    </a:graphicData>
                  </a:graphic>
                </wp:inline>
              </w:drawing>
            </w:r>
          </w:p>
        </w:tc>
      </w:tr>
      <w:tr w14:paraId="6832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3E334F09">
            <w:pPr>
              <w:spacing w:line="360" w:lineRule="auto"/>
              <w:ind w:firstLine="420" w:firstLineChars="200"/>
              <w:rPr>
                <w:rFonts w:ascii="宋体" w:hAnsi="宋体" w:cs="宋体"/>
                <w:szCs w:val="21"/>
              </w:rPr>
            </w:pPr>
            <w:r>
              <w:rPr>
                <w:rFonts w:hint="eastAsia" w:ascii="宋体" w:hAnsi="宋体" w:cs="宋体"/>
                <w:szCs w:val="21"/>
              </w:rPr>
              <w:t>1.2.长袖衬衣：</w:t>
            </w:r>
          </w:p>
          <w:p w14:paraId="46C4B29D">
            <w:pPr>
              <w:spacing w:line="360" w:lineRule="auto"/>
            </w:pPr>
            <w:r>
              <w:rPr>
                <w:rFonts w:hint="eastAsia" w:ascii="宋体" w:hAnsi="宋体"/>
                <w:bCs/>
                <w:szCs w:val="21"/>
              </w:rPr>
              <w:drawing>
                <wp:anchor distT="0" distB="0" distL="85090" distR="85090" simplePos="0" relativeHeight="251666432" behindDoc="0" locked="0" layoutInCell="1" allowOverlap="1">
                  <wp:simplePos x="0" y="0"/>
                  <wp:positionH relativeFrom="column">
                    <wp:posOffset>164465</wp:posOffset>
                  </wp:positionH>
                  <wp:positionV relativeFrom="paragraph">
                    <wp:posOffset>7620</wp:posOffset>
                  </wp:positionV>
                  <wp:extent cx="1745615" cy="2526665"/>
                  <wp:effectExtent l="0" t="0" r="6985" b="6985"/>
                  <wp:wrapSquare wrapText="bothSides"/>
                  <wp:docPr id="22" name="图片 2" descr="599367461153325950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5993674611533259506367"/>
                          <pic:cNvPicPr>
                            <a:picLocks noChangeAspect="1"/>
                          </pic:cNvPicPr>
                        </pic:nvPicPr>
                        <pic:blipFill>
                          <a:blip r:embed="rId12" cstate="print"/>
                          <a:srcRect t="11891"/>
                          <a:stretch>
                            <a:fillRect/>
                          </a:stretch>
                        </pic:blipFill>
                        <pic:spPr>
                          <a:xfrm>
                            <a:off x="0" y="0"/>
                            <a:ext cx="1745615" cy="2526665"/>
                          </a:xfrm>
                          <a:prstGeom prst="rect">
                            <a:avLst/>
                          </a:prstGeom>
                          <a:noFill/>
                          <a:ln>
                            <a:noFill/>
                          </a:ln>
                        </pic:spPr>
                      </pic:pic>
                    </a:graphicData>
                  </a:graphic>
                </wp:anchor>
              </w:drawing>
            </w:r>
          </w:p>
        </w:tc>
      </w:tr>
      <w:tr w14:paraId="095F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2A96CD39">
            <w:pPr>
              <w:spacing w:line="360" w:lineRule="auto"/>
              <w:ind w:firstLine="420" w:firstLineChars="200"/>
              <w:rPr>
                <w:rFonts w:ascii="宋体" w:hAnsi="宋体" w:cs="宋体"/>
                <w:szCs w:val="21"/>
              </w:rPr>
            </w:pPr>
            <w:r>
              <w:rPr>
                <w:rFonts w:hint="eastAsia" w:ascii="宋体" w:hAnsi="宋体" w:cs="宋体"/>
                <w:szCs w:val="21"/>
              </w:rPr>
              <w:t>1.3.夹克：</w:t>
            </w:r>
          </w:p>
          <w:p w14:paraId="6FDB06EE">
            <w:pPr>
              <w:spacing w:line="360" w:lineRule="auto"/>
              <w:rPr>
                <w:rFonts w:ascii="宋体" w:hAnsi="宋体"/>
                <w:bCs/>
                <w:szCs w:val="21"/>
              </w:rPr>
            </w:pPr>
            <w:r>
              <w:rPr>
                <w:rFonts w:hint="eastAsia" w:ascii="宋体" w:hAnsi="宋体" w:cs="宋体"/>
                <w:szCs w:val="21"/>
              </w:rPr>
              <w:drawing>
                <wp:anchor distT="0" distB="0" distL="85090" distR="85090" simplePos="0" relativeHeight="251659264" behindDoc="0" locked="0" layoutInCell="1" allowOverlap="1">
                  <wp:simplePos x="0" y="0"/>
                  <wp:positionH relativeFrom="column">
                    <wp:posOffset>184785</wp:posOffset>
                  </wp:positionH>
                  <wp:positionV relativeFrom="paragraph">
                    <wp:posOffset>20320</wp:posOffset>
                  </wp:positionV>
                  <wp:extent cx="1485900" cy="1982470"/>
                  <wp:effectExtent l="0" t="0" r="0" b="17780"/>
                  <wp:wrapSquare wrapText="bothSides"/>
                  <wp:docPr id="23" name="图片 3" descr="884422875153325950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8844228751533259506370"/>
                          <pic:cNvPicPr>
                            <a:picLocks noChangeAspect="1"/>
                          </pic:cNvPicPr>
                        </pic:nvPicPr>
                        <pic:blipFill>
                          <a:blip r:embed="rId13" cstate="print"/>
                          <a:stretch>
                            <a:fillRect/>
                          </a:stretch>
                        </pic:blipFill>
                        <pic:spPr>
                          <a:xfrm>
                            <a:off x="0" y="0"/>
                            <a:ext cx="1485900" cy="1982470"/>
                          </a:xfrm>
                          <a:prstGeom prst="rect">
                            <a:avLst/>
                          </a:prstGeom>
                          <a:noFill/>
                          <a:ln>
                            <a:noFill/>
                          </a:ln>
                        </pic:spPr>
                      </pic:pic>
                    </a:graphicData>
                  </a:graphic>
                </wp:anchor>
              </w:drawing>
            </w:r>
          </w:p>
        </w:tc>
      </w:tr>
      <w:tr w14:paraId="1F0C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7A515566">
            <w:pPr>
              <w:widowControl/>
              <w:spacing w:line="360" w:lineRule="auto"/>
              <w:ind w:firstLine="420" w:firstLineChars="200"/>
              <w:rPr>
                <w:rFonts w:ascii="宋体" w:hAnsi="宋体" w:cs="宋体"/>
                <w:szCs w:val="21"/>
              </w:rPr>
            </w:pPr>
            <w:r>
              <w:rPr>
                <w:rFonts w:hint="eastAsia" w:ascii="宋体" w:hAnsi="宋体"/>
                <w:bCs/>
                <w:szCs w:val="21"/>
              </w:rPr>
              <w:t>1.4.裤子：参照查验裤样式，不设腿侧兜及裤口粘扣。</w:t>
            </w:r>
          </w:p>
        </w:tc>
      </w:tr>
      <w:tr w14:paraId="101C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30C374E9">
            <w:pPr>
              <w:spacing w:line="360" w:lineRule="auto"/>
              <w:ind w:firstLine="420" w:firstLineChars="200"/>
              <w:rPr>
                <w:rFonts w:ascii="宋体" w:hAnsi="宋体"/>
                <w:bCs/>
                <w:szCs w:val="21"/>
              </w:rPr>
            </w:pPr>
            <w:r>
              <w:rPr>
                <w:rFonts w:hint="eastAsia" w:ascii="宋体" w:hAnsi="宋体"/>
                <w:bCs/>
                <w:szCs w:val="21"/>
              </w:rPr>
              <w:t>1.5.腰带：织带腰带，腰带扣不设海关标志。</w:t>
            </w:r>
          </w:p>
          <w:p w14:paraId="635DA9E5">
            <w:pPr>
              <w:widowControl/>
              <w:spacing w:line="360" w:lineRule="auto"/>
              <w:ind w:firstLine="562" w:firstLineChars="200"/>
              <w:rPr>
                <w:rFonts w:ascii="宋体" w:hAnsi="宋体"/>
                <w:bCs/>
                <w:szCs w:val="21"/>
              </w:rPr>
            </w:pPr>
            <w:r>
              <w:rPr>
                <w:rFonts w:hint="eastAsia" w:ascii="方正仿宋_GBK" w:eastAsia="方正仿宋_GBK" w:cs="Sylfaen"/>
                <w:b/>
                <w:bCs/>
                <w:sz w:val="28"/>
                <w:szCs w:val="28"/>
              </w:rPr>
              <w:drawing>
                <wp:anchor distT="0" distB="0" distL="85090" distR="85090" simplePos="0" relativeHeight="251660288" behindDoc="0" locked="0" layoutInCell="1" allowOverlap="1">
                  <wp:simplePos x="0" y="0"/>
                  <wp:positionH relativeFrom="column">
                    <wp:posOffset>254635</wp:posOffset>
                  </wp:positionH>
                  <wp:positionV relativeFrom="paragraph">
                    <wp:posOffset>12700</wp:posOffset>
                  </wp:positionV>
                  <wp:extent cx="1480185" cy="1457325"/>
                  <wp:effectExtent l="0" t="0" r="5715" b="9525"/>
                  <wp:wrapSquare wrapText="bothSides"/>
                  <wp:docPr id="24" name="图片 4" descr="DSC_2841-上半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DSC_2841-上半身"/>
                          <pic:cNvPicPr>
                            <a:picLocks noChangeAspect="1"/>
                          </pic:cNvPicPr>
                        </pic:nvPicPr>
                        <pic:blipFill>
                          <a:blip r:embed="rId14" cstate="print"/>
                          <a:srcRect l="26146" t="47009" r="27179" b="8336"/>
                          <a:stretch>
                            <a:fillRect/>
                          </a:stretch>
                        </pic:blipFill>
                        <pic:spPr>
                          <a:xfrm>
                            <a:off x="0" y="0"/>
                            <a:ext cx="1480185" cy="1457325"/>
                          </a:xfrm>
                          <a:prstGeom prst="rect">
                            <a:avLst/>
                          </a:prstGeom>
                          <a:noFill/>
                          <a:ln>
                            <a:noFill/>
                          </a:ln>
                        </pic:spPr>
                      </pic:pic>
                    </a:graphicData>
                  </a:graphic>
                </wp:anchor>
              </w:drawing>
            </w:r>
          </w:p>
        </w:tc>
      </w:tr>
      <w:tr w14:paraId="09E5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7A5AEA30">
            <w:pPr>
              <w:spacing w:line="360" w:lineRule="auto"/>
              <w:ind w:firstLine="420" w:firstLineChars="200"/>
              <w:rPr>
                <w:rFonts w:ascii="宋体" w:hAnsi="宋体"/>
                <w:bCs/>
                <w:szCs w:val="21"/>
              </w:rPr>
            </w:pPr>
            <w:r>
              <w:rPr>
                <w:rFonts w:hint="eastAsia" w:ascii="宋体" w:hAnsi="宋体"/>
                <w:bCs/>
                <w:szCs w:val="21"/>
              </w:rPr>
              <w:t>1.6.帽子：参照查验帽样式，不设帽檐花边。</w:t>
            </w:r>
          </w:p>
          <w:p w14:paraId="435DF6F5">
            <w:pPr>
              <w:widowControl/>
              <w:spacing w:line="360" w:lineRule="auto"/>
              <w:ind w:firstLine="420" w:firstLineChars="200"/>
              <w:rPr>
                <w:rFonts w:ascii="方正仿宋_GBK" w:eastAsia="方正仿宋_GBK" w:cs="Sylfaen"/>
                <w:b/>
                <w:bCs/>
                <w:sz w:val="28"/>
                <w:szCs w:val="28"/>
              </w:rPr>
            </w:pPr>
            <w:r>
              <w:rPr>
                <w:rFonts w:hint="eastAsia" w:ascii="宋体" w:hAnsi="宋体"/>
                <w:bCs/>
                <w:szCs w:val="21"/>
              </w:rPr>
              <w:drawing>
                <wp:inline distT="0" distB="0" distL="114300" distR="114300">
                  <wp:extent cx="1579880" cy="1684020"/>
                  <wp:effectExtent l="0" t="0" r="1270" b="11430"/>
                  <wp:docPr id="26" name="图片 2" descr="843405144153325950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8434051441533259506449"/>
                          <pic:cNvPicPr>
                            <a:picLocks noChangeAspect="1"/>
                          </pic:cNvPicPr>
                        </pic:nvPicPr>
                        <pic:blipFill>
                          <a:blip r:embed="rId15" cstate="print"/>
                          <a:stretch>
                            <a:fillRect/>
                          </a:stretch>
                        </pic:blipFill>
                        <pic:spPr>
                          <a:xfrm>
                            <a:off x="0" y="0"/>
                            <a:ext cx="1579880" cy="1684020"/>
                          </a:xfrm>
                          <a:prstGeom prst="rect">
                            <a:avLst/>
                          </a:prstGeom>
                          <a:noFill/>
                          <a:ln>
                            <a:noFill/>
                          </a:ln>
                        </pic:spPr>
                      </pic:pic>
                    </a:graphicData>
                  </a:graphic>
                </wp:inline>
              </w:drawing>
            </w:r>
            <w:r>
              <w:rPr>
                <w:rFonts w:hint="eastAsia" w:ascii="宋体" w:hAnsi="宋体"/>
                <w:bCs/>
                <w:szCs w:val="21"/>
              </w:rPr>
              <w:drawing>
                <wp:anchor distT="0" distB="0" distL="85090" distR="85090" simplePos="0" relativeHeight="251661312" behindDoc="0" locked="0" layoutInCell="1" allowOverlap="1">
                  <wp:simplePos x="0" y="0"/>
                  <wp:positionH relativeFrom="column">
                    <wp:posOffset>236855</wp:posOffset>
                  </wp:positionH>
                  <wp:positionV relativeFrom="paragraph">
                    <wp:posOffset>59690</wp:posOffset>
                  </wp:positionV>
                  <wp:extent cx="1674495" cy="1802130"/>
                  <wp:effectExtent l="0" t="0" r="1905" b="7620"/>
                  <wp:wrapSquare wrapText="bothSides"/>
                  <wp:docPr id="25" name="图片 5" descr="254971645153325950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2549716451533259506380"/>
                          <pic:cNvPicPr>
                            <a:picLocks noChangeAspect="1"/>
                          </pic:cNvPicPr>
                        </pic:nvPicPr>
                        <pic:blipFill>
                          <a:blip r:embed="rId16" cstate="print"/>
                          <a:stretch>
                            <a:fillRect/>
                          </a:stretch>
                        </pic:blipFill>
                        <pic:spPr>
                          <a:xfrm>
                            <a:off x="0" y="0"/>
                            <a:ext cx="1674495" cy="1802130"/>
                          </a:xfrm>
                          <a:prstGeom prst="rect">
                            <a:avLst/>
                          </a:prstGeom>
                          <a:noFill/>
                          <a:ln>
                            <a:noFill/>
                          </a:ln>
                        </pic:spPr>
                      </pic:pic>
                    </a:graphicData>
                  </a:graphic>
                </wp:anchor>
              </w:drawing>
            </w:r>
          </w:p>
        </w:tc>
      </w:tr>
      <w:tr w14:paraId="2183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54A3B5B5">
            <w:pPr>
              <w:widowControl/>
              <w:spacing w:line="360" w:lineRule="auto"/>
              <w:ind w:firstLine="420" w:firstLineChars="200"/>
              <w:rPr>
                <w:rFonts w:ascii="宋体" w:hAnsi="宋体"/>
                <w:bCs/>
                <w:szCs w:val="21"/>
              </w:rPr>
            </w:pPr>
            <w:r>
              <w:rPr>
                <w:rFonts w:hint="eastAsia" w:ascii="宋体" w:hAnsi="宋体"/>
                <w:bCs/>
                <w:szCs w:val="21"/>
              </w:rPr>
              <w:t>1.7.皮鞋：系带黑皮鞋。</w:t>
            </w:r>
          </w:p>
        </w:tc>
      </w:tr>
      <w:tr w14:paraId="6DC9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10A1BE35">
            <w:pPr>
              <w:spacing w:line="360" w:lineRule="auto"/>
              <w:ind w:firstLine="420" w:firstLineChars="200"/>
              <w:rPr>
                <w:rFonts w:ascii="宋体" w:hAnsi="宋体"/>
                <w:bCs/>
                <w:szCs w:val="21"/>
              </w:rPr>
            </w:pPr>
            <w:r>
              <w:rPr>
                <w:rFonts w:hint="eastAsia" w:ascii="宋体" w:hAnsi="宋体"/>
                <w:bCs/>
                <w:szCs w:val="21"/>
              </w:rPr>
              <w:t>1.8.防寒服：视情况配备。</w:t>
            </w:r>
          </w:p>
          <w:p w14:paraId="4509B663">
            <w:pPr>
              <w:widowControl/>
              <w:spacing w:line="360" w:lineRule="auto"/>
              <w:ind w:firstLine="560" w:firstLineChars="200"/>
              <w:rPr>
                <w:rFonts w:ascii="宋体" w:hAnsi="宋体"/>
                <w:bCs/>
                <w:szCs w:val="21"/>
              </w:rPr>
            </w:pPr>
            <w:r>
              <w:rPr>
                <w:rFonts w:hint="eastAsia" w:ascii="方正仿宋_GBK" w:eastAsia="方正仿宋_GBK" w:cs="Sylfaen"/>
                <w:sz w:val="28"/>
                <w:szCs w:val="28"/>
              </w:rPr>
              <w:drawing>
                <wp:anchor distT="0" distB="0" distL="85090" distR="85090" simplePos="0" relativeHeight="251662336" behindDoc="0" locked="0" layoutInCell="1" allowOverlap="1">
                  <wp:simplePos x="0" y="0"/>
                  <wp:positionH relativeFrom="column">
                    <wp:posOffset>309245</wp:posOffset>
                  </wp:positionH>
                  <wp:positionV relativeFrom="paragraph">
                    <wp:posOffset>38100</wp:posOffset>
                  </wp:positionV>
                  <wp:extent cx="1549400" cy="1822450"/>
                  <wp:effectExtent l="0" t="0" r="12700" b="6350"/>
                  <wp:wrapSquare wrapText="bothSides"/>
                  <wp:docPr id="27" name="图片 6" descr="358256123153325950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3582561231533259506382"/>
                          <pic:cNvPicPr>
                            <a:picLocks noChangeAspect="1"/>
                          </pic:cNvPicPr>
                        </pic:nvPicPr>
                        <pic:blipFill>
                          <a:blip r:embed="rId17" cstate="print"/>
                          <a:stretch>
                            <a:fillRect/>
                          </a:stretch>
                        </pic:blipFill>
                        <pic:spPr>
                          <a:xfrm>
                            <a:off x="0" y="0"/>
                            <a:ext cx="1549400" cy="1822450"/>
                          </a:xfrm>
                          <a:prstGeom prst="rect">
                            <a:avLst/>
                          </a:prstGeom>
                          <a:noFill/>
                          <a:ln>
                            <a:noFill/>
                          </a:ln>
                        </pic:spPr>
                      </pic:pic>
                    </a:graphicData>
                  </a:graphic>
                </wp:anchor>
              </w:drawing>
            </w:r>
          </w:p>
        </w:tc>
      </w:tr>
      <w:tr w14:paraId="698F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0012B35F">
            <w:pPr>
              <w:spacing w:line="360" w:lineRule="auto"/>
              <w:ind w:firstLine="420" w:firstLineChars="200"/>
              <w:rPr>
                <w:rFonts w:ascii="宋体" w:hAnsi="宋体"/>
                <w:bCs/>
                <w:szCs w:val="21"/>
              </w:rPr>
            </w:pPr>
            <w:r>
              <w:rPr>
                <w:rFonts w:hint="eastAsia" w:ascii="宋体" w:hAnsi="宋体"/>
                <w:bCs/>
                <w:szCs w:val="21"/>
              </w:rPr>
              <w:t>2.标志（黑底、金色）</w:t>
            </w:r>
          </w:p>
        </w:tc>
      </w:tr>
      <w:tr w14:paraId="17CE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10B8BD73">
            <w:pPr>
              <w:spacing w:line="360" w:lineRule="auto"/>
              <w:ind w:firstLine="420" w:firstLineChars="200"/>
              <w:rPr>
                <w:rFonts w:ascii="宋体" w:hAnsi="宋体"/>
                <w:bCs/>
                <w:szCs w:val="21"/>
              </w:rPr>
            </w:pPr>
            <w:r>
              <w:rPr>
                <w:rFonts w:hint="eastAsia" w:ascii="宋体" w:hAnsi="宋体"/>
                <w:bCs/>
                <w:szCs w:val="21"/>
              </w:rPr>
              <w:t>2.1.套式肩章</w:t>
            </w:r>
          </w:p>
          <w:p w14:paraId="20BD5E81">
            <w:pPr>
              <w:widowControl/>
              <w:spacing w:line="360" w:lineRule="auto"/>
              <w:ind w:firstLine="420" w:firstLineChars="200"/>
              <w:rPr>
                <w:rFonts w:ascii="方正仿宋_GBK" w:eastAsia="方正仿宋_GBK" w:cs="Sylfaen"/>
                <w:sz w:val="28"/>
                <w:szCs w:val="28"/>
              </w:rPr>
            </w:pPr>
            <w:r>
              <w:rPr>
                <w:rFonts w:hint="eastAsia" w:ascii="宋体" w:hAnsi="宋体"/>
                <w:bCs/>
                <w:szCs w:val="21"/>
              </w:rPr>
              <w:drawing>
                <wp:anchor distT="0" distB="0" distL="85090" distR="85090" simplePos="0" relativeHeight="251663360" behindDoc="0" locked="0" layoutInCell="1" allowOverlap="1">
                  <wp:simplePos x="0" y="0"/>
                  <wp:positionH relativeFrom="column">
                    <wp:posOffset>306705</wp:posOffset>
                  </wp:positionH>
                  <wp:positionV relativeFrom="paragraph">
                    <wp:posOffset>13970</wp:posOffset>
                  </wp:positionV>
                  <wp:extent cx="2273300" cy="1214120"/>
                  <wp:effectExtent l="0" t="0" r="12700" b="5080"/>
                  <wp:wrapSquare wrapText="bothSides"/>
                  <wp:docPr id="28" name="图片 7" descr="943027128153325950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9430271281533259506387"/>
                          <pic:cNvPicPr>
                            <a:picLocks noChangeAspect="1"/>
                          </pic:cNvPicPr>
                        </pic:nvPicPr>
                        <pic:blipFill>
                          <a:blip r:embed="rId18" cstate="print"/>
                          <a:stretch>
                            <a:fillRect/>
                          </a:stretch>
                        </pic:blipFill>
                        <pic:spPr>
                          <a:xfrm>
                            <a:off x="0" y="0"/>
                            <a:ext cx="2273300" cy="1214120"/>
                          </a:xfrm>
                          <a:prstGeom prst="rect">
                            <a:avLst/>
                          </a:prstGeom>
                          <a:noFill/>
                          <a:ln>
                            <a:noFill/>
                          </a:ln>
                        </pic:spPr>
                      </pic:pic>
                    </a:graphicData>
                  </a:graphic>
                </wp:anchor>
              </w:drawing>
            </w:r>
          </w:p>
        </w:tc>
      </w:tr>
      <w:tr w14:paraId="3587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007886F1">
            <w:pPr>
              <w:spacing w:line="360" w:lineRule="auto"/>
              <w:ind w:firstLine="420" w:firstLineChars="200"/>
              <w:rPr>
                <w:rFonts w:ascii="宋体" w:hAnsi="宋体"/>
                <w:bCs/>
                <w:szCs w:val="21"/>
              </w:rPr>
            </w:pPr>
            <w:r>
              <w:rPr>
                <w:rFonts w:hint="eastAsia" w:ascii="宋体" w:hAnsi="宋体"/>
                <w:bCs/>
                <w:szCs w:val="21"/>
              </w:rPr>
              <w:t>2.2.臂章</w:t>
            </w:r>
          </w:p>
          <w:p w14:paraId="5087E1F6">
            <w:pPr>
              <w:spacing w:line="360" w:lineRule="auto"/>
              <w:ind w:firstLine="420" w:firstLineChars="200"/>
              <w:rPr>
                <w:rFonts w:ascii="宋体" w:hAnsi="宋体"/>
                <w:bCs/>
                <w:szCs w:val="21"/>
              </w:rPr>
            </w:pPr>
            <w:r>
              <w:rPr>
                <w:rFonts w:hint="eastAsia" w:ascii="宋体" w:hAnsi="宋体"/>
                <w:bCs/>
                <w:szCs w:val="21"/>
              </w:rPr>
              <w:drawing>
                <wp:anchor distT="0" distB="0" distL="85090" distR="85090" simplePos="0" relativeHeight="251664384" behindDoc="0" locked="0" layoutInCell="1" allowOverlap="1">
                  <wp:simplePos x="0" y="0"/>
                  <wp:positionH relativeFrom="column">
                    <wp:posOffset>321310</wp:posOffset>
                  </wp:positionH>
                  <wp:positionV relativeFrom="paragraph">
                    <wp:posOffset>5080</wp:posOffset>
                  </wp:positionV>
                  <wp:extent cx="1641475" cy="1832610"/>
                  <wp:effectExtent l="0" t="0" r="15875" b="15240"/>
                  <wp:wrapSquare wrapText="bothSides"/>
                  <wp:docPr id="29" name="图片 8" descr="725837512153325950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7258375121533259506391"/>
                          <pic:cNvPicPr>
                            <a:picLocks noChangeAspect="1"/>
                          </pic:cNvPicPr>
                        </pic:nvPicPr>
                        <pic:blipFill>
                          <a:blip r:embed="rId19" cstate="print"/>
                          <a:stretch>
                            <a:fillRect/>
                          </a:stretch>
                        </pic:blipFill>
                        <pic:spPr>
                          <a:xfrm>
                            <a:off x="0" y="0"/>
                            <a:ext cx="1641475" cy="1832610"/>
                          </a:xfrm>
                          <a:prstGeom prst="rect">
                            <a:avLst/>
                          </a:prstGeom>
                          <a:noFill/>
                          <a:ln>
                            <a:noFill/>
                          </a:ln>
                        </pic:spPr>
                      </pic:pic>
                    </a:graphicData>
                  </a:graphic>
                </wp:anchor>
              </w:drawing>
            </w:r>
          </w:p>
          <w:p w14:paraId="6163EACC">
            <w:pPr>
              <w:spacing w:line="360" w:lineRule="auto"/>
              <w:ind w:firstLine="420" w:firstLineChars="200"/>
              <w:rPr>
                <w:rFonts w:ascii="宋体" w:hAnsi="宋体"/>
                <w:bCs/>
                <w:szCs w:val="21"/>
              </w:rPr>
            </w:pPr>
          </w:p>
          <w:p w14:paraId="0440151D">
            <w:pPr>
              <w:spacing w:line="360" w:lineRule="auto"/>
              <w:ind w:firstLine="420" w:firstLineChars="200"/>
              <w:rPr>
                <w:rFonts w:ascii="宋体" w:hAnsi="宋体"/>
                <w:bCs/>
                <w:szCs w:val="21"/>
              </w:rPr>
            </w:pPr>
          </w:p>
          <w:p w14:paraId="3EDE6D5F">
            <w:pPr>
              <w:widowControl/>
              <w:spacing w:line="360" w:lineRule="auto"/>
              <w:ind w:firstLine="420" w:firstLineChars="200"/>
              <w:rPr>
                <w:rFonts w:ascii="宋体" w:hAnsi="宋体"/>
                <w:bCs/>
                <w:szCs w:val="21"/>
              </w:rPr>
            </w:pPr>
          </w:p>
        </w:tc>
      </w:tr>
      <w:tr w14:paraId="565F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tcPr>
          <w:p w14:paraId="4F0CF4C8">
            <w:pPr>
              <w:spacing w:line="360" w:lineRule="auto"/>
              <w:ind w:firstLine="420" w:firstLineChars="200"/>
              <w:rPr>
                <w:rFonts w:ascii="宋体" w:hAnsi="宋体"/>
                <w:bCs/>
                <w:szCs w:val="21"/>
              </w:rPr>
            </w:pPr>
            <w:r>
              <w:rPr>
                <w:rFonts w:hint="eastAsia" w:ascii="宋体" w:hAnsi="宋体"/>
                <w:bCs/>
                <w:szCs w:val="21"/>
              </w:rPr>
              <w:t>2.3.胸标</w:t>
            </w:r>
          </w:p>
          <w:p w14:paraId="7B82F12E">
            <w:pPr>
              <w:ind w:firstLine="560" w:firstLineChars="200"/>
              <w:rPr>
                <w:b/>
                <w:snapToGrid w:val="0"/>
                <w:kern w:val="0"/>
                <w:sz w:val="24"/>
              </w:rPr>
            </w:pPr>
            <w:r>
              <w:rPr>
                <w:rFonts w:hint="eastAsia" w:ascii="方正仿宋_GBK" w:eastAsia="方正仿宋_GBK" w:cs="Sylfaen"/>
                <w:sz w:val="28"/>
                <w:szCs w:val="28"/>
              </w:rPr>
              <w:drawing>
                <wp:anchor distT="0" distB="0" distL="85090" distR="85090" simplePos="0" relativeHeight="251665408" behindDoc="0" locked="0" layoutInCell="1" allowOverlap="1">
                  <wp:simplePos x="0" y="0"/>
                  <wp:positionH relativeFrom="column">
                    <wp:posOffset>226060</wp:posOffset>
                  </wp:positionH>
                  <wp:positionV relativeFrom="paragraph">
                    <wp:posOffset>31750</wp:posOffset>
                  </wp:positionV>
                  <wp:extent cx="1838960" cy="735330"/>
                  <wp:effectExtent l="0" t="0" r="8890" b="7620"/>
                  <wp:wrapSquare wrapText="bothSides"/>
                  <wp:docPr id="30" name="图片 9" descr="5498895153325950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54988951533259506389"/>
                          <pic:cNvPicPr>
                            <a:picLocks noChangeAspect="1"/>
                          </pic:cNvPicPr>
                        </pic:nvPicPr>
                        <pic:blipFill>
                          <a:blip r:embed="rId20" cstate="print"/>
                          <a:stretch>
                            <a:fillRect/>
                          </a:stretch>
                        </pic:blipFill>
                        <pic:spPr>
                          <a:xfrm>
                            <a:off x="0" y="0"/>
                            <a:ext cx="1838960" cy="735330"/>
                          </a:xfrm>
                          <a:prstGeom prst="rect">
                            <a:avLst/>
                          </a:prstGeom>
                          <a:noFill/>
                          <a:ln>
                            <a:noFill/>
                          </a:ln>
                        </pic:spPr>
                      </pic:pic>
                    </a:graphicData>
                  </a:graphic>
                </wp:anchor>
              </w:drawing>
            </w:r>
          </w:p>
          <w:p w14:paraId="3F21D97D">
            <w:pPr>
              <w:pStyle w:val="411"/>
            </w:pPr>
          </w:p>
          <w:p w14:paraId="5B41D564">
            <w:pPr>
              <w:pStyle w:val="411"/>
            </w:pPr>
          </w:p>
          <w:p w14:paraId="27EE2C41">
            <w:pPr>
              <w:widowControl/>
              <w:spacing w:line="360" w:lineRule="auto"/>
              <w:ind w:firstLine="420" w:firstLineChars="200"/>
              <w:rPr>
                <w:rFonts w:ascii="宋体" w:hAnsi="宋体"/>
                <w:bCs/>
                <w:szCs w:val="21"/>
              </w:rPr>
            </w:pPr>
          </w:p>
        </w:tc>
      </w:tr>
    </w:tbl>
    <w:p w14:paraId="45763ADB"/>
    <w:p w14:paraId="3AAD57A3">
      <w:pPr>
        <w:pStyle w:val="323"/>
        <w:numPr>
          <w:ilvl w:val="0"/>
          <w:numId w:val="5"/>
        </w:numPr>
        <w:ind w:firstLine="0" w:firstLineChars="0"/>
        <w:rPr>
          <w:rFonts w:cs="宋体"/>
          <w:b/>
          <w:sz w:val="21"/>
          <w:szCs w:val="21"/>
        </w:rPr>
      </w:pPr>
      <w:r>
        <w:rPr>
          <w:rFonts w:hint="eastAsia" w:cs="宋体"/>
          <w:b/>
          <w:szCs w:val="21"/>
        </w:rPr>
        <w:t>项</w:t>
      </w:r>
      <w:r>
        <w:rPr>
          <w:rFonts w:hint="eastAsia" w:cs="宋体"/>
          <w:b/>
          <w:sz w:val="21"/>
          <w:szCs w:val="21"/>
        </w:rPr>
        <w:t>目商务要求</w:t>
      </w:r>
    </w:p>
    <w:p w14:paraId="1EBAC962">
      <w:pPr>
        <w:spacing w:line="360" w:lineRule="auto"/>
        <w:ind w:firstLine="422" w:firstLineChars="200"/>
        <w:jc w:val="left"/>
        <w:rPr>
          <w:rFonts w:ascii="宋体" w:hAnsi="宋体" w:cs="宋体"/>
          <w:b/>
          <w:bCs/>
          <w:szCs w:val="21"/>
        </w:rPr>
      </w:pPr>
      <w:r>
        <w:rPr>
          <w:rFonts w:hint="eastAsia" w:ascii="宋体" w:hAnsi="宋体" w:cs="宋体"/>
          <w:b/>
          <w:bCs/>
          <w:szCs w:val="21"/>
        </w:rPr>
        <w:t>1、签定合同日期：</w:t>
      </w:r>
    </w:p>
    <w:p w14:paraId="72E76628">
      <w:pPr>
        <w:spacing w:line="360" w:lineRule="auto"/>
        <w:ind w:firstLine="420" w:firstLineChars="200"/>
        <w:jc w:val="left"/>
        <w:rPr>
          <w:rFonts w:ascii="宋体" w:hAnsi="宋体" w:cs="宋体"/>
          <w:szCs w:val="21"/>
        </w:rPr>
      </w:pPr>
      <w:r>
        <w:rPr>
          <w:rFonts w:hint="eastAsia" w:ascii="宋体" w:hAnsi="宋体" w:cs="宋体"/>
          <w:szCs w:val="21"/>
        </w:rPr>
        <w:t>自中标通知书发出之日起</w:t>
      </w:r>
      <w:r>
        <w:rPr>
          <w:rFonts w:hint="eastAsia" w:ascii="宋体" w:hAnsi="宋体" w:cs="宋体"/>
          <w:szCs w:val="21"/>
          <w:lang w:val="en-US" w:eastAsia="zh-CN"/>
        </w:rPr>
        <w:t>15</w:t>
      </w:r>
      <w:r>
        <w:rPr>
          <w:rFonts w:hint="eastAsia"/>
        </w:rPr>
        <w:t>个自然日</w:t>
      </w:r>
      <w:r>
        <w:rPr>
          <w:rFonts w:hint="eastAsia" w:ascii="宋体" w:hAnsi="宋体" w:cs="宋体"/>
          <w:szCs w:val="21"/>
        </w:rPr>
        <w:t>内。</w:t>
      </w:r>
    </w:p>
    <w:p w14:paraId="4CF3A966">
      <w:pPr>
        <w:spacing w:line="360" w:lineRule="auto"/>
        <w:ind w:firstLine="422" w:firstLineChars="200"/>
        <w:jc w:val="left"/>
        <w:rPr>
          <w:rFonts w:ascii="宋体" w:hAnsi="宋体" w:cs="宋体"/>
          <w:b/>
          <w:bCs/>
          <w:szCs w:val="21"/>
          <w:highlight w:val="yellow"/>
        </w:rPr>
      </w:pPr>
      <w:r>
        <w:rPr>
          <w:rFonts w:hint="eastAsia" w:ascii="宋体" w:hAnsi="宋体" w:cs="宋体"/>
          <w:b/>
          <w:bCs/>
          <w:szCs w:val="21"/>
          <w:highlight w:val="yellow"/>
        </w:rPr>
        <w:t>★</w:t>
      </w:r>
      <w:r>
        <w:rPr>
          <w:rFonts w:ascii="宋体" w:hAnsi="宋体" w:cs="宋体"/>
          <w:b/>
          <w:bCs/>
          <w:szCs w:val="21"/>
          <w:highlight w:val="yellow"/>
        </w:rPr>
        <w:t>2</w:t>
      </w:r>
      <w:r>
        <w:rPr>
          <w:rFonts w:hint="eastAsia" w:ascii="宋体" w:hAnsi="宋体" w:cs="宋体"/>
          <w:b/>
          <w:bCs/>
          <w:szCs w:val="21"/>
          <w:highlight w:val="yellow"/>
        </w:rPr>
        <w:t>、服务期限：</w:t>
      </w:r>
    </w:p>
    <w:p w14:paraId="45C50168">
      <w:pPr>
        <w:spacing w:line="360" w:lineRule="auto"/>
        <w:ind w:firstLine="420" w:firstLineChars="200"/>
        <w:jc w:val="left"/>
        <w:rPr>
          <w:rFonts w:ascii="宋体" w:hAnsi="宋体" w:cs="宋体"/>
          <w:szCs w:val="21"/>
          <w:highlight w:val="yellow"/>
        </w:rPr>
      </w:pPr>
      <w:r>
        <w:rPr>
          <w:rFonts w:hint="eastAsia" w:ascii="宋体" w:hAnsi="宋体" w:cs="宋体"/>
          <w:snapToGrid w:val="0"/>
          <w:szCs w:val="21"/>
          <w:highlight w:val="yellow"/>
        </w:rPr>
        <w:t>自合同约定之日起一年。该项目为一招两年服务项目，合同一年一签。采购人根据项目需求和中标人履约情况，评估确定是否续签第二年合同。</w:t>
      </w:r>
    </w:p>
    <w:p w14:paraId="2A63A12C">
      <w:pPr>
        <w:spacing w:line="360" w:lineRule="auto"/>
        <w:ind w:firstLine="422" w:firstLineChars="200"/>
        <w:jc w:val="left"/>
        <w:rPr>
          <w:rFonts w:ascii="宋体" w:hAnsi="宋体" w:cs="宋体"/>
          <w:b/>
          <w:bCs/>
          <w:szCs w:val="21"/>
        </w:rPr>
      </w:pPr>
      <w:r>
        <w:rPr>
          <w:rFonts w:hint="eastAsia" w:ascii="宋体" w:hAnsi="宋体" w:cs="宋体"/>
          <w:b/>
          <w:bCs/>
          <w:szCs w:val="21"/>
        </w:rPr>
        <w:t>3、服务地点：</w:t>
      </w:r>
    </w:p>
    <w:p w14:paraId="2BF9B198">
      <w:pPr>
        <w:spacing w:line="360" w:lineRule="auto"/>
        <w:ind w:firstLine="420" w:firstLineChars="200"/>
        <w:jc w:val="left"/>
        <w:rPr>
          <w:rFonts w:ascii="宋体" w:hAnsi="宋体" w:cs="宋体"/>
          <w:szCs w:val="21"/>
        </w:rPr>
      </w:pPr>
      <w:r>
        <w:rPr>
          <w:rFonts w:hint="eastAsia" w:ascii="宋体" w:hAnsi="宋体" w:cs="宋体"/>
          <w:szCs w:val="21"/>
        </w:rPr>
        <w:t>深圳海关东部、西部片区各海关业务现场。</w:t>
      </w:r>
    </w:p>
    <w:p w14:paraId="11A246B0">
      <w:pPr>
        <w:spacing w:line="360" w:lineRule="auto"/>
        <w:ind w:firstLine="422" w:firstLineChars="200"/>
        <w:jc w:val="left"/>
        <w:rPr>
          <w:rFonts w:ascii="宋体" w:hAnsi="宋体" w:cs="宋体"/>
          <w:b/>
          <w:bCs/>
          <w:szCs w:val="21"/>
        </w:rPr>
      </w:pPr>
      <w:r>
        <w:rPr>
          <w:rFonts w:hint="eastAsia" w:ascii="宋体" w:hAnsi="宋体" w:cs="宋体"/>
          <w:b/>
          <w:bCs/>
          <w:szCs w:val="21"/>
        </w:rPr>
        <w:t>4、付款方式：</w:t>
      </w:r>
    </w:p>
    <w:p w14:paraId="0FBE4198">
      <w:pPr>
        <w:spacing w:line="360" w:lineRule="auto"/>
        <w:ind w:firstLine="420" w:firstLineChars="200"/>
        <w:rPr>
          <w:rFonts w:ascii="宋体" w:hAnsi="宋体" w:cs="宋体"/>
          <w:szCs w:val="21"/>
        </w:rPr>
      </w:pPr>
      <w:r>
        <w:rPr>
          <w:rFonts w:hint="eastAsia" w:ascii="宋体" w:hAnsi="宋体" w:cs="宋体"/>
          <w:szCs w:val="21"/>
        </w:rPr>
        <w:t>（1）合同签订后，采购人根据中标人提供的有效票据，向中标人支付合同总金额的1%，供中标人组织招聘、购置当季制服使用。以上款项在合同期内第二个月和第三个月之间平均分摊。</w:t>
      </w:r>
    </w:p>
    <w:p w14:paraId="0EC8061B">
      <w:pPr>
        <w:spacing w:line="360" w:lineRule="auto"/>
        <w:ind w:firstLine="420" w:firstLineChars="200"/>
        <w:rPr>
          <w:rFonts w:ascii="宋体" w:hAnsi="宋体" w:cs="宋体"/>
          <w:szCs w:val="21"/>
        </w:rPr>
      </w:pPr>
      <w:r>
        <w:rPr>
          <w:rFonts w:hint="eastAsia" w:ascii="宋体" w:hAnsi="宋体" w:cs="宋体"/>
          <w:szCs w:val="21"/>
        </w:rPr>
        <w:t>（2）第二个月起，采购人对中标人提供的协管员服务情况进行考核确认，中标人应根据采购人考核结果，于每月5日前提供上月费用的发票及相关凭证。采购人在收到中标人发票及相关凭证的10个工作日内对支付金额进行审核，并转账支付。</w:t>
      </w:r>
    </w:p>
    <w:p w14:paraId="419E91C9">
      <w:pPr>
        <w:spacing w:line="360" w:lineRule="auto"/>
        <w:ind w:firstLine="420" w:firstLineChars="200"/>
        <w:rPr>
          <w:rFonts w:ascii="宋体" w:hAnsi="宋体" w:cs="宋体"/>
          <w:szCs w:val="21"/>
        </w:rPr>
      </w:pPr>
      <w:r>
        <w:rPr>
          <w:rFonts w:hint="eastAsia" w:ascii="宋体" w:hAnsi="宋体" w:cs="宋体"/>
          <w:szCs w:val="21"/>
        </w:rPr>
        <w:t>（3）服务期末月，中标人在服务期届满后10个自然日内提供末月费用的发票及相关凭证，采购人在收到发票及相关凭证后的10个工作日内对支付金额进行审核，并转账支付。</w:t>
      </w:r>
    </w:p>
    <w:p w14:paraId="0BA41B38">
      <w:pPr>
        <w:spacing w:line="360" w:lineRule="auto"/>
        <w:ind w:firstLine="420" w:firstLineChars="200"/>
        <w:rPr>
          <w:rFonts w:ascii="宋体" w:hAnsi="宋体" w:cs="宋体"/>
          <w:szCs w:val="21"/>
        </w:rPr>
      </w:pPr>
      <w:r>
        <w:rPr>
          <w:rFonts w:hint="eastAsia" w:ascii="宋体" w:hAnsi="宋体" w:cs="宋体"/>
          <w:szCs w:val="21"/>
        </w:rPr>
        <w:t>（4）服务期内，采购人因深圳市财政额度未拨付到位导致无法按约定时间支付服务费时，采购人可根据市财政额度到位情况调整服务费支付时间，期间由中标人负责先行支付协管员相关福利待遇，如中标人确有困难无法完成支付，可由双方协商解决。</w:t>
      </w:r>
    </w:p>
    <w:p w14:paraId="466A7B38">
      <w:pPr>
        <w:spacing w:line="360" w:lineRule="auto"/>
        <w:ind w:firstLine="420" w:firstLineChars="200"/>
        <w:jc w:val="left"/>
        <w:rPr>
          <w:rFonts w:ascii="宋体" w:hAnsi="宋体" w:cs="宋体"/>
          <w:b/>
          <w:bCs/>
          <w:szCs w:val="21"/>
          <w:highlight w:val="yellow"/>
        </w:rPr>
      </w:pPr>
      <w:r>
        <w:rPr>
          <w:rFonts w:hint="eastAsia" w:ascii="宋体" w:hAnsi="宋体" w:cs="宋体"/>
          <w:szCs w:val="21"/>
          <w:highlight w:val="yellow"/>
        </w:rPr>
        <w:t>★</w:t>
      </w:r>
      <w:r>
        <w:rPr>
          <w:rFonts w:hint="eastAsia" w:ascii="宋体" w:hAnsi="宋体" w:cs="宋体"/>
          <w:b/>
          <w:bCs/>
          <w:szCs w:val="21"/>
          <w:highlight w:val="yellow"/>
        </w:rPr>
        <w:t>5、报价要求：</w:t>
      </w:r>
    </w:p>
    <w:p w14:paraId="71AD1942">
      <w:pPr>
        <w:wordWrap w:val="0"/>
        <w:spacing w:line="360" w:lineRule="auto"/>
        <w:ind w:firstLine="420" w:firstLineChars="200"/>
        <w:rPr>
          <w:rFonts w:ascii="宋体"/>
          <w:b/>
          <w:bCs/>
          <w:szCs w:val="21"/>
          <w:highlight w:val="yellow"/>
        </w:rPr>
      </w:pPr>
      <w:r>
        <w:rPr>
          <w:rFonts w:hint="eastAsia" w:ascii="宋体"/>
          <w:szCs w:val="21"/>
          <w:highlight w:val="yellow"/>
        </w:rPr>
        <w:t>投标报价包括但不限于</w:t>
      </w:r>
      <w:r>
        <w:rPr>
          <w:rFonts w:hint="eastAsia" w:ascii="宋体" w:hAnsi="宋体" w:cs="宋体"/>
          <w:szCs w:val="21"/>
          <w:highlight w:val="yellow"/>
        </w:rPr>
        <w:t>基本</w:t>
      </w:r>
      <w:r>
        <w:rPr>
          <w:rFonts w:hint="eastAsia" w:ascii="宋体"/>
          <w:szCs w:val="21"/>
          <w:highlight w:val="yellow"/>
        </w:rPr>
        <w:t>工资、</w:t>
      </w:r>
      <w:r>
        <w:rPr>
          <w:rFonts w:hint="eastAsia" w:ascii="宋体" w:hAnsi="宋体" w:cs="宋体"/>
          <w:szCs w:val="21"/>
          <w:highlight w:val="yellow"/>
        </w:rPr>
        <w:t>绩效奖金、法定节假日加班费、社会保险（含养老保险、医疗保险、工伤保险、失业保险和生育保险）和人身意外险</w:t>
      </w:r>
      <w:r>
        <w:rPr>
          <w:rFonts w:hint="eastAsia" w:ascii="宋体"/>
          <w:szCs w:val="21"/>
          <w:highlight w:val="yellow"/>
        </w:rPr>
        <w:t>、住房公积金、</w:t>
      </w:r>
      <w:r>
        <w:rPr>
          <w:rFonts w:hint="eastAsia" w:ascii="宋体" w:hAnsi="宋体" w:cs="宋体"/>
          <w:szCs w:val="21"/>
          <w:highlight w:val="yellow"/>
        </w:rPr>
        <w:t>高温补贴、</w:t>
      </w:r>
      <w:r>
        <w:rPr>
          <w:rFonts w:hint="eastAsia" w:ascii="宋体"/>
          <w:szCs w:val="21"/>
          <w:highlight w:val="yellow"/>
        </w:rPr>
        <w:t>特殊岗位补助、</w:t>
      </w:r>
      <w:r>
        <w:rPr>
          <w:rFonts w:hint="eastAsia"/>
          <w:highlight w:val="yellow"/>
        </w:rPr>
        <w:t>食宿费、服装费</w:t>
      </w:r>
      <w:r>
        <w:rPr>
          <w:rFonts w:hint="eastAsia" w:ascii="宋体"/>
          <w:szCs w:val="21"/>
          <w:highlight w:val="yellow"/>
        </w:rPr>
        <w:t>、经济赔偿金、补偿金、培训费、健康体检费、</w:t>
      </w:r>
      <w:r>
        <w:rPr>
          <w:rFonts w:hint="eastAsia"/>
          <w:highlight w:val="yellow"/>
        </w:rPr>
        <w:t>国家法定税费及其他费用</w:t>
      </w:r>
      <w:r>
        <w:rPr>
          <w:rFonts w:hint="eastAsia" w:ascii="宋体"/>
          <w:szCs w:val="21"/>
          <w:highlight w:val="yellow"/>
        </w:rPr>
        <w:t>。由投标人根据招标文件所提供的资料自行测算投标报价。其中</w:t>
      </w:r>
      <w:r>
        <w:rPr>
          <w:rFonts w:hint="eastAsia" w:ascii="宋体" w:hAnsi="宋体" w:cs="宋体"/>
          <w:bCs/>
          <w:szCs w:val="21"/>
          <w:highlight w:val="yellow"/>
        </w:rPr>
        <w:t>A包投标报价不得超过人民币</w:t>
      </w:r>
      <w:r>
        <w:rPr>
          <w:rFonts w:hint="eastAsia" w:ascii="宋体" w:hAnsi="宋体" w:cs="宋体"/>
          <w:szCs w:val="21"/>
          <w:highlight w:val="yellow"/>
        </w:rPr>
        <w:t>47,961,216.00元/年</w:t>
      </w:r>
      <w:r>
        <w:rPr>
          <w:rFonts w:hint="eastAsia" w:ascii="宋体" w:hAnsi="宋体" w:cs="宋体"/>
          <w:bCs/>
          <w:szCs w:val="21"/>
          <w:highlight w:val="yellow"/>
        </w:rPr>
        <w:t>，B包投标报价不得超过人民币</w:t>
      </w:r>
      <w:r>
        <w:rPr>
          <w:rFonts w:hint="eastAsia" w:ascii="宋体" w:hAnsi="宋体" w:cs="宋体"/>
          <w:szCs w:val="21"/>
          <w:highlight w:val="yellow"/>
        </w:rPr>
        <w:t>49,175,424.00元/年</w:t>
      </w:r>
      <w:r>
        <w:rPr>
          <w:rFonts w:hint="eastAsia" w:ascii="宋体" w:hAnsi="宋体" w:cs="宋体"/>
          <w:bCs/>
          <w:szCs w:val="21"/>
          <w:highlight w:val="yellow"/>
        </w:rPr>
        <w:t>，投标人投标报价超过以上各包组预算金额或最高限价的将导致投标无效。</w:t>
      </w:r>
    </w:p>
    <w:p w14:paraId="18D13AA7">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6、其他要求：</w:t>
      </w:r>
    </w:p>
    <w:p w14:paraId="6A7150FC">
      <w:pPr>
        <w:widowControl w:val="0"/>
        <w:numPr>
          <w:ilvl w:val="0"/>
          <w:numId w:val="6"/>
        </w:numPr>
        <w:wordWrap w:val="0"/>
        <w:spacing w:line="360" w:lineRule="auto"/>
        <w:ind w:firstLine="420" w:firstLineChars="200"/>
        <w:rPr>
          <w:rFonts w:hint="eastAsia" w:ascii="宋体" w:hAnsi="宋体" w:cs="宋体"/>
          <w:bCs/>
          <w:szCs w:val="21"/>
        </w:rPr>
      </w:pPr>
      <w:r>
        <w:rPr>
          <w:rFonts w:hint="eastAsia" w:ascii="宋体" w:hAnsi="宋体" w:cs="宋体"/>
          <w:bCs/>
          <w:szCs w:val="21"/>
        </w:rPr>
        <w:t>采购人采取包干的方式向中标人支付费用，合同中将根据招标文件需求、投标文件响应内容及中标报价情况约定采购人支付的每月包干费用金额及合同总额。</w:t>
      </w:r>
    </w:p>
    <w:p w14:paraId="5E606DBE">
      <w:pPr>
        <w:widowControl w:val="0"/>
        <w:wordWrap w:val="0"/>
        <w:spacing w:line="360" w:lineRule="auto"/>
        <w:ind w:firstLine="420" w:firstLineChars="200"/>
        <w:rPr>
          <w:rFonts w:hint="eastAsia" w:ascii="宋体" w:hAnsi="宋体" w:cs="宋体"/>
          <w:color w:val="000000" w:themeColor="text1"/>
          <w:szCs w:val="21"/>
          <w:highlight w:val="yellow"/>
          <w14:textFill>
            <w14:solidFill>
              <w14:schemeClr w14:val="tx1"/>
            </w14:solidFill>
          </w14:textFill>
        </w:rPr>
      </w:pPr>
      <w:r>
        <w:rPr>
          <w:rFonts w:hint="eastAsia" w:ascii="宋体" w:hAnsi="宋体" w:cs="宋体"/>
          <w:szCs w:val="21"/>
          <w:highlight w:val="yellow"/>
        </w:rPr>
        <w:t>★</w:t>
      </w:r>
      <w:r>
        <w:rPr>
          <w:rFonts w:hint="eastAsia" w:ascii="宋体" w:hAnsi="宋体" w:cs="宋体"/>
          <w:color w:val="000000" w:themeColor="text1"/>
          <w:szCs w:val="21"/>
          <w:highlight w:val="yellow"/>
          <w:lang w:eastAsia="zh-CN"/>
          <w14:textFill>
            <w14:solidFill>
              <w14:schemeClr w14:val="tx1"/>
            </w14:solidFill>
          </w14:textFill>
        </w:rPr>
        <w:t>（</w:t>
      </w:r>
      <w:r>
        <w:rPr>
          <w:rFonts w:hint="eastAsia" w:ascii="宋体" w:hAnsi="宋体" w:cs="宋体"/>
          <w:color w:val="000000" w:themeColor="text1"/>
          <w:szCs w:val="21"/>
          <w:highlight w:val="yellow"/>
          <w:lang w:val="en-US" w:eastAsia="zh-CN"/>
          <w14:textFill>
            <w14:solidFill>
              <w14:schemeClr w14:val="tx1"/>
            </w14:solidFill>
          </w14:textFill>
        </w:rPr>
        <w:t>2</w:t>
      </w:r>
      <w:r>
        <w:rPr>
          <w:rFonts w:hint="eastAsia" w:ascii="宋体" w:hAnsi="宋体" w:cs="宋体"/>
          <w:color w:val="000000" w:themeColor="text1"/>
          <w:szCs w:val="21"/>
          <w:highlight w:val="yellow"/>
          <w:lang w:eastAsia="zh-CN"/>
          <w14:textFill>
            <w14:solidFill>
              <w14:schemeClr w14:val="tx1"/>
            </w14:solidFill>
          </w14:textFill>
        </w:rPr>
        <w:t>）</w:t>
      </w:r>
      <w:r>
        <w:rPr>
          <w:rFonts w:hint="eastAsia" w:ascii="宋体" w:hAnsi="宋体" w:cs="宋体"/>
          <w:color w:val="000000" w:themeColor="text1"/>
          <w:szCs w:val="21"/>
          <w:highlight w:val="yellow"/>
          <w14:textFill>
            <w14:solidFill>
              <w14:schemeClr w14:val="tx1"/>
            </w14:solidFill>
          </w14:textFill>
        </w:rPr>
        <w:t>中标人知晓采购人使用的是财政资金，经费下达时间及额度可能存在变化，如因市政府经费下达时出现经费额度及人员数量变化，采购人可根据实际经费下达额度对项目服务期限或协管员人数进行调整。</w:t>
      </w:r>
    </w:p>
    <w:p w14:paraId="55749CEB">
      <w:pPr>
        <w:widowControl w:val="0"/>
        <w:spacing w:line="360" w:lineRule="auto"/>
        <w:ind w:firstLine="420" w:firstLineChars="200"/>
        <w:rPr>
          <w:rFonts w:hint="eastAsia" w:ascii="宋体" w:hAnsi="宋体" w:cs="宋体"/>
          <w:szCs w:val="21"/>
          <w:highlight w:val="yellow"/>
        </w:rPr>
      </w:pPr>
      <w:r>
        <w:rPr>
          <w:rFonts w:hint="eastAsia" w:ascii="宋体" w:hAnsi="宋体" w:cs="宋体"/>
          <w:szCs w:val="21"/>
          <w:highlight w:val="yellow"/>
        </w:rPr>
        <w:t>★</w:t>
      </w:r>
      <w:r>
        <w:rPr>
          <w:rFonts w:hint="eastAsia" w:ascii="宋体" w:hAnsi="宋体" w:cs="宋体"/>
          <w:color w:val="000000" w:themeColor="text1"/>
          <w:szCs w:val="21"/>
          <w:highlight w:val="yellow"/>
          <w:lang w:eastAsia="zh-CN"/>
          <w14:textFill>
            <w14:solidFill>
              <w14:schemeClr w14:val="tx1"/>
            </w14:solidFill>
          </w14:textFill>
        </w:rPr>
        <w:t>（</w:t>
      </w:r>
      <w:r>
        <w:rPr>
          <w:rFonts w:hint="eastAsia" w:ascii="宋体" w:hAnsi="宋体" w:cs="宋体"/>
          <w:color w:val="000000" w:themeColor="text1"/>
          <w:szCs w:val="21"/>
          <w:highlight w:val="yellow"/>
          <w:lang w:val="en-US" w:eastAsia="zh-CN"/>
          <w14:textFill>
            <w14:solidFill>
              <w14:schemeClr w14:val="tx1"/>
            </w14:solidFill>
          </w14:textFill>
        </w:rPr>
        <w:t>3</w:t>
      </w:r>
      <w:r>
        <w:rPr>
          <w:rFonts w:hint="eastAsia" w:ascii="宋体" w:hAnsi="宋体" w:cs="宋体"/>
          <w:color w:val="000000" w:themeColor="text1"/>
          <w:szCs w:val="21"/>
          <w:highlight w:val="yellow"/>
          <w:lang w:eastAsia="zh-CN"/>
          <w14:textFill>
            <w14:solidFill>
              <w14:schemeClr w14:val="tx1"/>
            </w14:solidFill>
          </w14:textFill>
        </w:rPr>
        <w:t>）</w:t>
      </w:r>
      <w:r>
        <w:rPr>
          <w:rFonts w:hint="eastAsia" w:ascii="宋体" w:hAnsi="宋体" w:cs="宋体"/>
          <w:szCs w:val="21"/>
          <w:highlight w:val="yellow"/>
        </w:rPr>
        <w:t>合同期内，任何一方不得擅自终止合同，因不可抗拒力造成合同无法履行时，双方可协议变更、中止或终止合同。如因不可抗拒力需提请变更或终止合同的，应提前60天书面通知对方。如遇有关政策规定要求、项目经费来源变化等特殊情况致使合同无法履行，采购人应提前30天书面通知中标人，不负违约责任。</w:t>
      </w:r>
    </w:p>
    <w:p w14:paraId="11174DD6">
      <w:pPr>
        <w:widowControl w:val="0"/>
        <w:wordWrap w:val="0"/>
        <w:spacing w:line="360" w:lineRule="auto"/>
        <w:ind w:firstLine="420" w:firstLineChars="200"/>
        <w:rPr>
          <w:rFonts w:ascii="宋体" w:hAnsi="宋体" w:cs="宋体"/>
          <w:szCs w:val="21"/>
          <w:highlight w:val="yellow"/>
        </w:rPr>
      </w:pPr>
      <w:r>
        <w:rPr>
          <w:rFonts w:hint="eastAsia" w:ascii="宋体" w:hAnsi="宋体" w:cs="宋体"/>
          <w:szCs w:val="21"/>
          <w:highlight w:val="yellow"/>
        </w:rPr>
        <w:t>★</w:t>
      </w:r>
      <w:r>
        <w:rPr>
          <w:rFonts w:hint="eastAsia" w:ascii="宋体" w:hAnsi="宋体" w:cs="宋体"/>
          <w:szCs w:val="21"/>
          <w:highlight w:val="yellow"/>
          <w:lang w:eastAsia="zh-CN"/>
        </w:rPr>
        <w:t>（</w:t>
      </w:r>
      <w:r>
        <w:rPr>
          <w:rFonts w:hint="eastAsia" w:ascii="宋体" w:hAnsi="宋体" w:cs="宋体"/>
          <w:szCs w:val="21"/>
          <w:highlight w:val="yellow"/>
          <w:lang w:val="en-US" w:eastAsia="zh-CN"/>
        </w:rPr>
        <w:t>4</w:t>
      </w:r>
      <w:r>
        <w:rPr>
          <w:rFonts w:hint="eastAsia" w:ascii="宋体" w:hAnsi="宋体" w:cs="宋体"/>
          <w:szCs w:val="21"/>
          <w:highlight w:val="yellow"/>
          <w:lang w:eastAsia="zh-CN"/>
        </w:rPr>
        <w:t>）</w:t>
      </w:r>
      <w:r>
        <w:rPr>
          <w:rFonts w:hint="eastAsia" w:ascii="宋体" w:hAnsi="宋体" w:cs="宋体"/>
          <w:szCs w:val="21"/>
          <w:highlight w:val="yellow"/>
        </w:rPr>
        <w:t>当招标文件中出现前后表述不一致的时候，以招标文件中对投标人责任规定较严格的为准；当投标文件中出现前后表述不一致的时候，以投标文件中对投标人责任规定较严格的为准。</w:t>
      </w:r>
    </w:p>
    <w:p w14:paraId="78F2B771">
      <w:pPr>
        <w:spacing w:line="360" w:lineRule="auto"/>
        <w:ind w:firstLine="422" w:firstLineChars="200"/>
        <w:rPr>
          <w:rFonts w:ascii="宋体" w:hAnsi="宋体" w:cs="宋体"/>
          <w:b/>
          <w:bCs/>
          <w:szCs w:val="21"/>
        </w:rPr>
      </w:pPr>
      <w:bookmarkStart w:id="2" w:name="_Toc171350578"/>
      <w:r>
        <w:rPr>
          <w:rFonts w:hint="eastAsia" w:ascii="宋体" w:hAnsi="宋体" w:cs="宋体"/>
          <w:b/>
          <w:bCs/>
          <w:szCs w:val="21"/>
        </w:rPr>
        <w:t>7、定价方式和风险管理措施</w:t>
      </w:r>
    </w:p>
    <w:p w14:paraId="4D74DF7E">
      <w:pPr>
        <w:spacing w:line="360" w:lineRule="auto"/>
        <w:ind w:firstLine="420" w:firstLineChars="200"/>
        <w:rPr>
          <w:rFonts w:ascii="宋体" w:hAnsi="宋体" w:cs="宋体"/>
          <w:szCs w:val="21"/>
        </w:rPr>
      </w:pPr>
      <w:r>
        <w:rPr>
          <w:rFonts w:hint="eastAsia" w:ascii="宋体" w:hAnsi="宋体" w:cs="宋体"/>
          <w:szCs w:val="21"/>
        </w:rPr>
        <w:t>（1）定价方式：</w:t>
      </w:r>
    </w:p>
    <w:p w14:paraId="132EF913">
      <w:pPr>
        <w:spacing w:line="360" w:lineRule="auto"/>
        <w:ind w:firstLine="420" w:firstLineChars="200"/>
        <w:rPr>
          <w:rFonts w:ascii="宋体" w:hAnsi="宋体" w:cs="宋体"/>
          <w:szCs w:val="21"/>
        </w:rPr>
      </w:pPr>
      <w:r>
        <w:rPr>
          <w:rFonts w:hint="eastAsia" w:ascii="宋体" w:hAnsi="宋体" w:cs="宋体"/>
          <w:szCs w:val="21"/>
        </w:rPr>
        <w:t>本项目采用固定总价合同，在整个合同履行过程中都不调整合同总价。</w:t>
      </w:r>
    </w:p>
    <w:p w14:paraId="7B13A54B">
      <w:pPr>
        <w:spacing w:line="360" w:lineRule="auto"/>
        <w:ind w:firstLine="420" w:firstLineChars="200"/>
        <w:rPr>
          <w:rFonts w:ascii="宋体" w:hAnsi="宋体" w:cs="宋体"/>
          <w:szCs w:val="21"/>
        </w:rPr>
      </w:pPr>
      <w:r>
        <w:rPr>
          <w:rFonts w:hint="eastAsia" w:ascii="宋体" w:hAnsi="宋体" w:cs="宋体"/>
          <w:szCs w:val="21"/>
        </w:rPr>
        <w:t>（2）合同类型：</w:t>
      </w:r>
    </w:p>
    <w:p w14:paraId="554610E3">
      <w:pPr>
        <w:spacing w:line="360" w:lineRule="auto"/>
        <w:ind w:firstLine="420" w:firstLineChars="200"/>
        <w:rPr>
          <w:rFonts w:ascii="宋体" w:hAnsi="宋体" w:cs="宋体"/>
          <w:szCs w:val="21"/>
        </w:rPr>
      </w:pPr>
      <w:r>
        <w:rPr>
          <w:rFonts w:hint="eastAsia" w:ascii="宋体" w:hAnsi="宋体" w:cs="宋体"/>
          <w:szCs w:val="21"/>
        </w:rPr>
        <w:t>服务合同。</w:t>
      </w:r>
    </w:p>
    <w:p w14:paraId="73B29662">
      <w:pPr>
        <w:spacing w:line="360" w:lineRule="auto"/>
        <w:ind w:firstLine="420" w:firstLineChars="200"/>
        <w:rPr>
          <w:rFonts w:ascii="宋体" w:hAnsi="宋体" w:cs="宋体"/>
          <w:szCs w:val="21"/>
        </w:rPr>
      </w:pPr>
      <w:r>
        <w:rPr>
          <w:rFonts w:hint="eastAsia" w:ascii="宋体" w:hAnsi="宋体" w:cs="宋体"/>
          <w:szCs w:val="21"/>
        </w:rPr>
        <w:t>（3）风险管理措施：</w:t>
      </w:r>
    </w:p>
    <w:tbl>
      <w:tblPr>
        <w:tblStyle w:val="50"/>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85"/>
        <w:gridCol w:w="1669"/>
        <w:gridCol w:w="735"/>
        <w:gridCol w:w="2490"/>
        <w:gridCol w:w="1260"/>
        <w:gridCol w:w="1223"/>
      </w:tblGrid>
      <w:tr w14:paraId="57A6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14:paraId="0EF8471B">
            <w:pPr>
              <w:spacing w:line="560" w:lineRule="exact"/>
              <w:jc w:val="center"/>
              <w:rPr>
                <w:rFonts w:ascii="宋体" w:hAnsi="宋体" w:cs="宋体"/>
                <w:szCs w:val="21"/>
              </w:rPr>
            </w:pPr>
            <w:r>
              <w:rPr>
                <w:rFonts w:hint="eastAsia" w:ascii="宋体" w:hAnsi="宋体" w:cs="宋体"/>
                <w:szCs w:val="21"/>
              </w:rPr>
              <w:t>阶段</w:t>
            </w:r>
          </w:p>
        </w:tc>
        <w:tc>
          <w:tcPr>
            <w:tcW w:w="1185" w:type="dxa"/>
            <w:vAlign w:val="center"/>
          </w:tcPr>
          <w:p w14:paraId="335A4FBC">
            <w:pPr>
              <w:spacing w:line="560" w:lineRule="exact"/>
              <w:jc w:val="center"/>
              <w:rPr>
                <w:rFonts w:ascii="宋体" w:hAnsi="宋体" w:cs="宋体"/>
                <w:szCs w:val="21"/>
              </w:rPr>
            </w:pPr>
            <w:r>
              <w:rPr>
                <w:rFonts w:hint="eastAsia" w:ascii="宋体" w:hAnsi="宋体" w:cs="宋体"/>
                <w:szCs w:val="21"/>
              </w:rPr>
              <w:t>风险事项</w:t>
            </w:r>
          </w:p>
        </w:tc>
        <w:tc>
          <w:tcPr>
            <w:tcW w:w="1669" w:type="dxa"/>
            <w:vAlign w:val="center"/>
          </w:tcPr>
          <w:p w14:paraId="517C7F98">
            <w:pPr>
              <w:spacing w:line="560" w:lineRule="exact"/>
              <w:jc w:val="center"/>
              <w:rPr>
                <w:rFonts w:ascii="宋体" w:hAnsi="宋体" w:cs="宋体"/>
                <w:szCs w:val="21"/>
              </w:rPr>
            </w:pPr>
            <w:r>
              <w:rPr>
                <w:rFonts w:hint="eastAsia" w:ascii="宋体" w:hAnsi="宋体" w:cs="宋体"/>
                <w:szCs w:val="21"/>
              </w:rPr>
              <w:t>风险描述</w:t>
            </w:r>
          </w:p>
        </w:tc>
        <w:tc>
          <w:tcPr>
            <w:tcW w:w="735" w:type="dxa"/>
            <w:vAlign w:val="center"/>
          </w:tcPr>
          <w:p w14:paraId="6490B8EB">
            <w:pPr>
              <w:spacing w:line="560" w:lineRule="exact"/>
              <w:jc w:val="center"/>
              <w:rPr>
                <w:rFonts w:ascii="宋体" w:hAnsi="宋体" w:cs="宋体"/>
                <w:szCs w:val="21"/>
              </w:rPr>
            </w:pPr>
            <w:r>
              <w:rPr>
                <w:rFonts w:hint="eastAsia" w:ascii="宋体" w:hAnsi="宋体" w:cs="宋体"/>
                <w:szCs w:val="21"/>
              </w:rPr>
              <w:t>风险等级</w:t>
            </w:r>
          </w:p>
        </w:tc>
        <w:tc>
          <w:tcPr>
            <w:tcW w:w="2490" w:type="dxa"/>
            <w:vAlign w:val="center"/>
          </w:tcPr>
          <w:p w14:paraId="55FD80F5">
            <w:pPr>
              <w:spacing w:line="560" w:lineRule="exact"/>
              <w:jc w:val="center"/>
              <w:rPr>
                <w:rFonts w:ascii="宋体" w:hAnsi="宋体" w:cs="宋体"/>
                <w:szCs w:val="21"/>
              </w:rPr>
            </w:pPr>
            <w:r>
              <w:rPr>
                <w:rFonts w:hint="eastAsia" w:ascii="宋体" w:hAnsi="宋体" w:cs="宋体"/>
                <w:szCs w:val="21"/>
              </w:rPr>
              <w:t>防控措施</w:t>
            </w:r>
          </w:p>
        </w:tc>
        <w:tc>
          <w:tcPr>
            <w:tcW w:w="1260" w:type="dxa"/>
            <w:vAlign w:val="center"/>
          </w:tcPr>
          <w:p w14:paraId="44A906B6">
            <w:pPr>
              <w:spacing w:line="560" w:lineRule="exact"/>
              <w:jc w:val="center"/>
              <w:rPr>
                <w:rFonts w:ascii="宋体" w:hAnsi="宋体" w:cs="宋体"/>
                <w:szCs w:val="21"/>
              </w:rPr>
            </w:pPr>
            <w:r>
              <w:rPr>
                <w:rFonts w:hint="eastAsia" w:ascii="宋体" w:hAnsi="宋体" w:cs="宋体"/>
                <w:szCs w:val="21"/>
              </w:rPr>
              <w:t>责任人</w:t>
            </w:r>
          </w:p>
        </w:tc>
        <w:tc>
          <w:tcPr>
            <w:tcW w:w="1223" w:type="dxa"/>
            <w:vAlign w:val="center"/>
          </w:tcPr>
          <w:p w14:paraId="18F06D3F">
            <w:pPr>
              <w:spacing w:line="560" w:lineRule="exact"/>
              <w:jc w:val="center"/>
              <w:rPr>
                <w:rFonts w:ascii="宋体" w:hAnsi="宋体" w:cs="宋体"/>
                <w:szCs w:val="21"/>
              </w:rPr>
            </w:pPr>
            <w:r>
              <w:rPr>
                <w:rFonts w:hint="eastAsia" w:ascii="宋体" w:hAnsi="宋体" w:cs="宋体"/>
                <w:szCs w:val="21"/>
              </w:rPr>
              <w:t>采购环节</w:t>
            </w:r>
          </w:p>
        </w:tc>
      </w:tr>
      <w:tr w14:paraId="74B5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14:paraId="24E92E14">
            <w:pPr>
              <w:tabs>
                <w:tab w:val="left" w:pos="1330"/>
              </w:tabs>
              <w:jc w:val="center"/>
              <w:rPr>
                <w:rFonts w:ascii="宋体" w:hAnsi="宋体" w:cs="宋体"/>
                <w:szCs w:val="21"/>
              </w:rPr>
            </w:pPr>
            <w:r>
              <w:rPr>
                <w:rFonts w:hint="eastAsia" w:ascii="宋体" w:hAnsi="宋体" w:cs="宋体"/>
                <w:szCs w:val="21"/>
              </w:rPr>
              <w:t>采购阶段</w:t>
            </w:r>
          </w:p>
        </w:tc>
        <w:tc>
          <w:tcPr>
            <w:tcW w:w="1185" w:type="dxa"/>
            <w:vAlign w:val="center"/>
          </w:tcPr>
          <w:p w14:paraId="14D6AEF3">
            <w:pPr>
              <w:tabs>
                <w:tab w:val="left" w:pos="1330"/>
              </w:tabs>
              <w:jc w:val="center"/>
              <w:rPr>
                <w:rFonts w:ascii="宋体" w:hAnsi="宋体" w:cs="宋体"/>
                <w:szCs w:val="21"/>
              </w:rPr>
            </w:pPr>
            <w:r>
              <w:rPr>
                <w:rFonts w:hint="eastAsia" w:ascii="宋体" w:hAnsi="宋体" w:cs="宋体"/>
                <w:szCs w:val="21"/>
              </w:rPr>
              <w:t>法律风险</w:t>
            </w:r>
          </w:p>
        </w:tc>
        <w:tc>
          <w:tcPr>
            <w:tcW w:w="1669" w:type="dxa"/>
            <w:vAlign w:val="center"/>
          </w:tcPr>
          <w:p w14:paraId="4B8218ED">
            <w:pPr>
              <w:tabs>
                <w:tab w:val="left" w:pos="1330"/>
              </w:tabs>
              <w:jc w:val="left"/>
              <w:rPr>
                <w:rFonts w:ascii="宋体" w:hAnsi="宋体" w:cs="宋体"/>
                <w:szCs w:val="21"/>
              </w:rPr>
            </w:pPr>
            <w:r>
              <w:rPr>
                <w:rFonts w:hint="eastAsia" w:ascii="宋体" w:hAnsi="宋体" w:cs="宋体"/>
                <w:szCs w:val="21"/>
              </w:rPr>
              <w:t>招标文件、采购合同编制违反有关法律规定。</w:t>
            </w:r>
          </w:p>
        </w:tc>
        <w:tc>
          <w:tcPr>
            <w:tcW w:w="735" w:type="dxa"/>
            <w:vAlign w:val="center"/>
          </w:tcPr>
          <w:p w14:paraId="57DDC742">
            <w:pPr>
              <w:tabs>
                <w:tab w:val="left" w:pos="1330"/>
              </w:tabs>
              <w:jc w:val="center"/>
              <w:rPr>
                <w:rFonts w:ascii="宋体" w:hAnsi="宋体" w:cs="宋体"/>
                <w:szCs w:val="21"/>
              </w:rPr>
            </w:pPr>
            <w:r>
              <w:rPr>
                <w:rFonts w:hint="eastAsia" w:ascii="宋体" w:hAnsi="宋体" w:cs="宋体"/>
                <w:szCs w:val="21"/>
              </w:rPr>
              <w:t>低</w:t>
            </w:r>
          </w:p>
        </w:tc>
        <w:tc>
          <w:tcPr>
            <w:tcW w:w="2490" w:type="dxa"/>
            <w:vAlign w:val="center"/>
          </w:tcPr>
          <w:p w14:paraId="5D59E8D9">
            <w:pPr>
              <w:tabs>
                <w:tab w:val="left" w:pos="1330"/>
              </w:tabs>
              <w:jc w:val="left"/>
              <w:rPr>
                <w:rFonts w:ascii="宋体" w:hAnsi="宋体" w:cs="宋体"/>
                <w:szCs w:val="21"/>
              </w:rPr>
            </w:pPr>
            <w:r>
              <w:rPr>
                <w:rFonts w:hint="eastAsia" w:ascii="宋体" w:hAnsi="宋体" w:cs="宋体"/>
                <w:szCs w:val="21"/>
              </w:rPr>
              <w:t>本项目招标文件由采购代理机构严格按照相关法律法规编制， 组织专家评审，确保合法合规；采购合同由采购人根据经济合同管理要求编写，委托法律顾问单位完成合规性审查后，严格履行合同审批手续。</w:t>
            </w:r>
          </w:p>
        </w:tc>
        <w:tc>
          <w:tcPr>
            <w:tcW w:w="1260" w:type="dxa"/>
            <w:vAlign w:val="center"/>
          </w:tcPr>
          <w:p w14:paraId="32479089">
            <w:pPr>
              <w:tabs>
                <w:tab w:val="left" w:pos="1330"/>
              </w:tabs>
              <w:jc w:val="center"/>
              <w:rPr>
                <w:rFonts w:ascii="宋体" w:hAnsi="宋体" w:cs="宋体"/>
                <w:szCs w:val="21"/>
              </w:rPr>
            </w:pPr>
            <w:r>
              <w:rPr>
                <w:rFonts w:hint="eastAsia" w:ascii="宋体" w:hAnsi="宋体" w:cs="宋体"/>
                <w:szCs w:val="21"/>
              </w:rPr>
              <w:t>深圳海关人事处</w:t>
            </w:r>
          </w:p>
        </w:tc>
        <w:tc>
          <w:tcPr>
            <w:tcW w:w="1223" w:type="dxa"/>
            <w:vAlign w:val="center"/>
          </w:tcPr>
          <w:p w14:paraId="6463F6C4">
            <w:pPr>
              <w:tabs>
                <w:tab w:val="left" w:pos="1330"/>
              </w:tabs>
              <w:spacing w:line="560" w:lineRule="exact"/>
              <w:jc w:val="center"/>
              <w:rPr>
                <w:rFonts w:ascii="宋体" w:hAnsi="宋体" w:cs="宋体"/>
                <w:szCs w:val="21"/>
              </w:rPr>
            </w:pPr>
            <w:r>
              <w:rPr>
                <w:rFonts w:hint="eastAsia" w:ascii="宋体" w:hAnsi="宋体" w:cs="宋体"/>
                <w:szCs w:val="21"/>
              </w:rPr>
              <w:t>招标文件、采购合同编制过程</w:t>
            </w:r>
          </w:p>
        </w:tc>
      </w:tr>
      <w:tr w14:paraId="3E33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14:paraId="3E836213">
            <w:pPr>
              <w:tabs>
                <w:tab w:val="left" w:pos="1330"/>
              </w:tabs>
              <w:spacing w:line="560" w:lineRule="exact"/>
              <w:jc w:val="center"/>
              <w:rPr>
                <w:rFonts w:ascii="宋体" w:hAnsi="宋体" w:cs="宋体"/>
                <w:szCs w:val="21"/>
              </w:rPr>
            </w:pPr>
            <w:r>
              <w:rPr>
                <w:rFonts w:hint="eastAsia" w:ascii="宋体" w:hAnsi="宋体" w:cs="宋体"/>
                <w:szCs w:val="21"/>
              </w:rPr>
              <w:t>履约阶段</w:t>
            </w:r>
          </w:p>
        </w:tc>
        <w:tc>
          <w:tcPr>
            <w:tcW w:w="1185" w:type="dxa"/>
            <w:vAlign w:val="center"/>
          </w:tcPr>
          <w:p w14:paraId="07BFA80D">
            <w:pPr>
              <w:tabs>
                <w:tab w:val="left" w:pos="1330"/>
              </w:tabs>
              <w:spacing w:line="560" w:lineRule="exact"/>
              <w:jc w:val="center"/>
              <w:rPr>
                <w:rFonts w:ascii="宋体" w:hAnsi="宋体" w:cs="宋体"/>
                <w:szCs w:val="21"/>
              </w:rPr>
            </w:pPr>
            <w:r>
              <w:rPr>
                <w:rFonts w:hint="eastAsia" w:ascii="宋体" w:hAnsi="宋体" w:cs="宋体"/>
                <w:szCs w:val="21"/>
              </w:rPr>
              <w:t>执法辅助人员的工资和福利不能足额及时发放。</w:t>
            </w:r>
          </w:p>
        </w:tc>
        <w:tc>
          <w:tcPr>
            <w:tcW w:w="1669" w:type="dxa"/>
            <w:vAlign w:val="center"/>
          </w:tcPr>
          <w:p w14:paraId="105AE3AE">
            <w:pPr>
              <w:tabs>
                <w:tab w:val="left" w:pos="1330"/>
              </w:tabs>
              <w:spacing w:line="560" w:lineRule="exact"/>
              <w:jc w:val="left"/>
              <w:rPr>
                <w:rFonts w:ascii="宋体" w:hAnsi="宋体" w:cs="宋体"/>
                <w:szCs w:val="21"/>
              </w:rPr>
            </w:pPr>
            <w:r>
              <w:rPr>
                <w:rFonts w:hint="eastAsia" w:ascii="宋体" w:hAnsi="宋体" w:cs="宋体"/>
                <w:szCs w:val="21"/>
              </w:rPr>
              <w:t>如遇特殊情况（节假日或项目款支付延期），执法辅助人员的工资及福利不能足额及时保障。</w:t>
            </w:r>
          </w:p>
        </w:tc>
        <w:tc>
          <w:tcPr>
            <w:tcW w:w="735" w:type="dxa"/>
            <w:vAlign w:val="center"/>
          </w:tcPr>
          <w:p w14:paraId="3A6F8493">
            <w:pPr>
              <w:tabs>
                <w:tab w:val="left" w:pos="1330"/>
              </w:tabs>
              <w:spacing w:line="560" w:lineRule="exact"/>
              <w:jc w:val="center"/>
              <w:rPr>
                <w:rFonts w:ascii="宋体" w:hAnsi="宋体" w:cs="宋体"/>
                <w:szCs w:val="21"/>
              </w:rPr>
            </w:pPr>
            <w:r>
              <w:rPr>
                <w:rFonts w:hint="eastAsia" w:ascii="宋体" w:hAnsi="宋体" w:cs="宋体"/>
                <w:szCs w:val="21"/>
              </w:rPr>
              <w:t>低</w:t>
            </w:r>
          </w:p>
        </w:tc>
        <w:tc>
          <w:tcPr>
            <w:tcW w:w="2490" w:type="dxa"/>
            <w:vAlign w:val="center"/>
          </w:tcPr>
          <w:p w14:paraId="00936400">
            <w:pPr>
              <w:tabs>
                <w:tab w:val="left" w:pos="1330"/>
              </w:tabs>
              <w:spacing w:line="560" w:lineRule="exact"/>
              <w:jc w:val="left"/>
              <w:rPr>
                <w:rFonts w:ascii="宋体" w:hAnsi="宋体" w:cs="宋体"/>
                <w:szCs w:val="21"/>
              </w:rPr>
            </w:pPr>
            <w:r>
              <w:rPr>
                <w:rFonts w:hint="eastAsia" w:ascii="宋体" w:hAnsi="宋体" w:cs="宋体"/>
                <w:szCs w:val="21"/>
              </w:rPr>
              <w:t>由供应商先行支付执法辅助人员福利待遇，相关要求在采购合同中予以约定。</w:t>
            </w:r>
          </w:p>
        </w:tc>
        <w:tc>
          <w:tcPr>
            <w:tcW w:w="1260" w:type="dxa"/>
            <w:vAlign w:val="center"/>
          </w:tcPr>
          <w:p w14:paraId="1CF43237">
            <w:pPr>
              <w:tabs>
                <w:tab w:val="left" w:pos="1330"/>
              </w:tabs>
              <w:spacing w:line="560" w:lineRule="exact"/>
              <w:jc w:val="center"/>
              <w:rPr>
                <w:rFonts w:ascii="宋体" w:hAnsi="宋体" w:cs="宋体"/>
                <w:szCs w:val="21"/>
              </w:rPr>
            </w:pPr>
            <w:r>
              <w:rPr>
                <w:rFonts w:hint="eastAsia" w:ascii="宋体" w:hAnsi="宋体" w:cs="宋体"/>
                <w:szCs w:val="21"/>
              </w:rPr>
              <w:t>供应商</w:t>
            </w:r>
          </w:p>
        </w:tc>
        <w:tc>
          <w:tcPr>
            <w:tcW w:w="1223" w:type="dxa"/>
            <w:vAlign w:val="center"/>
          </w:tcPr>
          <w:p w14:paraId="494C24B1">
            <w:pPr>
              <w:tabs>
                <w:tab w:val="left" w:pos="1330"/>
              </w:tabs>
              <w:spacing w:line="560" w:lineRule="exact"/>
              <w:jc w:val="center"/>
              <w:rPr>
                <w:rFonts w:ascii="宋体" w:hAnsi="宋体" w:cs="宋体"/>
                <w:szCs w:val="21"/>
              </w:rPr>
            </w:pPr>
            <w:r>
              <w:rPr>
                <w:rFonts w:hint="eastAsia" w:ascii="宋体" w:hAnsi="宋体" w:cs="宋体"/>
                <w:szCs w:val="21"/>
              </w:rPr>
              <w:t>合同履行过程</w:t>
            </w:r>
          </w:p>
        </w:tc>
      </w:tr>
      <w:tr w14:paraId="2E19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14:paraId="6C44CC80">
            <w:pPr>
              <w:tabs>
                <w:tab w:val="left" w:pos="1330"/>
              </w:tabs>
              <w:jc w:val="center"/>
              <w:rPr>
                <w:rFonts w:ascii="宋体" w:hAnsi="宋体" w:cs="宋体"/>
                <w:szCs w:val="21"/>
              </w:rPr>
            </w:pPr>
            <w:r>
              <w:rPr>
                <w:rFonts w:hint="eastAsia" w:ascii="宋体" w:hAnsi="宋体" w:cs="宋体"/>
                <w:szCs w:val="21"/>
              </w:rPr>
              <w:t>履约阶段</w:t>
            </w:r>
          </w:p>
        </w:tc>
        <w:tc>
          <w:tcPr>
            <w:tcW w:w="1185" w:type="dxa"/>
            <w:vAlign w:val="center"/>
          </w:tcPr>
          <w:p w14:paraId="0225D28F">
            <w:pPr>
              <w:tabs>
                <w:tab w:val="left" w:pos="1330"/>
              </w:tabs>
              <w:jc w:val="center"/>
              <w:rPr>
                <w:rFonts w:ascii="宋体" w:hAnsi="宋体" w:cs="宋体"/>
                <w:szCs w:val="21"/>
              </w:rPr>
            </w:pPr>
            <w:r>
              <w:rPr>
                <w:rFonts w:hint="eastAsia" w:ascii="宋体" w:hAnsi="宋体" w:cs="宋体"/>
                <w:szCs w:val="21"/>
              </w:rPr>
              <w:t>履约风险</w:t>
            </w:r>
          </w:p>
        </w:tc>
        <w:tc>
          <w:tcPr>
            <w:tcW w:w="1669" w:type="dxa"/>
            <w:vAlign w:val="center"/>
          </w:tcPr>
          <w:p w14:paraId="5CFAE441">
            <w:pPr>
              <w:tabs>
                <w:tab w:val="left" w:pos="1330"/>
              </w:tabs>
              <w:jc w:val="left"/>
              <w:rPr>
                <w:rFonts w:ascii="宋体" w:hAnsi="宋体" w:cs="宋体"/>
                <w:szCs w:val="21"/>
              </w:rPr>
            </w:pPr>
            <w:r>
              <w:rPr>
                <w:rFonts w:hint="eastAsia" w:ascii="宋体" w:hAnsi="宋体" w:cs="宋体"/>
                <w:szCs w:val="21"/>
              </w:rPr>
              <w:t>供应商未按合同规定履约。</w:t>
            </w:r>
          </w:p>
        </w:tc>
        <w:tc>
          <w:tcPr>
            <w:tcW w:w="735" w:type="dxa"/>
            <w:vAlign w:val="center"/>
          </w:tcPr>
          <w:p w14:paraId="3DFF8FDE">
            <w:pPr>
              <w:tabs>
                <w:tab w:val="left" w:pos="1330"/>
              </w:tabs>
              <w:jc w:val="center"/>
              <w:rPr>
                <w:rFonts w:ascii="宋体" w:hAnsi="宋体" w:cs="宋体"/>
                <w:szCs w:val="21"/>
              </w:rPr>
            </w:pPr>
            <w:r>
              <w:rPr>
                <w:rFonts w:hint="eastAsia" w:ascii="宋体" w:hAnsi="宋体" w:cs="宋体"/>
                <w:szCs w:val="21"/>
              </w:rPr>
              <w:t>低</w:t>
            </w:r>
          </w:p>
        </w:tc>
        <w:tc>
          <w:tcPr>
            <w:tcW w:w="2490" w:type="dxa"/>
            <w:vAlign w:val="center"/>
          </w:tcPr>
          <w:p w14:paraId="4CA87F17">
            <w:pPr>
              <w:tabs>
                <w:tab w:val="left" w:pos="1330"/>
              </w:tabs>
              <w:jc w:val="left"/>
              <w:rPr>
                <w:rFonts w:ascii="宋体" w:hAnsi="宋体" w:cs="宋体"/>
                <w:szCs w:val="21"/>
              </w:rPr>
            </w:pPr>
            <w:r>
              <w:rPr>
                <w:rFonts w:hint="eastAsia" w:ascii="宋体" w:hAnsi="宋体" w:cs="宋体"/>
                <w:szCs w:val="21"/>
              </w:rPr>
              <w:t>采购合同编制过程中请法律顾问单位对合同条款进行审查并提供审查意见，明确供应商合同执行与违约责任；合同期内，采购人组织对供应商提供的服务人员资格条件、服务质量等履约情况检查，出现违约情况的严格按照合同约定进行处理。</w:t>
            </w:r>
          </w:p>
        </w:tc>
        <w:tc>
          <w:tcPr>
            <w:tcW w:w="1260" w:type="dxa"/>
            <w:vAlign w:val="center"/>
          </w:tcPr>
          <w:p w14:paraId="056A7DA8">
            <w:pPr>
              <w:tabs>
                <w:tab w:val="left" w:pos="1330"/>
              </w:tabs>
              <w:jc w:val="center"/>
              <w:rPr>
                <w:rFonts w:ascii="宋体" w:hAnsi="宋体" w:cs="宋体"/>
                <w:szCs w:val="21"/>
              </w:rPr>
            </w:pPr>
            <w:r>
              <w:rPr>
                <w:rFonts w:hint="eastAsia" w:ascii="宋体" w:hAnsi="宋体" w:cs="宋体"/>
                <w:szCs w:val="21"/>
              </w:rPr>
              <w:t>深圳海关人事处</w:t>
            </w:r>
          </w:p>
        </w:tc>
        <w:tc>
          <w:tcPr>
            <w:tcW w:w="1223" w:type="dxa"/>
            <w:vAlign w:val="center"/>
          </w:tcPr>
          <w:p w14:paraId="3F1AC5E3">
            <w:pPr>
              <w:tabs>
                <w:tab w:val="left" w:pos="1330"/>
              </w:tabs>
              <w:jc w:val="center"/>
              <w:rPr>
                <w:rFonts w:ascii="宋体" w:hAnsi="宋体" w:cs="宋体"/>
                <w:szCs w:val="21"/>
              </w:rPr>
            </w:pPr>
            <w:r>
              <w:rPr>
                <w:rFonts w:hint="eastAsia" w:ascii="宋体" w:hAnsi="宋体" w:cs="宋体"/>
                <w:szCs w:val="21"/>
              </w:rPr>
              <w:t>合同履行过程</w:t>
            </w:r>
          </w:p>
        </w:tc>
      </w:tr>
    </w:tbl>
    <w:p w14:paraId="5E9A69CC">
      <w:pPr>
        <w:sectPr>
          <w:headerReference r:id="rId4" w:type="first"/>
          <w:footerReference r:id="rId6" w:type="first"/>
          <w:headerReference r:id="rId3" w:type="default"/>
          <w:footerReference r:id="rId5" w:type="default"/>
          <w:pgSz w:w="11906" w:h="16838"/>
          <w:pgMar w:top="1134" w:right="1134" w:bottom="1134" w:left="1134" w:header="851" w:footer="992" w:gutter="0"/>
          <w:cols w:space="720" w:num="1"/>
          <w:titlePg/>
          <w:docGrid w:type="lines" w:linePitch="312" w:charSpace="0"/>
        </w:sectPr>
      </w:pPr>
    </w:p>
    <w:p w14:paraId="228761D8">
      <w:pPr>
        <w:pStyle w:val="3"/>
      </w:pPr>
      <w:r>
        <w:rPr>
          <w:rFonts w:hint="eastAsia"/>
        </w:rPr>
        <w:t>第三章  投标文件初审</w:t>
      </w:r>
      <w:bookmarkEnd w:id="2"/>
    </w:p>
    <w:p w14:paraId="57E07DBB">
      <w:pPr>
        <w:adjustRightInd w:val="0"/>
        <w:spacing w:line="360" w:lineRule="auto"/>
        <w:ind w:firstLine="424" w:firstLineChars="201"/>
        <w:rPr>
          <w:rFonts w:ascii="宋体" w:hAnsi="宋体"/>
          <w:b/>
          <w:snapToGrid w:val="0"/>
          <w:kern w:val="0"/>
        </w:rPr>
      </w:pPr>
      <w:r>
        <w:rPr>
          <w:rFonts w:hint="eastAsia" w:ascii="宋体" w:hAnsi="宋体"/>
          <w:b/>
          <w:snapToGrid w:val="0"/>
          <w:kern w:val="0"/>
        </w:rPr>
        <w:t>本章是本招标文件中涉及的所有无效标和废标情形的摘要，除法律法规另有规定外，投标文件的其他任何情形均不得作无效标和废标处理。招标文件中有关无效标和废标与本章节不一致的，以本章节内容为准。</w:t>
      </w:r>
    </w:p>
    <w:p w14:paraId="426C19DE">
      <w:pPr>
        <w:adjustRightInd w:val="0"/>
        <w:spacing w:line="360" w:lineRule="auto"/>
        <w:rPr>
          <w:snapToGrid w:val="0"/>
          <w:kern w:val="0"/>
        </w:rPr>
      </w:pPr>
    </w:p>
    <w:p w14:paraId="2217E922">
      <w:pPr>
        <w:adjustRightInd w:val="0"/>
        <w:spacing w:line="360" w:lineRule="auto"/>
        <w:ind w:firstLine="422" w:firstLineChars="201"/>
        <w:rPr>
          <w:snapToGrid w:val="0"/>
          <w:kern w:val="0"/>
        </w:rPr>
      </w:pPr>
      <w:r>
        <w:rPr>
          <w:rFonts w:hint="eastAsia"/>
          <w:snapToGrid w:val="0"/>
          <w:kern w:val="0"/>
        </w:rPr>
        <w:t>一、资格性</w:t>
      </w:r>
      <w:r>
        <w:rPr>
          <w:rFonts w:hint="eastAsia" w:ascii="宋体" w:hAnsi="宋体"/>
          <w:snapToGrid w:val="0"/>
          <w:kern w:val="0"/>
        </w:rPr>
        <w:t>审查</w:t>
      </w:r>
    </w:p>
    <w:p w14:paraId="0EED1A12">
      <w:pPr>
        <w:adjustRightInd w:val="0"/>
        <w:spacing w:line="360" w:lineRule="auto"/>
        <w:ind w:firstLine="422" w:firstLineChars="201"/>
        <w:rPr>
          <w:rFonts w:ascii="宋体" w:hAnsi="宋体"/>
          <w:snapToGrid w:val="0"/>
          <w:kern w:val="0"/>
        </w:rPr>
      </w:pPr>
      <w:r>
        <w:rPr>
          <w:rFonts w:hint="eastAsia" w:ascii="宋体" w:hAnsi="宋体"/>
          <w:snapToGrid w:val="0"/>
          <w:kern w:val="0"/>
        </w:rPr>
        <w:t>1、投标人的资格不符合招标文件要求</w:t>
      </w:r>
      <w:r>
        <w:rPr>
          <w:rFonts w:hint="eastAsia" w:ascii="宋体" w:hAnsi="宋体"/>
        </w:rPr>
        <w:t>或资格证明文件提供不全</w:t>
      </w:r>
      <w:r>
        <w:rPr>
          <w:rFonts w:hint="eastAsia" w:ascii="宋体" w:hAnsi="宋体"/>
          <w:snapToGrid w:val="0"/>
          <w:kern w:val="0"/>
        </w:rPr>
        <w:t>。</w:t>
      </w:r>
    </w:p>
    <w:p w14:paraId="6A2F5FCC">
      <w:pPr>
        <w:adjustRightInd w:val="0"/>
        <w:spacing w:line="360" w:lineRule="auto"/>
        <w:ind w:firstLine="422" w:firstLineChars="201"/>
        <w:rPr>
          <w:rFonts w:ascii="宋体" w:hAnsi="宋体"/>
          <w:snapToGrid w:val="0"/>
          <w:kern w:val="0"/>
        </w:rPr>
      </w:pPr>
    </w:p>
    <w:p w14:paraId="21AD0B3E">
      <w:pPr>
        <w:adjustRightInd w:val="0"/>
        <w:spacing w:line="360" w:lineRule="auto"/>
        <w:ind w:firstLine="422" w:firstLineChars="201"/>
        <w:rPr>
          <w:rFonts w:ascii="宋体" w:hAnsi="宋体"/>
          <w:snapToGrid w:val="0"/>
          <w:kern w:val="0"/>
        </w:rPr>
      </w:pPr>
      <w:r>
        <w:rPr>
          <w:rFonts w:hint="eastAsia" w:ascii="宋体" w:hAnsi="宋体"/>
          <w:snapToGrid w:val="0"/>
          <w:kern w:val="0"/>
        </w:rPr>
        <w:t>二、符合性审查</w:t>
      </w:r>
    </w:p>
    <w:p w14:paraId="02A22E43">
      <w:pPr>
        <w:adjustRightInd w:val="0"/>
        <w:spacing w:line="360" w:lineRule="auto"/>
        <w:ind w:firstLine="422" w:firstLineChars="201"/>
        <w:rPr>
          <w:rFonts w:ascii="宋体" w:hAnsi="宋体"/>
          <w:snapToGrid w:val="0"/>
          <w:kern w:val="0"/>
        </w:rPr>
      </w:pPr>
      <w:r>
        <w:rPr>
          <w:rFonts w:hint="eastAsia" w:ascii="宋体" w:hAnsi="宋体"/>
          <w:snapToGrid w:val="0"/>
          <w:kern w:val="0"/>
        </w:rPr>
        <w:t>1、投标人提供的投标文件数量不符合招标文件要求。</w:t>
      </w:r>
    </w:p>
    <w:p w14:paraId="3E21B8C4">
      <w:pPr>
        <w:adjustRightInd w:val="0"/>
        <w:spacing w:line="360" w:lineRule="auto"/>
        <w:ind w:firstLine="422" w:firstLineChars="201"/>
        <w:rPr>
          <w:rFonts w:ascii="宋体" w:hAnsi="宋体"/>
          <w:snapToGrid w:val="0"/>
          <w:kern w:val="0"/>
        </w:rPr>
      </w:pPr>
      <w:r>
        <w:rPr>
          <w:rFonts w:hint="eastAsia" w:ascii="宋体" w:hAnsi="宋体"/>
          <w:snapToGrid w:val="0"/>
          <w:kern w:val="0"/>
        </w:rPr>
        <w:t>2、投标文件未按照招标文件要求制作、密封和标记。</w:t>
      </w:r>
    </w:p>
    <w:p w14:paraId="150D2DE6">
      <w:pPr>
        <w:adjustRightInd w:val="0"/>
        <w:spacing w:line="360" w:lineRule="auto"/>
        <w:ind w:firstLine="422" w:firstLineChars="201"/>
        <w:rPr>
          <w:rFonts w:ascii="宋体" w:hAnsi="宋体"/>
          <w:snapToGrid w:val="0"/>
          <w:kern w:val="0"/>
        </w:rPr>
      </w:pPr>
      <w:r>
        <w:rPr>
          <w:rFonts w:hint="eastAsia" w:ascii="宋体" w:hAnsi="宋体"/>
          <w:snapToGrid w:val="0"/>
          <w:kern w:val="0"/>
        </w:rPr>
        <w:t>3、未按招标文件要求提供法定代表人（负责人）证明书和法定代表人（负责人）授权委托书。</w:t>
      </w:r>
    </w:p>
    <w:p w14:paraId="3F178935">
      <w:pPr>
        <w:adjustRightInd w:val="0"/>
        <w:spacing w:line="360" w:lineRule="auto"/>
        <w:ind w:firstLine="422" w:firstLineChars="201"/>
        <w:rPr>
          <w:rFonts w:ascii="宋体" w:hAnsi="宋体"/>
          <w:snapToGrid w:val="0"/>
          <w:kern w:val="0"/>
        </w:rPr>
      </w:pPr>
      <w:r>
        <w:rPr>
          <w:rFonts w:hint="eastAsia" w:ascii="宋体" w:hAnsi="宋体"/>
          <w:snapToGrid w:val="0"/>
          <w:kern w:val="0"/>
        </w:rPr>
        <w:t>4、投标文件有关内容未按招标文件要求加盖投标人印章、或未经法定代表人或其委托代理人签字（或盖章）。</w:t>
      </w:r>
    </w:p>
    <w:p w14:paraId="5F92F93D">
      <w:pPr>
        <w:adjustRightInd w:val="0"/>
        <w:spacing w:line="360" w:lineRule="auto"/>
        <w:ind w:firstLine="422" w:firstLineChars="201"/>
        <w:rPr>
          <w:rFonts w:ascii="宋体" w:hAnsi="宋体"/>
          <w:snapToGrid w:val="0"/>
          <w:kern w:val="0"/>
        </w:rPr>
      </w:pPr>
      <w:r>
        <w:rPr>
          <w:rFonts w:hint="eastAsia" w:ascii="宋体" w:hAnsi="宋体"/>
          <w:snapToGrid w:val="0"/>
          <w:kern w:val="0"/>
        </w:rPr>
        <w:t>5、投标文件的关键内容字迹模糊、无法辨认的。</w:t>
      </w:r>
    </w:p>
    <w:p w14:paraId="000AB757">
      <w:pPr>
        <w:adjustRightInd w:val="0"/>
        <w:spacing w:line="360" w:lineRule="auto"/>
        <w:ind w:firstLine="422" w:firstLineChars="201"/>
        <w:rPr>
          <w:rFonts w:ascii="宋体" w:hAnsi="宋体"/>
          <w:snapToGrid w:val="0"/>
          <w:kern w:val="0"/>
        </w:rPr>
      </w:pPr>
      <w:r>
        <w:rPr>
          <w:rFonts w:hint="eastAsia" w:ascii="宋体" w:hAnsi="宋体"/>
          <w:snapToGrid w:val="0"/>
          <w:kern w:val="0"/>
        </w:rPr>
        <w:t>6、对招标文件规定的货物或服务采购清单或工程量清单的项目或数量进行修改，评标委员会判定投标响应不满足采购需求的。</w:t>
      </w:r>
    </w:p>
    <w:p w14:paraId="373A02F7">
      <w:pPr>
        <w:adjustRightInd w:val="0"/>
        <w:spacing w:line="360" w:lineRule="auto"/>
        <w:ind w:firstLine="422" w:firstLineChars="201"/>
        <w:rPr>
          <w:rFonts w:ascii="宋体" w:hAnsi="宋体"/>
          <w:snapToGrid w:val="0"/>
          <w:kern w:val="0"/>
        </w:rPr>
      </w:pPr>
      <w:r>
        <w:rPr>
          <w:rFonts w:hint="eastAsia" w:ascii="宋体" w:hAnsi="宋体"/>
          <w:snapToGrid w:val="0"/>
          <w:kern w:val="0"/>
        </w:rPr>
        <w:t>7、未按招标文件所提供的样式填写</w:t>
      </w:r>
      <w:r>
        <w:rPr>
          <w:rFonts w:ascii="宋体" w:hAnsi="宋体"/>
          <w:snapToGrid w:val="0"/>
          <w:kern w:val="0"/>
        </w:rPr>
        <w:t>《</w:t>
      </w:r>
      <w:r>
        <w:rPr>
          <w:rFonts w:hint="eastAsia" w:ascii="宋体" w:hAnsi="宋体"/>
          <w:snapToGrid w:val="0"/>
          <w:kern w:val="0"/>
        </w:rPr>
        <w:t>投标函》。</w:t>
      </w:r>
    </w:p>
    <w:p w14:paraId="75DDB3B3">
      <w:pPr>
        <w:adjustRightInd w:val="0"/>
        <w:spacing w:line="360" w:lineRule="auto"/>
        <w:ind w:firstLine="422" w:firstLineChars="201"/>
        <w:rPr>
          <w:rFonts w:ascii="宋体" w:hAnsi="宋体"/>
          <w:snapToGrid w:val="0"/>
          <w:kern w:val="0"/>
        </w:rPr>
      </w:pPr>
      <w:r>
        <w:rPr>
          <w:rFonts w:hint="eastAsia" w:ascii="宋体" w:hAnsi="宋体"/>
          <w:snapToGrid w:val="0"/>
          <w:kern w:val="0"/>
        </w:rPr>
        <w:t>8、任一项带★的指标未响应或不满足要求（如有带</w:t>
      </w:r>
      <w:r>
        <w:rPr>
          <w:rFonts w:hint="eastAsia" w:ascii="宋体" w:hAnsi="宋体"/>
        </w:rPr>
        <w:t>★</w:t>
      </w:r>
      <w:r>
        <w:rPr>
          <w:rFonts w:hint="eastAsia" w:ascii="宋体" w:hAnsi="宋体"/>
          <w:snapToGrid w:val="0"/>
          <w:kern w:val="0"/>
        </w:rPr>
        <w:t>号条款）。</w:t>
      </w:r>
    </w:p>
    <w:p w14:paraId="168CC3A6">
      <w:pPr>
        <w:adjustRightInd w:val="0"/>
        <w:spacing w:line="360" w:lineRule="auto"/>
        <w:ind w:firstLine="422" w:firstLineChars="201"/>
        <w:rPr>
          <w:rFonts w:ascii="宋体" w:hAnsi="宋体"/>
          <w:snapToGrid w:val="0"/>
          <w:kern w:val="0"/>
        </w:rPr>
      </w:pPr>
      <w:r>
        <w:rPr>
          <w:rFonts w:hint="eastAsia" w:ascii="宋体" w:hAnsi="宋体"/>
          <w:snapToGrid w:val="0"/>
          <w:kern w:val="0"/>
        </w:rPr>
        <w:t>9、将一个项目包拆分投标，同时提供两套或以上的投标方案</w:t>
      </w:r>
      <w:r>
        <w:rPr>
          <w:szCs w:val="21"/>
        </w:rPr>
        <w:t>（招标文件另有规定的除外）</w:t>
      </w:r>
      <w:r>
        <w:rPr>
          <w:rFonts w:hint="eastAsia" w:ascii="宋体" w:hAnsi="宋体"/>
          <w:snapToGrid w:val="0"/>
          <w:kern w:val="0"/>
        </w:rPr>
        <w:t>。</w:t>
      </w:r>
    </w:p>
    <w:p w14:paraId="3FA9502A">
      <w:pPr>
        <w:adjustRightInd w:val="0"/>
        <w:spacing w:line="360" w:lineRule="auto"/>
        <w:ind w:firstLine="422" w:firstLineChars="201"/>
        <w:rPr>
          <w:rFonts w:ascii="宋体" w:hAnsi="宋体"/>
          <w:snapToGrid w:val="0"/>
          <w:kern w:val="0"/>
        </w:rPr>
      </w:pPr>
      <w:r>
        <w:rPr>
          <w:rFonts w:hint="eastAsia" w:ascii="宋体" w:hAnsi="宋体"/>
          <w:snapToGrid w:val="0"/>
          <w:kern w:val="0"/>
        </w:rPr>
        <w:t>10、投标文件附有</w:t>
      </w:r>
      <w:r>
        <w:rPr>
          <w:rFonts w:hint="eastAsia" w:ascii="宋体" w:hAnsi="宋体"/>
          <w:bCs/>
          <w:snapToGrid w:val="0"/>
          <w:kern w:val="0"/>
        </w:rPr>
        <w:t>采购人</w:t>
      </w:r>
      <w:r>
        <w:rPr>
          <w:rFonts w:hint="eastAsia" w:ascii="宋体" w:hAnsi="宋体"/>
          <w:snapToGrid w:val="0"/>
          <w:kern w:val="0"/>
        </w:rPr>
        <w:t>不能接受的条件。</w:t>
      </w:r>
    </w:p>
    <w:p w14:paraId="1958425A">
      <w:pPr>
        <w:adjustRightInd w:val="0"/>
        <w:spacing w:line="360" w:lineRule="auto"/>
        <w:ind w:firstLine="422" w:firstLineChars="201"/>
        <w:rPr>
          <w:rFonts w:ascii="宋体" w:hAnsi="宋体"/>
          <w:snapToGrid w:val="0"/>
          <w:kern w:val="0"/>
        </w:rPr>
      </w:pPr>
      <w:r>
        <w:rPr>
          <w:rFonts w:hint="eastAsia" w:ascii="宋体" w:hAnsi="宋体"/>
          <w:snapToGrid w:val="0"/>
          <w:kern w:val="0"/>
        </w:rPr>
        <w:t>11、投标违规行为：如以他人名义竞标、串通投标或者以其他弄虚作假方式投标的。</w:t>
      </w:r>
    </w:p>
    <w:p w14:paraId="3C3848A1">
      <w:pPr>
        <w:adjustRightInd w:val="0"/>
        <w:spacing w:line="360" w:lineRule="auto"/>
        <w:ind w:firstLine="422" w:firstLineChars="201"/>
        <w:rPr>
          <w:rFonts w:ascii="宋体" w:hAnsi="宋体"/>
          <w:snapToGrid w:val="0"/>
          <w:kern w:val="0"/>
        </w:rPr>
      </w:pPr>
      <w:r>
        <w:rPr>
          <w:rFonts w:hint="eastAsia" w:ascii="宋体" w:hAnsi="宋体"/>
          <w:snapToGrid w:val="0"/>
          <w:kern w:val="0"/>
        </w:rPr>
        <w:t>12、</w:t>
      </w:r>
      <w:r>
        <w:rPr>
          <w:rFonts w:hint="eastAsia" w:ascii="宋体" w:hAnsi="宋体"/>
          <w:bCs/>
          <w:szCs w:val="21"/>
        </w:rPr>
        <w:t>投标人的投标总价超过采购预算金额或最高投标限价的</w:t>
      </w:r>
      <w:r>
        <w:rPr>
          <w:rFonts w:hint="eastAsia" w:ascii="宋体" w:hAnsi="宋体"/>
          <w:snapToGrid w:val="0"/>
          <w:kern w:val="0"/>
        </w:rPr>
        <w:t>。</w:t>
      </w:r>
    </w:p>
    <w:p w14:paraId="5424D96F">
      <w:pPr>
        <w:adjustRightInd w:val="0"/>
        <w:spacing w:line="360" w:lineRule="auto"/>
        <w:ind w:firstLine="422" w:firstLineChars="201"/>
        <w:rPr>
          <w:rFonts w:ascii="宋体" w:hAnsi="宋体"/>
          <w:snapToGrid w:val="0"/>
          <w:kern w:val="0"/>
        </w:rPr>
      </w:pPr>
      <w:r>
        <w:rPr>
          <w:rFonts w:hint="eastAsia" w:ascii="宋体" w:hAnsi="宋体"/>
          <w:snapToGrid w:val="0"/>
          <w:kern w:val="0"/>
        </w:rPr>
        <w:t>13、法律法规规定的其它情形。</w:t>
      </w:r>
    </w:p>
    <w:p w14:paraId="1638DA98">
      <w:pPr>
        <w:adjustRightInd w:val="0"/>
        <w:spacing w:line="360" w:lineRule="auto"/>
        <w:ind w:firstLine="422" w:firstLineChars="201"/>
        <w:rPr>
          <w:rFonts w:ascii="宋体" w:hAnsi="宋体"/>
          <w:snapToGrid w:val="0"/>
          <w:kern w:val="0"/>
        </w:rPr>
      </w:pPr>
      <w:r>
        <w:rPr>
          <w:rFonts w:hint="eastAsia" w:ascii="宋体" w:hAnsi="宋体"/>
          <w:snapToGrid w:val="0"/>
          <w:kern w:val="0"/>
        </w:rPr>
        <w:t>14、本项目分为A、B两个包，投标人可参与任意一个包或多个包投标，但只能成为其中一个包的中标人，即可兼投但不可兼中。评标时按A-B包的顺序评审，如投标人已被推荐为某包组第一中标候选人，则不得再参与其他包组评审。如某包组因供应商质疑等原因导致中标结果改变的，其他包组的中标结果不因此而受影响。</w:t>
      </w:r>
    </w:p>
    <w:p w14:paraId="2DC63BC3"/>
    <w:p w14:paraId="09E3FD24"/>
    <w:p w14:paraId="0868823C"/>
    <w:p w14:paraId="186D9825">
      <w:pPr>
        <w:pStyle w:val="3"/>
        <w:spacing w:after="0"/>
      </w:pPr>
      <w:bookmarkStart w:id="3" w:name="_Toc171350579"/>
      <w:r>
        <w:rPr>
          <w:rFonts w:hint="eastAsia"/>
        </w:rPr>
        <w:t>第四章  评标方法和标准</w:t>
      </w:r>
      <w:bookmarkEnd w:id="3"/>
    </w:p>
    <w:p w14:paraId="3CEE7408"/>
    <w:p w14:paraId="0858A02A">
      <w:pPr>
        <w:pStyle w:val="2"/>
        <w:spacing w:before="0" w:after="0"/>
      </w:pPr>
      <w:bookmarkStart w:id="4" w:name="_Toc44691393"/>
      <w:bookmarkStart w:id="5" w:name="_Toc44691161"/>
      <w:bookmarkStart w:id="6" w:name="_Toc171350580"/>
      <w:bookmarkStart w:id="7" w:name="_Toc44690429"/>
      <w:bookmarkStart w:id="8" w:name="_Toc44690702"/>
      <w:r>
        <w:rPr>
          <w:rFonts w:hint="eastAsia"/>
        </w:rPr>
        <w:t>一、</w:t>
      </w:r>
      <w:r>
        <w:t>评标方法</w:t>
      </w:r>
      <w:bookmarkEnd w:id="4"/>
      <w:bookmarkEnd w:id="5"/>
      <w:bookmarkEnd w:id="6"/>
      <w:bookmarkEnd w:id="7"/>
      <w:bookmarkEnd w:id="8"/>
    </w:p>
    <w:p w14:paraId="30E7DCB6">
      <w:pPr>
        <w:pStyle w:val="46"/>
        <w:spacing w:before="0" w:beforeAutospacing="0" w:after="0" w:afterAutospacing="0" w:line="360" w:lineRule="exact"/>
        <w:ind w:firstLine="426" w:firstLineChars="202"/>
        <w:rPr>
          <w:rFonts w:ascii="宋体" w:hAnsi="宋体" w:cs="仿宋"/>
          <w:b/>
          <w:kern w:val="2"/>
          <w:sz w:val="21"/>
          <w:szCs w:val="21"/>
        </w:rPr>
      </w:pPr>
      <w:r>
        <w:rPr>
          <w:rFonts w:hint="eastAsia" w:ascii="宋体" w:hAnsi="宋体" w:cs="仿宋"/>
          <w:b/>
          <w:kern w:val="2"/>
          <w:sz w:val="21"/>
          <w:szCs w:val="21"/>
        </w:rPr>
        <w:t>1、本项目评标方法：综合评分法</w:t>
      </w:r>
    </w:p>
    <w:p w14:paraId="34918588">
      <w:pPr>
        <w:pStyle w:val="46"/>
        <w:spacing w:before="0" w:beforeAutospacing="0" w:after="0" w:afterAutospacing="0" w:line="360" w:lineRule="exact"/>
        <w:ind w:firstLine="424" w:firstLineChars="202"/>
        <w:rPr>
          <w:rFonts w:ascii="宋体" w:hAnsi="宋体" w:cs="仿宋"/>
          <w:kern w:val="2"/>
          <w:sz w:val="21"/>
          <w:szCs w:val="21"/>
        </w:rPr>
      </w:pPr>
      <w:r>
        <w:rPr>
          <w:rFonts w:hint="eastAsia" w:ascii="宋体" w:hAnsi="宋体" w:cs="仿宋"/>
          <w:kern w:val="2"/>
          <w:sz w:val="21"/>
          <w:szCs w:val="21"/>
        </w:rPr>
        <w:t>综合评分法，是指投标文件满足招标文件全部实质性要求，且按照评审因素的量化指标评审得分最高的投标人为中标候选人的评标方法。</w:t>
      </w:r>
    </w:p>
    <w:p w14:paraId="78418AAB">
      <w:pPr>
        <w:pStyle w:val="46"/>
        <w:spacing w:before="0" w:beforeAutospacing="0" w:after="0" w:afterAutospacing="0" w:line="360" w:lineRule="exact"/>
        <w:ind w:firstLine="426" w:firstLineChars="202"/>
        <w:rPr>
          <w:rFonts w:ascii="宋体" w:hAnsi="宋体" w:cs="仿宋"/>
          <w:b/>
          <w:kern w:val="2"/>
          <w:sz w:val="21"/>
          <w:szCs w:val="21"/>
        </w:rPr>
      </w:pPr>
      <w:r>
        <w:rPr>
          <w:rFonts w:hint="eastAsia" w:ascii="宋体" w:hAnsi="宋体" w:cs="仿宋"/>
          <w:b/>
          <w:kern w:val="2"/>
          <w:sz w:val="21"/>
          <w:szCs w:val="21"/>
        </w:rPr>
        <w:t>2、中标人及中标候选人数量：</w:t>
      </w:r>
      <w:r>
        <w:rPr>
          <w:rFonts w:hint="eastAsia" w:ascii="宋体" w:hAnsi="宋体" w:cs="仿宋"/>
          <w:kern w:val="2"/>
          <w:sz w:val="21"/>
          <w:szCs w:val="21"/>
        </w:rPr>
        <w:t>中标人数量：每个包组各1名，中标候选人数量：每个包组各3名。</w:t>
      </w:r>
    </w:p>
    <w:p w14:paraId="6299B39E">
      <w:pPr>
        <w:pStyle w:val="46"/>
        <w:spacing w:before="0" w:beforeAutospacing="0" w:after="0" w:afterAutospacing="0" w:line="360" w:lineRule="exact"/>
        <w:ind w:firstLine="426" w:firstLineChars="202"/>
        <w:rPr>
          <w:rFonts w:ascii="宋体" w:hAnsi="宋体" w:cs="仿宋"/>
          <w:b/>
          <w:kern w:val="2"/>
          <w:sz w:val="21"/>
          <w:szCs w:val="21"/>
        </w:rPr>
      </w:pPr>
      <w:r>
        <w:rPr>
          <w:rFonts w:hint="eastAsia" w:ascii="宋体" w:hAnsi="宋体" w:cs="仿宋"/>
          <w:b/>
          <w:kern w:val="2"/>
          <w:sz w:val="21"/>
          <w:szCs w:val="21"/>
        </w:rPr>
        <w:t>3、评标规则：</w:t>
      </w:r>
    </w:p>
    <w:p w14:paraId="61570274">
      <w:pPr>
        <w:pStyle w:val="46"/>
        <w:spacing w:before="0" w:beforeAutospacing="0" w:after="0" w:afterAutospacing="0" w:line="360" w:lineRule="exact"/>
        <w:ind w:firstLine="424" w:firstLineChars="202"/>
        <w:rPr>
          <w:rFonts w:ascii="宋体" w:hAnsi="宋体" w:cs="仿宋"/>
          <w:kern w:val="2"/>
          <w:sz w:val="21"/>
          <w:szCs w:val="21"/>
        </w:rPr>
      </w:pPr>
      <w:r>
        <w:rPr>
          <w:rFonts w:hint="eastAsia" w:ascii="宋体" w:hAnsi="宋体" w:cs="仿宋"/>
          <w:kern w:val="2"/>
          <w:sz w:val="21"/>
          <w:szCs w:val="21"/>
        </w:rPr>
        <w:t>评标时，评标委员会按照“</w:t>
      </w:r>
      <w:r>
        <w:rPr>
          <w:rFonts w:hint="eastAsia" w:ascii="宋体" w:hAnsi="宋体"/>
          <w:bCs/>
          <w:sz w:val="21"/>
          <w:szCs w:val="21"/>
        </w:rPr>
        <w:t>评标标准</w:t>
      </w:r>
      <w:r>
        <w:rPr>
          <w:rFonts w:hint="eastAsia" w:ascii="宋体" w:hAnsi="宋体" w:cs="仿宋"/>
          <w:kern w:val="2"/>
          <w:sz w:val="21"/>
          <w:szCs w:val="21"/>
        </w:rPr>
        <w:t>”中的各项评审因素，对通过资格审查和符合性审查的所有投标人的投标文件进行独立评审，并汇总每个投标人的得分，取算术平均值后确定其评审得分</w:t>
      </w:r>
      <w:r>
        <w:rPr>
          <w:rFonts w:ascii="宋体" w:hAnsi="宋体" w:cs="仿宋"/>
          <w:kern w:val="2"/>
          <w:sz w:val="21"/>
          <w:szCs w:val="21"/>
        </w:rPr>
        <w:t>(</w:t>
      </w:r>
      <w:r>
        <w:rPr>
          <w:rFonts w:hint="eastAsia" w:ascii="宋体" w:hAnsi="宋体" w:cs="仿宋"/>
          <w:kern w:val="2"/>
          <w:sz w:val="21"/>
          <w:szCs w:val="21"/>
        </w:rPr>
        <w:t>精确至小数点后二位</w:t>
      </w:r>
      <w:r>
        <w:rPr>
          <w:rFonts w:ascii="宋体" w:hAnsi="宋体" w:cs="仿宋"/>
          <w:kern w:val="2"/>
          <w:sz w:val="21"/>
          <w:szCs w:val="21"/>
        </w:rPr>
        <w:t>)</w:t>
      </w:r>
      <w:r>
        <w:rPr>
          <w:rFonts w:hint="eastAsia" w:ascii="宋体" w:hAnsi="宋体" w:cs="仿宋"/>
          <w:kern w:val="2"/>
          <w:sz w:val="21"/>
          <w:szCs w:val="21"/>
        </w:rPr>
        <w:t>。</w:t>
      </w:r>
    </w:p>
    <w:p w14:paraId="3B533211">
      <w:pPr>
        <w:pStyle w:val="46"/>
        <w:spacing w:before="0" w:beforeAutospacing="0" w:after="0" w:afterAutospacing="0" w:line="360" w:lineRule="exact"/>
        <w:ind w:firstLine="424" w:firstLineChars="202"/>
        <w:rPr>
          <w:rFonts w:ascii="宋体" w:hAnsi="宋体" w:cs="仿宋"/>
          <w:kern w:val="2"/>
          <w:sz w:val="21"/>
          <w:szCs w:val="21"/>
        </w:rPr>
      </w:pPr>
      <w:r>
        <w:rPr>
          <w:rFonts w:hint="eastAsia" w:ascii="宋体" w:hAnsi="宋体" w:cs="仿宋"/>
          <w:kern w:val="2"/>
          <w:sz w:val="21"/>
          <w:szCs w:val="21"/>
        </w:rPr>
        <w:t>排名结果按投标人评审得分由高到低顺序排列。得分相同的，按投标报价由低到高顺序排列。出现得分且投标报价相同的并列情况时，采取随机抽取的方式排名，具体操作办法及流程由评标委员会确定。</w:t>
      </w:r>
    </w:p>
    <w:p w14:paraId="5F742256">
      <w:pPr>
        <w:pStyle w:val="46"/>
        <w:spacing w:before="0" w:beforeAutospacing="0" w:after="0" w:afterAutospacing="0" w:line="360" w:lineRule="exact"/>
        <w:ind w:firstLine="424" w:firstLineChars="202"/>
        <w:rPr>
          <w:rFonts w:ascii="宋体" w:hAnsi="宋体" w:cs="仿宋"/>
          <w:kern w:val="2"/>
          <w:sz w:val="21"/>
          <w:szCs w:val="21"/>
        </w:rPr>
      </w:pPr>
      <w:r>
        <w:rPr>
          <w:rFonts w:hint="eastAsia" w:cs="仿宋" w:asciiTheme="minorEastAsia" w:hAnsiTheme="minorEastAsia" w:eastAsiaTheme="minorEastAsia"/>
          <w:kern w:val="2"/>
          <w:sz w:val="21"/>
          <w:szCs w:val="21"/>
        </w:rPr>
        <w:t>（因落实政府采购政策进行价格调整的，以调整后的价格计算投标报价。）</w:t>
      </w:r>
    </w:p>
    <w:p w14:paraId="0EFCA720">
      <w:pPr>
        <w:pStyle w:val="46"/>
        <w:spacing w:before="0" w:beforeAutospacing="0" w:after="0" w:afterAutospacing="0" w:line="360" w:lineRule="exact"/>
        <w:ind w:firstLine="426" w:firstLineChars="202"/>
        <w:rPr>
          <w:rFonts w:cs="仿宋" w:asciiTheme="minorEastAsia" w:hAnsiTheme="minorEastAsia" w:eastAsiaTheme="minorEastAsia"/>
          <w:b/>
          <w:szCs w:val="21"/>
        </w:rPr>
      </w:pPr>
      <w:r>
        <w:rPr>
          <w:rFonts w:hint="eastAsia" w:cs="仿宋" w:asciiTheme="minorEastAsia" w:hAnsiTheme="minorEastAsia" w:eastAsiaTheme="minorEastAsia"/>
          <w:b/>
          <w:sz w:val="21"/>
          <w:szCs w:val="21"/>
        </w:rPr>
        <w:t>4、每个包组通过资格性审查和符合性审查的有效投标人不得少于三家，否则该包组废标，重新组织采购。</w:t>
      </w:r>
    </w:p>
    <w:p w14:paraId="5E03414E">
      <w:pPr>
        <w:spacing w:line="360" w:lineRule="auto"/>
        <w:ind w:firstLine="424" w:firstLineChars="202"/>
        <w:rPr>
          <w:rFonts w:ascii="宋体" w:hAnsi="宋体"/>
        </w:rPr>
      </w:pPr>
    </w:p>
    <w:p w14:paraId="29504C29">
      <w:pPr>
        <w:pStyle w:val="2"/>
        <w:spacing w:before="0" w:after="0"/>
      </w:pPr>
      <w:bookmarkStart w:id="9" w:name="_Toc171350581"/>
      <w:r>
        <w:rPr>
          <w:rFonts w:hint="eastAsia"/>
        </w:rPr>
        <w:t>二、评标标准</w:t>
      </w:r>
      <w:bookmarkEnd w:id="9"/>
      <w:r>
        <w:rPr>
          <w:rFonts w:hint="eastAsia"/>
        </w:rPr>
        <w:t>（适用于</w:t>
      </w:r>
      <w:r>
        <w:rPr>
          <w:rFonts w:hint="eastAsia" w:ascii="宋体" w:hAnsi="宋体" w:cs="宋体"/>
        </w:rPr>
        <w:t>A、B</w:t>
      </w:r>
      <w:r>
        <w:rPr>
          <w:rFonts w:hint="eastAsia"/>
        </w:rPr>
        <w:t>包）</w:t>
      </w:r>
    </w:p>
    <w:p w14:paraId="6A09CDCA">
      <w:pPr>
        <w:spacing w:line="360" w:lineRule="auto"/>
        <w:ind w:firstLine="424" w:firstLineChars="202"/>
        <w:rPr>
          <w:snapToGrid w:val="0"/>
          <w:kern w:val="0"/>
        </w:rPr>
      </w:pPr>
      <w:r>
        <w:rPr>
          <w:rFonts w:hint="eastAsia"/>
          <w:snapToGrid w:val="0"/>
          <w:kern w:val="0"/>
        </w:rPr>
        <w:t>评标委员会按照以下量化的评审因素，对各投标文件进行综合评审：</w:t>
      </w:r>
    </w:p>
    <w:tbl>
      <w:tblPr>
        <w:tblStyle w:val="50"/>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72"/>
        <w:gridCol w:w="89"/>
        <w:gridCol w:w="799"/>
        <w:gridCol w:w="708"/>
        <w:gridCol w:w="1089"/>
        <w:gridCol w:w="5430"/>
      </w:tblGrid>
      <w:tr w14:paraId="62A0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4" w:type="dxa"/>
            <w:gridSpan w:val="6"/>
            <w:tcBorders>
              <w:top w:val="single" w:color="auto" w:sz="4" w:space="0"/>
              <w:left w:val="single" w:color="auto" w:sz="4" w:space="0"/>
              <w:bottom w:val="single" w:color="auto" w:sz="4" w:space="0"/>
              <w:right w:val="single" w:color="auto" w:sz="4" w:space="0"/>
            </w:tcBorders>
          </w:tcPr>
          <w:p w14:paraId="4E3B3502">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评分项</w:t>
            </w:r>
          </w:p>
        </w:tc>
        <w:tc>
          <w:tcPr>
            <w:tcW w:w="5430" w:type="dxa"/>
            <w:tcBorders>
              <w:top w:val="single" w:color="auto" w:sz="4" w:space="0"/>
              <w:left w:val="single" w:color="auto" w:sz="4" w:space="0"/>
              <w:bottom w:val="single" w:color="auto" w:sz="4" w:space="0"/>
              <w:right w:val="single" w:color="auto" w:sz="4" w:space="0"/>
            </w:tcBorders>
          </w:tcPr>
          <w:p w14:paraId="6FA74D6D">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权重</w:t>
            </w:r>
          </w:p>
        </w:tc>
      </w:tr>
      <w:tr w14:paraId="3E11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4" w:type="dxa"/>
            <w:gridSpan w:val="6"/>
            <w:tcBorders>
              <w:top w:val="single" w:color="auto" w:sz="4" w:space="0"/>
              <w:left w:val="single" w:color="auto" w:sz="4" w:space="0"/>
              <w:bottom w:val="single" w:color="auto" w:sz="4" w:space="0"/>
              <w:right w:val="single" w:color="auto" w:sz="4" w:space="0"/>
            </w:tcBorders>
          </w:tcPr>
          <w:p w14:paraId="6DBC4359">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价格</w:t>
            </w:r>
          </w:p>
        </w:tc>
        <w:tc>
          <w:tcPr>
            <w:tcW w:w="5430" w:type="dxa"/>
            <w:tcBorders>
              <w:top w:val="single" w:color="auto" w:sz="4" w:space="0"/>
              <w:left w:val="single" w:color="auto" w:sz="4" w:space="0"/>
              <w:bottom w:val="single" w:color="auto" w:sz="4" w:space="0"/>
              <w:right w:val="single" w:color="auto" w:sz="4" w:space="0"/>
            </w:tcBorders>
          </w:tcPr>
          <w:p w14:paraId="65977D18">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10</w:t>
            </w:r>
          </w:p>
        </w:tc>
      </w:tr>
      <w:tr w14:paraId="382F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4" w:type="dxa"/>
            <w:gridSpan w:val="7"/>
            <w:tcBorders>
              <w:top w:val="single" w:color="auto" w:sz="4" w:space="0"/>
              <w:left w:val="single" w:color="auto" w:sz="4" w:space="0"/>
              <w:bottom w:val="single" w:color="auto" w:sz="4" w:space="0"/>
              <w:right w:val="single" w:color="auto" w:sz="4" w:space="0"/>
            </w:tcBorders>
          </w:tcPr>
          <w:p w14:paraId="4533AD5F">
            <w:pPr>
              <w:keepNext w:val="0"/>
              <w:keepLines w:val="0"/>
              <w:pageBreakBefore w:val="0"/>
              <w:kinsoku/>
              <w:overflowPunct/>
              <w:topLinePunct w:val="0"/>
              <w:autoSpaceDE/>
              <w:autoSpaceDN/>
              <w:bidi w:val="0"/>
              <w:adjustRightInd w:val="0"/>
              <w:snapToGrid w:val="0"/>
              <w:spacing w:line="360" w:lineRule="exact"/>
              <w:jc w:val="left"/>
              <w:rPr>
                <w:rFonts w:ascii="宋体" w:hAnsi="宋体" w:cs="宋体"/>
                <w:snapToGrid w:val="0"/>
                <w:kern w:val="0"/>
                <w:szCs w:val="21"/>
              </w:rPr>
            </w:pPr>
            <w:r>
              <w:rPr>
                <w:rFonts w:hint="eastAsia" w:ascii="宋体" w:hAnsi="宋体" w:cs="宋体"/>
                <w:snapToGrid w:val="0"/>
                <w:kern w:val="0"/>
                <w:szCs w:val="21"/>
              </w:rPr>
              <w:t>采用低价优先法计算，即满足招标文件要求且投标价格最低的投标报价为评标基准价，其价格分为满分。其他投标人的价格分按照下列公式计算：价格得分=(评标基准价／投标报价)×10。</w:t>
            </w:r>
          </w:p>
          <w:p w14:paraId="48015AD1">
            <w:pPr>
              <w:pStyle w:val="46"/>
              <w:keepNext w:val="0"/>
              <w:keepLines w:val="0"/>
              <w:pageBreakBefore w:val="0"/>
              <w:kinsoku/>
              <w:overflowPunct/>
              <w:topLinePunct w:val="0"/>
              <w:autoSpaceDE/>
              <w:autoSpaceDN/>
              <w:bidi w:val="0"/>
              <w:spacing w:before="0" w:beforeAutospacing="0" w:after="0" w:afterAutospacing="0" w:line="360" w:lineRule="exact"/>
              <w:rPr>
                <w:rFonts w:hAnsi="宋体" w:cs="宋体"/>
                <w:b/>
                <w:snapToGrid w:val="0"/>
                <w:sz w:val="21"/>
                <w:szCs w:val="21"/>
              </w:rPr>
            </w:pPr>
            <w:r>
              <w:rPr>
                <w:rFonts w:hint="eastAsia" w:hAnsi="宋体" w:cs="宋体"/>
                <w:b/>
                <w:snapToGrid w:val="0"/>
                <w:sz w:val="21"/>
                <w:szCs w:val="21"/>
              </w:rPr>
              <w:t>注：</w:t>
            </w:r>
            <w:r>
              <w:rPr>
                <w:rFonts w:hint="eastAsia" w:hAnsi="宋体" w:cs="宋体"/>
                <w:sz w:val="21"/>
                <w:szCs w:val="21"/>
              </w:rPr>
              <w:t>1、价格评分仅限于有效投标人；</w:t>
            </w:r>
          </w:p>
          <w:p w14:paraId="189D9BB0">
            <w:pPr>
              <w:keepNext w:val="0"/>
              <w:keepLines w:val="0"/>
              <w:pageBreakBefore w:val="0"/>
              <w:kinsoku/>
              <w:overflowPunct/>
              <w:topLinePunct w:val="0"/>
              <w:autoSpaceDE/>
              <w:autoSpaceDN/>
              <w:bidi w:val="0"/>
              <w:spacing w:line="360" w:lineRule="exact"/>
              <w:jc w:val="left"/>
              <w:rPr>
                <w:rFonts w:ascii="宋体" w:hAnsi="宋体" w:cs="宋体"/>
                <w:kern w:val="0"/>
                <w:szCs w:val="21"/>
              </w:rPr>
            </w:pPr>
            <w:r>
              <w:rPr>
                <w:rFonts w:hint="eastAsia" w:ascii="宋体" w:hAnsi="宋体" w:cs="宋体"/>
                <w:kern w:val="0"/>
                <w:szCs w:val="21"/>
              </w:rPr>
              <w:t>2、对小型和微型企业或监狱企业或残疾人福利性单位提供的服务价格给予10%的扣除，用扣除后的价格参与评审（仅适用于A包），</w:t>
            </w:r>
            <w:r>
              <w:rPr>
                <w:rStyle w:val="534"/>
                <w:rFonts w:hint="eastAsia" w:ascii="宋体" w:hAnsi="宋体" w:cs="宋体"/>
              </w:rPr>
              <w:t>B包专门面向中小企业采购，不再执行价格评审优惠的扶持政策</w:t>
            </w:r>
            <w:r>
              <w:rPr>
                <w:rFonts w:hint="eastAsia" w:ascii="宋体" w:hAnsi="宋体" w:cs="宋体"/>
                <w:kern w:val="0"/>
                <w:szCs w:val="21"/>
              </w:rPr>
              <w:t>；</w:t>
            </w:r>
          </w:p>
          <w:p w14:paraId="41846F4B">
            <w:pPr>
              <w:keepNext w:val="0"/>
              <w:keepLines w:val="0"/>
              <w:pageBreakBefore w:val="0"/>
              <w:kinsoku/>
              <w:overflowPunct/>
              <w:topLinePunct w:val="0"/>
              <w:autoSpaceDE/>
              <w:autoSpaceDN/>
              <w:bidi w:val="0"/>
              <w:spacing w:line="360" w:lineRule="exact"/>
              <w:rPr>
                <w:rFonts w:ascii="宋体" w:hAnsi="宋体" w:cs="宋体"/>
                <w:b/>
                <w:bCs/>
                <w:szCs w:val="21"/>
              </w:rPr>
            </w:pPr>
            <w:r>
              <w:rPr>
                <w:rFonts w:hint="eastAsia" w:ascii="宋体" w:hAnsi="宋体" w:cs="宋体"/>
                <w:szCs w:val="21"/>
              </w:rPr>
              <w:t>3、如为小型或微型企业提供服务的投标人应提供《中小企业声明函》，监狱企业应当提供由省级以上监狱管理局、戒毒管理局（含新疆生产建设兵团）出具的属于监狱企业的证明文件，残疾人福利性单位应当提供《残疾人福利性单位声明函》，否则不予扣除。投标人同时为小型、微型企业、监狱企业和残疾人福利性单位的，评审中只享受一次价格扣除，不重复进行价格扣除。</w:t>
            </w:r>
          </w:p>
        </w:tc>
      </w:tr>
      <w:tr w14:paraId="7362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4" w:type="dxa"/>
            <w:gridSpan w:val="6"/>
            <w:tcBorders>
              <w:top w:val="single" w:color="auto" w:sz="4" w:space="0"/>
              <w:left w:val="single" w:color="auto" w:sz="4" w:space="0"/>
              <w:bottom w:val="single" w:color="auto" w:sz="4" w:space="0"/>
              <w:right w:val="single" w:color="auto" w:sz="4" w:space="0"/>
            </w:tcBorders>
          </w:tcPr>
          <w:p w14:paraId="0DDA3AB5">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技术部分</w:t>
            </w:r>
          </w:p>
        </w:tc>
        <w:tc>
          <w:tcPr>
            <w:tcW w:w="5430" w:type="dxa"/>
            <w:tcBorders>
              <w:top w:val="single" w:color="auto" w:sz="4" w:space="0"/>
              <w:left w:val="single" w:color="auto" w:sz="4" w:space="0"/>
              <w:bottom w:val="single" w:color="auto" w:sz="4" w:space="0"/>
              <w:right w:val="single" w:color="auto" w:sz="4" w:space="0"/>
            </w:tcBorders>
          </w:tcPr>
          <w:p w14:paraId="2867EE8F">
            <w:pPr>
              <w:keepNext w:val="0"/>
              <w:keepLines w:val="0"/>
              <w:pageBreakBefore w:val="0"/>
              <w:kinsoku/>
              <w:overflowPunct/>
              <w:topLinePunct w:val="0"/>
              <w:autoSpaceDE/>
              <w:autoSpaceDN/>
              <w:bidi w:val="0"/>
              <w:spacing w:line="360" w:lineRule="exact"/>
              <w:jc w:val="center"/>
              <w:rPr>
                <w:rFonts w:hint="default" w:ascii="宋体" w:hAnsi="宋体" w:eastAsia="宋体" w:cs="宋体"/>
                <w:b/>
                <w:bCs/>
                <w:szCs w:val="21"/>
                <w:lang w:val="en-US" w:eastAsia="zh-CN"/>
              </w:rPr>
            </w:pPr>
            <w:r>
              <w:rPr>
                <w:rFonts w:hint="eastAsia" w:ascii="宋体" w:hAnsi="宋体" w:cs="宋体"/>
                <w:b/>
                <w:bCs/>
                <w:szCs w:val="21"/>
                <w:lang w:val="en-US" w:eastAsia="zh-CN"/>
              </w:rPr>
              <w:t>51</w:t>
            </w:r>
          </w:p>
        </w:tc>
      </w:tr>
      <w:tr w14:paraId="38E0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14:paraId="2DEA2EFB">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序号</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0AC233C4">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评分因素</w:t>
            </w:r>
          </w:p>
        </w:tc>
        <w:tc>
          <w:tcPr>
            <w:tcW w:w="708" w:type="dxa"/>
            <w:tcBorders>
              <w:top w:val="single" w:color="auto" w:sz="4" w:space="0"/>
              <w:left w:val="single" w:color="auto" w:sz="4" w:space="0"/>
              <w:bottom w:val="single" w:color="auto" w:sz="4" w:space="0"/>
              <w:right w:val="single" w:color="auto" w:sz="4" w:space="0"/>
            </w:tcBorders>
            <w:vAlign w:val="center"/>
          </w:tcPr>
          <w:p w14:paraId="06B28853">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权重</w:t>
            </w:r>
          </w:p>
        </w:tc>
        <w:tc>
          <w:tcPr>
            <w:tcW w:w="1089" w:type="dxa"/>
            <w:tcBorders>
              <w:top w:val="single" w:color="auto" w:sz="4" w:space="0"/>
              <w:left w:val="single" w:color="auto" w:sz="4" w:space="0"/>
              <w:bottom w:val="single" w:color="auto" w:sz="4" w:space="0"/>
              <w:right w:val="single" w:color="auto" w:sz="4" w:space="0"/>
            </w:tcBorders>
            <w:vAlign w:val="center"/>
          </w:tcPr>
          <w:p w14:paraId="4FBAAA7B">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评分方式</w:t>
            </w:r>
          </w:p>
        </w:tc>
        <w:tc>
          <w:tcPr>
            <w:tcW w:w="5430" w:type="dxa"/>
            <w:tcBorders>
              <w:top w:val="single" w:color="auto" w:sz="4" w:space="0"/>
              <w:left w:val="single" w:color="auto" w:sz="4" w:space="0"/>
              <w:bottom w:val="single" w:color="auto" w:sz="4" w:space="0"/>
              <w:right w:val="single" w:color="auto" w:sz="4" w:space="0"/>
            </w:tcBorders>
            <w:vAlign w:val="center"/>
          </w:tcPr>
          <w:p w14:paraId="5F7094E5">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评分准则</w:t>
            </w:r>
          </w:p>
        </w:tc>
      </w:tr>
      <w:tr w14:paraId="14AE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restart"/>
            <w:tcBorders>
              <w:top w:val="single" w:color="auto" w:sz="4" w:space="0"/>
              <w:left w:val="single" w:color="auto" w:sz="4" w:space="0"/>
              <w:right w:val="single" w:color="auto" w:sz="4" w:space="0"/>
            </w:tcBorders>
            <w:vAlign w:val="center"/>
          </w:tcPr>
          <w:p w14:paraId="13C4821E">
            <w:pPr>
              <w:keepNext w:val="0"/>
              <w:keepLines w:val="0"/>
              <w:pageBreakBefore w:val="0"/>
              <w:kinsoku/>
              <w:overflowPunct/>
              <w:topLinePunct w:val="0"/>
              <w:autoSpaceDE/>
              <w:autoSpaceDN/>
              <w:bidi w:val="0"/>
              <w:spacing w:line="360" w:lineRule="exact"/>
              <w:jc w:val="center"/>
              <w:rPr>
                <w:rFonts w:ascii="宋体" w:hAnsi="宋体" w:cs="宋体"/>
                <w:kern w:val="0"/>
                <w:szCs w:val="21"/>
              </w:rPr>
            </w:pPr>
            <w:r>
              <w:rPr>
                <w:rFonts w:hint="eastAsia" w:ascii="宋体" w:hAnsi="宋体" w:cs="宋体"/>
                <w:kern w:val="0"/>
                <w:szCs w:val="21"/>
              </w:rPr>
              <w:t>1</w:t>
            </w:r>
          </w:p>
        </w:tc>
        <w:tc>
          <w:tcPr>
            <w:tcW w:w="672" w:type="dxa"/>
            <w:vMerge w:val="restart"/>
            <w:tcBorders>
              <w:top w:val="single" w:color="auto" w:sz="4" w:space="0"/>
              <w:left w:val="single" w:color="auto" w:sz="4" w:space="0"/>
              <w:right w:val="single" w:color="auto" w:sz="4" w:space="0"/>
            </w:tcBorders>
            <w:vAlign w:val="center"/>
          </w:tcPr>
          <w:p w14:paraId="381985EA">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人员配备（权重合计：</w:t>
            </w:r>
            <w:r>
              <w:rPr>
                <w:rFonts w:hint="eastAsia" w:ascii="宋体" w:hAnsi="宋体" w:cs="宋体"/>
                <w:szCs w:val="21"/>
                <w:lang w:val="en-US" w:eastAsia="zh-CN"/>
              </w:rPr>
              <w:t>11</w:t>
            </w:r>
            <w:r>
              <w:rPr>
                <w:rFonts w:hint="eastAsia" w:ascii="宋体" w:hAnsi="宋体" w:cs="宋体"/>
                <w:szCs w:val="21"/>
              </w:rPr>
              <w:t>）</w:t>
            </w:r>
          </w:p>
        </w:tc>
        <w:tc>
          <w:tcPr>
            <w:tcW w:w="888" w:type="dxa"/>
            <w:gridSpan w:val="2"/>
            <w:tcBorders>
              <w:top w:val="single" w:color="auto" w:sz="4" w:space="0"/>
              <w:left w:val="single" w:color="auto" w:sz="4" w:space="0"/>
              <w:right w:val="single" w:color="auto" w:sz="4" w:space="0"/>
            </w:tcBorders>
            <w:vAlign w:val="center"/>
          </w:tcPr>
          <w:p w14:paraId="07FCF4E9">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人员配备数量及时间</w:t>
            </w:r>
          </w:p>
        </w:tc>
        <w:tc>
          <w:tcPr>
            <w:tcW w:w="708" w:type="dxa"/>
            <w:tcBorders>
              <w:top w:val="single" w:color="auto" w:sz="4" w:space="0"/>
              <w:left w:val="single" w:color="auto" w:sz="4" w:space="0"/>
              <w:bottom w:val="single" w:color="auto" w:sz="4" w:space="0"/>
              <w:right w:val="single" w:color="auto" w:sz="4" w:space="0"/>
            </w:tcBorders>
            <w:vAlign w:val="center"/>
          </w:tcPr>
          <w:p w14:paraId="4C2A6E70">
            <w:pPr>
              <w:keepNext w:val="0"/>
              <w:keepLines w:val="0"/>
              <w:pageBreakBefore w:val="0"/>
              <w:kinsoku/>
              <w:overflowPunct/>
              <w:topLinePunct w:val="0"/>
              <w:autoSpaceDE/>
              <w:autoSpaceDN/>
              <w:bidi w:val="0"/>
              <w:spacing w:line="360" w:lineRule="exact"/>
              <w:jc w:val="center"/>
              <w:textAlignment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1089" w:type="dxa"/>
            <w:tcBorders>
              <w:top w:val="single" w:color="auto" w:sz="4" w:space="0"/>
              <w:left w:val="single" w:color="auto" w:sz="4" w:space="0"/>
              <w:bottom w:val="single" w:color="auto" w:sz="4" w:space="0"/>
              <w:right w:val="single" w:color="auto" w:sz="4" w:space="0"/>
            </w:tcBorders>
            <w:vAlign w:val="center"/>
          </w:tcPr>
          <w:p w14:paraId="74E51922">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253CFEAE">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38EFDD23">
            <w:pPr>
              <w:keepNext w:val="0"/>
              <w:keepLines w:val="0"/>
              <w:pageBreakBefore w:val="0"/>
              <w:kinsoku/>
              <w:overflowPunct/>
              <w:topLinePunct w:val="0"/>
              <w:autoSpaceDE/>
              <w:autoSpaceDN/>
              <w:bidi w:val="0"/>
              <w:spacing w:line="360" w:lineRule="exact"/>
              <w:textAlignment w:val="center"/>
            </w:pPr>
            <w:r>
              <w:rPr>
                <w:rFonts w:hint="eastAsia" w:ascii="宋体" w:hAnsi="宋体" w:cs="宋体"/>
                <w:szCs w:val="21"/>
              </w:rPr>
              <w:t>投标人承诺，能够于2025年7月1日安排400名协管员按照采购人指定的隶属单位上岗服务的得</w:t>
            </w:r>
            <w:r>
              <w:rPr>
                <w:rFonts w:hint="eastAsia" w:ascii="宋体" w:hAnsi="宋体" w:cs="宋体"/>
                <w:szCs w:val="21"/>
                <w:lang w:val="en-US" w:eastAsia="zh-CN"/>
              </w:rPr>
              <w:t>5</w:t>
            </w:r>
            <w:r>
              <w:rPr>
                <w:rFonts w:hint="eastAsia" w:ascii="宋体" w:hAnsi="宋体" w:cs="宋体"/>
                <w:szCs w:val="21"/>
              </w:rPr>
              <w:t>分，上述无法承诺者不得分</w:t>
            </w:r>
            <w:r>
              <w:rPr>
                <w:rFonts w:hint="eastAsia"/>
              </w:rPr>
              <w:t>。</w:t>
            </w:r>
          </w:p>
          <w:p w14:paraId="4D5668A7">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szCs w:val="21"/>
              </w:rPr>
              <w:t>注：投标人参与A包投标的则需承诺能够于2025年7月1日为东部片区安排400名协管员按照采购人指定的隶属单位上岗服务；投标人参与B包投标的则需承诺能够于2025年7月1日为西部片区安排400名协管员按照采购人指定的隶属单位上岗服务。</w:t>
            </w:r>
          </w:p>
          <w:p w14:paraId="1047225F">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2FFFFD62">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投标人根据本项目实际情况进行承诺，提供加盖投标人公章的《人员到岗时间承诺函》（格式自拟），未提供或提供不全不得分。</w:t>
            </w:r>
          </w:p>
        </w:tc>
      </w:tr>
      <w:tr w14:paraId="5A7A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bottom w:val="single" w:color="auto" w:sz="4" w:space="0"/>
              <w:right w:val="single" w:color="auto" w:sz="4" w:space="0"/>
            </w:tcBorders>
            <w:vAlign w:val="center"/>
          </w:tcPr>
          <w:p w14:paraId="3C17FB50">
            <w:pPr>
              <w:keepNext w:val="0"/>
              <w:keepLines w:val="0"/>
              <w:pageBreakBefore w:val="0"/>
              <w:kinsoku/>
              <w:overflowPunct/>
              <w:topLinePunct w:val="0"/>
              <w:autoSpaceDE/>
              <w:autoSpaceDN/>
              <w:bidi w:val="0"/>
              <w:spacing w:line="360" w:lineRule="exact"/>
              <w:jc w:val="center"/>
              <w:rPr>
                <w:rFonts w:ascii="宋体" w:hAnsi="宋体" w:cs="宋体"/>
                <w:kern w:val="0"/>
                <w:szCs w:val="21"/>
              </w:rPr>
            </w:pPr>
          </w:p>
        </w:tc>
        <w:tc>
          <w:tcPr>
            <w:tcW w:w="672" w:type="dxa"/>
            <w:vMerge w:val="continue"/>
            <w:tcBorders>
              <w:left w:val="single" w:color="auto" w:sz="4" w:space="0"/>
              <w:right w:val="single" w:color="auto" w:sz="4" w:space="0"/>
            </w:tcBorders>
            <w:vAlign w:val="center"/>
          </w:tcPr>
          <w:p w14:paraId="2DCE8E24">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888" w:type="dxa"/>
            <w:gridSpan w:val="2"/>
            <w:tcBorders>
              <w:top w:val="single" w:color="auto" w:sz="4" w:space="0"/>
              <w:left w:val="single" w:color="auto" w:sz="4" w:space="0"/>
              <w:right w:val="single" w:color="auto" w:sz="4" w:space="0"/>
            </w:tcBorders>
            <w:vAlign w:val="center"/>
          </w:tcPr>
          <w:p w14:paraId="3A2005DB">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承接现有人员</w:t>
            </w:r>
          </w:p>
        </w:tc>
        <w:tc>
          <w:tcPr>
            <w:tcW w:w="708" w:type="dxa"/>
            <w:tcBorders>
              <w:top w:val="single" w:color="auto" w:sz="4" w:space="0"/>
              <w:left w:val="single" w:color="auto" w:sz="4" w:space="0"/>
              <w:bottom w:val="single" w:color="auto" w:sz="4" w:space="0"/>
              <w:right w:val="single" w:color="auto" w:sz="4" w:space="0"/>
            </w:tcBorders>
            <w:vAlign w:val="center"/>
          </w:tcPr>
          <w:p w14:paraId="4450111D">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6</w:t>
            </w:r>
          </w:p>
        </w:tc>
        <w:tc>
          <w:tcPr>
            <w:tcW w:w="1089" w:type="dxa"/>
            <w:tcBorders>
              <w:top w:val="single" w:color="auto" w:sz="4" w:space="0"/>
              <w:left w:val="single" w:color="auto" w:sz="4" w:space="0"/>
              <w:bottom w:val="single" w:color="auto" w:sz="4" w:space="0"/>
              <w:right w:val="single" w:color="auto" w:sz="4" w:space="0"/>
            </w:tcBorders>
            <w:vAlign w:val="center"/>
          </w:tcPr>
          <w:p w14:paraId="64F3A045">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1300923E">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5FF9BA44">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对投标人承诺接收深圳海关现有协管员情况进行评价：</w:t>
            </w:r>
          </w:p>
          <w:p w14:paraId="5C741C20">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承诺优先接收现有协管员（东部片区或西部片区）人数450人及以上且不与接收的现有协管员约定试用期的得6分，每少10人扣1分，承诺接收人数少于400人的不得分。</w:t>
            </w:r>
          </w:p>
          <w:p w14:paraId="442EEA28">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4A8D8E92">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投标人根据本项目实际情况进行承诺，提供加盖投标人公章的《人员接收承诺函》（格式自拟），未提供或提供不全不得分。</w:t>
            </w:r>
          </w:p>
        </w:tc>
      </w:tr>
      <w:tr w14:paraId="2C87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restart"/>
            <w:tcBorders>
              <w:top w:val="single" w:color="auto" w:sz="4" w:space="0"/>
              <w:left w:val="single" w:color="auto" w:sz="4" w:space="0"/>
              <w:right w:val="single" w:color="auto" w:sz="4" w:space="0"/>
            </w:tcBorders>
            <w:vAlign w:val="center"/>
          </w:tcPr>
          <w:p w14:paraId="3F196F62">
            <w:pPr>
              <w:keepNext w:val="0"/>
              <w:keepLines w:val="0"/>
              <w:pageBreakBefore w:val="0"/>
              <w:kinsoku/>
              <w:overflowPunct/>
              <w:topLinePunct w:val="0"/>
              <w:autoSpaceDE/>
              <w:autoSpaceDN/>
              <w:bidi w:val="0"/>
              <w:spacing w:line="360" w:lineRule="exact"/>
              <w:jc w:val="center"/>
              <w:rPr>
                <w:rFonts w:ascii="宋体" w:hAnsi="宋体" w:cs="宋体"/>
                <w:kern w:val="0"/>
                <w:szCs w:val="21"/>
              </w:rPr>
            </w:pPr>
            <w:r>
              <w:rPr>
                <w:rFonts w:hint="eastAsia" w:ascii="宋体" w:hAnsi="宋体" w:cs="宋体"/>
                <w:kern w:val="0"/>
                <w:szCs w:val="21"/>
              </w:rPr>
              <w:t>2</w:t>
            </w:r>
          </w:p>
        </w:tc>
        <w:tc>
          <w:tcPr>
            <w:tcW w:w="672" w:type="dxa"/>
            <w:vMerge w:val="restart"/>
            <w:tcBorders>
              <w:top w:val="single" w:color="auto" w:sz="4" w:space="0"/>
              <w:left w:val="single" w:color="auto" w:sz="4" w:space="0"/>
              <w:right w:val="single" w:color="auto" w:sz="4" w:space="0"/>
            </w:tcBorders>
            <w:vAlign w:val="center"/>
          </w:tcPr>
          <w:p w14:paraId="42215899">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人员管理（权重合计：7）</w:t>
            </w:r>
          </w:p>
        </w:tc>
        <w:tc>
          <w:tcPr>
            <w:tcW w:w="888" w:type="dxa"/>
            <w:gridSpan w:val="2"/>
            <w:tcBorders>
              <w:top w:val="single" w:color="auto" w:sz="4" w:space="0"/>
              <w:left w:val="single" w:color="auto" w:sz="4" w:space="0"/>
              <w:right w:val="single" w:color="auto" w:sz="4" w:space="0"/>
            </w:tcBorders>
            <w:vAlign w:val="center"/>
          </w:tcPr>
          <w:p w14:paraId="3CDF0976">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管理规章制度</w:t>
            </w:r>
          </w:p>
        </w:tc>
        <w:tc>
          <w:tcPr>
            <w:tcW w:w="708" w:type="dxa"/>
            <w:tcBorders>
              <w:top w:val="single" w:color="auto" w:sz="4" w:space="0"/>
              <w:left w:val="single" w:color="auto" w:sz="4" w:space="0"/>
              <w:bottom w:val="single" w:color="auto" w:sz="4" w:space="0"/>
              <w:right w:val="single" w:color="auto" w:sz="4" w:space="0"/>
            </w:tcBorders>
            <w:vAlign w:val="center"/>
          </w:tcPr>
          <w:p w14:paraId="73E63278">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ascii="宋体" w:hAnsi="宋体" w:cs="宋体"/>
                <w:szCs w:val="21"/>
              </w:rPr>
              <w:t>2</w:t>
            </w:r>
          </w:p>
        </w:tc>
        <w:tc>
          <w:tcPr>
            <w:tcW w:w="1089" w:type="dxa"/>
            <w:tcBorders>
              <w:top w:val="single" w:color="auto" w:sz="4" w:space="0"/>
              <w:left w:val="single" w:color="auto" w:sz="4" w:space="0"/>
              <w:bottom w:val="single" w:color="auto" w:sz="4" w:space="0"/>
              <w:right w:val="single" w:color="auto" w:sz="4" w:space="0"/>
            </w:tcBorders>
            <w:vAlign w:val="center"/>
          </w:tcPr>
          <w:p w14:paraId="7924B602">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00938535">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对投标人针对</w:t>
            </w:r>
            <w:r>
              <w:rPr>
                <w:rFonts w:hint="eastAsia"/>
              </w:rPr>
              <w:t>拟承接项目</w:t>
            </w:r>
            <w:r>
              <w:rPr>
                <w:rFonts w:hint="eastAsia" w:ascii="宋体" w:hAnsi="宋体" w:cs="宋体"/>
                <w:szCs w:val="21"/>
              </w:rPr>
              <w:t>的管理规章制度的合理性、全面性、科学性及可操作性等进行评价。</w:t>
            </w:r>
          </w:p>
          <w:p w14:paraId="356726EB">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1.管理规章制度完善（包括入职、离职、考勤、行为规范、内部风险防控等方面）、管理措施科学合理、组织架构清晰明确、可有效操作的得2分；</w:t>
            </w:r>
          </w:p>
          <w:p w14:paraId="3E43D7EC">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2.管理制度较为完善、具有一定可操作性的得1分；</w:t>
            </w:r>
          </w:p>
          <w:p w14:paraId="77531155">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3.管理制度简单、可操作性较低的得0.5分；</w:t>
            </w:r>
          </w:p>
          <w:p w14:paraId="017E0A6E">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4.未作出响应或未提供不得分。</w:t>
            </w:r>
          </w:p>
        </w:tc>
      </w:tr>
      <w:tr w14:paraId="7FC5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right w:val="single" w:color="auto" w:sz="4" w:space="0"/>
            </w:tcBorders>
            <w:vAlign w:val="center"/>
          </w:tcPr>
          <w:p w14:paraId="48AE5661">
            <w:pPr>
              <w:keepNext w:val="0"/>
              <w:keepLines w:val="0"/>
              <w:pageBreakBefore w:val="0"/>
              <w:kinsoku/>
              <w:overflowPunct/>
              <w:topLinePunct w:val="0"/>
              <w:autoSpaceDE/>
              <w:autoSpaceDN/>
              <w:bidi w:val="0"/>
              <w:spacing w:line="360" w:lineRule="exact"/>
              <w:jc w:val="center"/>
              <w:rPr>
                <w:rFonts w:ascii="宋体" w:hAnsi="宋体" w:cs="宋体"/>
                <w:kern w:val="0"/>
                <w:szCs w:val="21"/>
              </w:rPr>
            </w:pPr>
          </w:p>
        </w:tc>
        <w:tc>
          <w:tcPr>
            <w:tcW w:w="672" w:type="dxa"/>
            <w:vMerge w:val="continue"/>
            <w:tcBorders>
              <w:left w:val="single" w:color="auto" w:sz="4" w:space="0"/>
              <w:right w:val="single" w:color="auto" w:sz="4" w:space="0"/>
            </w:tcBorders>
            <w:vAlign w:val="center"/>
          </w:tcPr>
          <w:p w14:paraId="6141F809">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888" w:type="dxa"/>
            <w:gridSpan w:val="2"/>
            <w:tcBorders>
              <w:left w:val="single" w:color="auto" w:sz="4" w:space="0"/>
              <w:right w:val="single" w:color="auto" w:sz="4" w:space="0"/>
            </w:tcBorders>
            <w:vAlign w:val="center"/>
          </w:tcPr>
          <w:p w14:paraId="7D781BF8">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管理人员配置</w:t>
            </w:r>
          </w:p>
        </w:tc>
        <w:tc>
          <w:tcPr>
            <w:tcW w:w="708" w:type="dxa"/>
            <w:tcBorders>
              <w:top w:val="single" w:color="auto" w:sz="4" w:space="0"/>
              <w:left w:val="single" w:color="auto" w:sz="4" w:space="0"/>
              <w:bottom w:val="single" w:color="auto" w:sz="4" w:space="0"/>
              <w:right w:val="single" w:color="auto" w:sz="4" w:space="0"/>
            </w:tcBorders>
            <w:vAlign w:val="center"/>
          </w:tcPr>
          <w:p w14:paraId="659C76D6">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ascii="宋体" w:hAnsi="宋体" w:cs="宋体"/>
                <w:szCs w:val="21"/>
              </w:rPr>
              <w:t>3</w:t>
            </w:r>
          </w:p>
        </w:tc>
        <w:tc>
          <w:tcPr>
            <w:tcW w:w="1089" w:type="dxa"/>
            <w:tcBorders>
              <w:top w:val="single" w:color="auto" w:sz="4" w:space="0"/>
              <w:left w:val="single" w:color="auto" w:sz="4" w:space="0"/>
              <w:bottom w:val="single" w:color="auto" w:sz="4" w:space="0"/>
              <w:right w:val="single" w:color="auto" w:sz="4" w:space="0"/>
            </w:tcBorders>
            <w:vAlign w:val="center"/>
          </w:tcPr>
          <w:p w14:paraId="4E303FF1">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7651DA96">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76184051">
            <w:pPr>
              <w:keepNext w:val="0"/>
              <w:keepLines w:val="0"/>
              <w:pageBreakBefore w:val="0"/>
              <w:widowControl/>
              <w:kinsoku/>
              <w:wordWrap w:val="0"/>
              <w:overflowPunct/>
              <w:topLinePunct w:val="0"/>
              <w:autoSpaceDE/>
              <w:autoSpaceDN/>
              <w:bidi w:val="0"/>
              <w:spacing w:line="360" w:lineRule="exact"/>
              <w:jc w:val="left"/>
              <w:textAlignment w:val="top"/>
              <w:rPr>
                <w:rFonts w:hint="eastAsia" w:ascii="宋体" w:hAnsi="宋体" w:cs="宋体"/>
                <w:kern w:val="0"/>
                <w:szCs w:val="21"/>
              </w:rPr>
            </w:pPr>
            <w:r>
              <w:rPr>
                <w:rFonts w:hint="eastAsia" w:ascii="宋体" w:hAnsi="宋体" w:cs="宋体"/>
                <w:kern w:val="0"/>
                <w:szCs w:val="21"/>
              </w:rPr>
              <w:t>拟派项目负责人和</w:t>
            </w:r>
            <w:r>
              <w:rPr>
                <w:rFonts w:hint="eastAsia" w:ascii="宋体" w:hAnsi="宋体" w:cs="宋体"/>
                <w:szCs w:val="21"/>
              </w:rPr>
              <w:t>协管员管理人员</w:t>
            </w:r>
            <w:r>
              <w:rPr>
                <w:rFonts w:hint="eastAsia" w:ascii="宋体" w:hAnsi="宋体" w:cs="宋体"/>
                <w:szCs w:val="21"/>
                <w:lang w:eastAsia="zh-CN"/>
              </w:rPr>
              <w:t>（同一人员不得兼任多个岗位）</w:t>
            </w:r>
            <w:r>
              <w:rPr>
                <w:rFonts w:hint="eastAsia" w:ascii="宋体" w:hAnsi="宋体" w:cs="宋体"/>
                <w:kern w:val="0"/>
                <w:szCs w:val="21"/>
              </w:rPr>
              <w:t>须是投标单位自有员工，且承诺如若中标，项目负责人和</w:t>
            </w:r>
            <w:r>
              <w:rPr>
                <w:rFonts w:hint="eastAsia" w:ascii="宋体" w:hAnsi="宋体" w:cs="宋体"/>
                <w:szCs w:val="21"/>
              </w:rPr>
              <w:t>协管员管理人员</w:t>
            </w:r>
            <w:r>
              <w:rPr>
                <w:rFonts w:hint="eastAsia" w:ascii="宋体" w:hAnsi="宋体" w:cs="宋体"/>
                <w:kern w:val="0"/>
                <w:szCs w:val="21"/>
              </w:rPr>
              <w:t>在服务期间</w:t>
            </w:r>
            <w:r>
              <w:rPr>
                <w:rFonts w:hint="eastAsia" w:ascii="宋体" w:hAnsi="宋体" w:cs="宋体"/>
                <w:kern w:val="0"/>
                <w:szCs w:val="21"/>
                <w:lang w:eastAsia="zh-CN"/>
              </w:rPr>
              <w:t>一般</w:t>
            </w:r>
            <w:r>
              <w:rPr>
                <w:rFonts w:hint="eastAsia" w:ascii="宋体" w:hAnsi="宋体" w:cs="宋体"/>
                <w:kern w:val="0"/>
                <w:szCs w:val="21"/>
              </w:rPr>
              <w:t>不更换</w:t>
            </w:r>
            <w:r>
              <w:rPr>
                <w:rFonts w:hint="eastAsia" w:ascii="宋体" w:hAnsi="宋体" w:cs="宋体"/>
                <w:kern w:val="0"/>
                <w:szCs w:val="21"/>
                <w:lang w:eastAsia="zh-CN"/>
              </w:rPr>
              <w:t>，</w:t>
            </w:r>
            <w:r>
              <w:rPr>
                <w:rFonts w:hint="eastAsia" w:ascii="宋体" w:hAnsi="宋体" w:cs="宋体"/>
                <w:kern w:val="0"/>
                <w:szCs w:val="21"/>
              </w:rPr>
              <w:t>确需更</w:t>
            </w:r>
          </w:p>
          <w:p w14:paraId="4E5676C9">
            <w:pPr>
              <w:keepNext w:val="0"/>
              <w:keepLines w:val="0"/>
              <w:pageBreakBefore w:val="0"/>
              <w:widowControl/>
              <w:kinsoku/>
              <w:wordWrap w:val="0"/>
              <w:overflowPunct/>
              <w:topLinePunct w:val="0"/>
              <w:autoSpaceDE/>
              <w:autoSpaceDN/>
              <w:bidi w:val="0"/>
              <w:spacing w:line="360" w:lineRule="exact"/>
              <w:jc w:val="left"/>
              <w:textAlignment w:val="top"/>
              <w:rPr>
                <w:rFonts w:ascii="宋体" w:hAnsi="宋体" w:cs="宋体"/>
                <w:kern w:val="0"/>
                <w:szCs w:val="21"/>
              </w:rPr>
            </w:pPr>
            <w:r>
              <w:rPr>
                <w:rFonts w:hint="eastAsia" w:ascii="宋体" w:hAnsi="宋体" w:cs="宋体"/>
                <w:kern w:val="0"/>
                <w:szCs w:val="21"/>
              </w:rPr>
              <w:t>换的,应提前与采购人协商一致（提供承诺函，格式自定），否则本项不得分。在此基础上进行以下评审：</w:t>
            </w:r>
          </w:p>
          <w:p w14:paraId="3DDB188A">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1.投标人为每个服务的隶属单位至少配备1名协管员管理人员（</w:t>
            </w:r>
            <w:r>
              <w:rPr>
                <w:rFonts w:hint="eastAsia" w:ascii="宋体" w:hAnsi="宋体" w:cs="宋体"/>
              </w:rPr>
              <w:t>其中</w:t>
            </w:r>
            <w:r>
              <w:rPr>
                <w:rFonts w:ascii="宋体" w:hAnsi="宋体" w:cs="宋体"/>
              </w:rPr>
              <w:t>A包至少9人，B包至少7人</w:t>
            </w:r>
            <w:r>
              <w:rPr>
                <w:rFonts w:hint="eastAsia" w:ascii="宋体" w:hAnsi="宋体" w:cs="宋体"/>
                <w:szCs w:val="21"/>
              </w:rPr>
              <w:t>），在此基础上，每增加1名管理人员得0.2分，本项最高得1分。</w:t>
            </w:r>
          </w:p>
          <w:p w14:paraId="0BDA7D3E">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2.协管员管理人员具有人力资源管理相关专业高级职称（含副高）证书或企业人力资源管理师（一级/高级技师）证书的，每提供1名得0.4分；管理人员具有人力资源管理相关专业中级职称证书或企业人力资源管理师（二级/技师）证书的，每提供1名得0.2分；管理人员具有人力资源管理相关专业初级职称证书或企业人力资源管理师（三级/高级工）证书的，每提供1名得0.1分。本项最高得2分。</w:t>
            </w:r>
          </w:p>
          <w:p w14:paraId="6FF337AA">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注：同一人员不可累计得分，如同一人员具有上述多个证书的，按得分最优情况计分。</w:t>
            </w:r>
          </w:p>
          <w:p w14:paraId="32BE5DC1">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6D44D362">
            <w:pPr>
              <w:keepNext w:val="0"/>
              <w:keepLines w:val="0"/>
              <w:pageBreakBefore w:val="0"/>
              <w:kinsoku/>
              <w:overflowPunct/>
              <w:topLinePunct w:val="0"/>
              <w:autoSpaceDE/>
              <w:autoSpaceDN/>
              <w:bidi w:val="0"/>
              <w:spacing w:line="360" w:lineRule="exact"/>
              <w:textAlignment w:val="center"/>
              <w:rPr>
                <w:rFonts w:ascii="宋体" w:hAnsi="宋体" w:cs="宋体" w:eastAsiaTheme="minorEastAsia"/>
                <w:szCs w:val="21"/>
              </w:rPr>
            </w:pPr>
            <w:r>
              <w:rPr>
                <w:rFonts w:hint="eastAsia" w:ascii="宋体" w:hAnsi="宋体" w:cs="宋体"/>
                <w:szCs w:val="21"/>
              </w:rPr>
              <w:t>1.提供拟安排</w:t>
            </w:r>
            <w:r>
              <w:rPr>
                <w:rFonts w:hint="eastAsia" w:ascii="宋体" w:hAnsi="宋体" w:cs="宋体"/>
                <w:kern w:val="0"/>
                <w:szCs w:val="21"/>
              </w:rPr>
              <w:t>项目负责人和</w:t>
            </w:r>
            <w:r>
              <w:rPr>
                <w:rFonts w:hint="eastAsia" w:ascii="宋体" w:hAnsi="宋体" w:cs="宋体"/>
                <w:szCs w:val="21"/>
              </w:rPr>
              <w:t>协管员管理人员的人员清单以及</w:t>
            </w:r>
            <w:r>
              <w:rPr>
                <w:rFonts w:hint="eastAsia" w:ascii="宋体" w:hAnsi="宋体" w:cs="宋体"/>
                <w:kern w:val="0"/>
                <w:szCs w:val="21"/>
              </w:rPr>
              <w:t>在服务期间不更换的</w:t>
            </w:r>
            <w:r>
              <w:rPr>
                <w:rFonts w:hint="eastAsia" w:ascii="宋体" w:hAnsi="宋体" w:cs="宋体"/>
                <w:szCs w:val="21"/>
              </w:rPr>
              <w:t>承诺函（格式自拟），并提供自有员工证明【投标人为上述人员缴交的投标截止时间前三个月加盖社保部门（或税务部门）公章的社保证明材料（如开标日上一个月的社保材料因社保部门或税务部门原因暂时无法取得，则可以往前顺延一个月）；</w:t>
            </w:r>
            <w:r>
              <w:rPr>
                <w:rFonts w:hint="eastAsia" w:asciiTheme="minorEastAsia" w:hAnsiTheme="minorEastAsia" w:eastAsiaTheme="minorEastAsia"/>
                <w:szCs w:val="21"/>
              </w:rPr>
              <w:t>如供应商为新成立单位且成立时间不足三个月的，</w:t>
            </w:r>
            <w:r>
              <w:rPr>
                <w:rFonts w:hint="eastAsia" w:cs="宋体" w:asciiTheme="minorEastAsia" w:hAnsiTheme="minorEastAsia" w:eastAsiaTheme="minorEastAsia"/>
                <w:szCs w:val="21"/>
              </w:rPr>
              <w:t>可提供加盖公章的情况说明或者证明材料，无需提供相关人员社保，亦视为符合】；</w:t>
            </w:r>
          </w:p>
          <w:p w14:paraId="169E76CA">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2.</w:t>
            </w:r>
            <w:r>
              <w:rPr>
                <w:rFonts w:hint="eastAsia" w:ascii="宋体" w:hAnsi="宋体" w:cs="宋体"/>
                <w:szCs w:val="21"/>
                <w:lang w:eastAsia="zh-CN"/>
              </w:rPr>
              <w:t>提供人员职称证书</w:t>
            </w:r>
            <w:r>
              <w:rPr>
                <w:rFonts w:hint="eastAsia" w:ascii="宋体" w:hAnsi="宋体" w:cs="宋体"/>
                <w:szCs w:val="21"/>
              </w:rPr>
              <w:t>；</w:t>
            </w:r>
          </w:p>
          <w:p w14:paraId="74D86DCE">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3.提供以上证明文件复印件或扫描件，如涉及网站截图或照片等证明材料，需提供清晰图片，均要求加盖投标人公章，原件备查。未按要求提供有效证明材料或提供不清晰导致评委无法识别的不计得分。</w:t>
            </w:r>
          </w:p>
        </w:tc>
      </w:tr>
      <w:tr w14:paraId="708F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right w:val="single" w:color="auto" w:sz="4" w:space="0"/>
            </w:tcBorders>
            <w:vAlign w:val="center"/>
          </w:tcPr>
          <w:p w14:paraId="3D049C30">
            <w:pPr>
              <w:keepNext w:val="0"/>
              <w:keepLines w:val="0"/>
              <w:pageBreakBefore w:val="0"/>
              <w:kinsoku/>
              <w:overflowPunct/>
              <w:topLinePunct w:val="0"/>
              <w:autoSpaceDE/>
              <w:autoSpaceDN/>
              <w:bidi w:val="0"/>
              <w:spacing w:line="360" w:lineRule="exact"/>
              <w:jc w:val="center"/>
              <w:rPr>
                <w:rFonts w:ascii="宋体" w:hAnsi="宋体" w:cs="宋体"/>
                <w:kern w:val="0"/>
                <w:szCs w:val="21"/>
              </w:rPr>
            </w:pPr>
          </w:p>
        </w:tc>
        <w:tc>
          <w:tcPr>
            <w:tcW w:w="672" w:type="dxa"/>
            <w:vMerge w:val="continue"/>
            <w:tcBorders>
              <w:left w:val="single" w:color="auto" w:sz="4" w:space="0"/>
              <w:right w:val="single" w:color="auto" w:sz="4" w:space="0"/>
            </w:tcBorders>
            <w:vAlign w:val="center"/>
          </w:tcPr>
          <w:p w14:paraId="08380F8D">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888" w:type="dxa"/>
            <w:gridSpan w:val="2"/>
            <w:tcBorders>
              <w:left w:val="single" w:color="auto" w:sz="4" w:space="0"/>
              <w:right w:val="single" w:color="auto" w:sz="4" w:space="0"/>
            </w:tcBorders>
            <w:vAlign w:val="center"/>
          </w:tcPr>
          <w:p w14:paraId="7BECDEF6">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人员培训计划和教育监督方案</w:t>
            </w:r>
          </w:p>
        </w:tc>
        <w:tc>
          <w:tcPr>
            <w:tcW w:w="708" w:type="dxa"/>
            <w:tcBorders>
              <w:top w:val="single" w:color="auto" w:sz="4" w:space="0"/>
              <w:left w:val="single" w:color="auto" w:sz="4" w:space="0"/>
              <w:bottom w:val="single" w:color="auto" w:sz="4" w:space="0"/>
              <w:right w:val="single" w:color="auto" w:sz="4" w:space="0"/>
            </w:tcBorders>
            <w:vAlign w:val="center"/>
          </w:tcPr>
          <w:p w14:paraId="38B498F4">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ascii="宋体" w:hAnsi="宋体" w:cs="宋体"/>
                <w:szCs w:val="21"/>
              </w:rPr>
              <w:t>2</w:t>
            </w:r>
          </w:p>
        </w:tc>
        <w:tc>
          <w:tcPr>
            <w:tcW w:w="1089" w:type="dxa"/>
            <w:tcBorders>
              <w:top w:val="single" w:color="auto" w:sz="4" w:space="0"/>
              <w:left w:val="single" w:color="auto" w:sz="4" w:space="0"/>
              <w:bottom w:val="single" w:color="auto" w:sz="4" w:space="0"/>
              <w:right w:val="single" w:color="auto" w:sz="4" w:space="0"/>
            </w:tcBorders>
            <w:vAlign w:val="center"/>
          </w:tcPr>
          <w:p w14:paraId="48C7EE08">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5B643ABD">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对投标人针对</w:t>
            </w:r>
            <w:r>
              <w:rPr>
                <w:rFonts w:hint="eastAsia"/>
              </w:rPr>
              <w:t>拟承接项目</w:t>
            </w:r>
            <w:r>
              <w:rPr>
                <w:rFonts w:hint="eastAsia" w:ascii="宋体" w:hAnsi="宋体" w:cs="宋体"/>
                <w:szCs w:val="21"/>
              </w:rPr>
              <w:t>的人员培训计划和教育监督方案进行评价：</w:t>
            </w:r>
          </w:p>
          <w:p w14:paraId="4ACB9874">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1. 人员培训计划和教育监督方案周详、组织有力，有相应组织落实机制，可操作性高的得2分；</w:t>
            </w:r>
          </w:p>
          <w:p w14:paraId="09B5C488">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2. 人员培训计划和教育监督方案较为完善，具有一定可操作性的得1分；</w:t>
            </w:r>
          </w:p>
          <w:p w14:paraId="344526BC">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3. 人员培训计划和教育监督方案简单、不完善，可操作性较低的得0.5分；</w:t>
            </w:r>
          </w:p>
          <w:p w14:paraId="06C8D1A8">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未作出响应或未提供不得分。</w:t>
            </w:r>
          </w:p>
        </w:tc>
      </w:tr>
      <w:tr w14:paraId="7306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restart"/>
            <w:tcBorders>
              <w:left w:val="single" w:color="auto" w:sz="4" w:space="0"/>
              <w:right w:val="single" w:color="auto" w:sz="4" w:space="0"/>
            </w:tcBorders>
            <w:vAlign w:val="center"/>
          </w:tcPr>
          <w:p w14:paraId="55CD930E">
            <w:pPr>
              <w:keepNext w:val="0"/>
              <w:keepLines w:val="0"/>
              <w:pageBreakBefore w:val="0"/>
              <w:kinsoku/>
              <w:overflowPunct/>
              <w:topLinePunct w:val="0"/>
              <w:autoSpaceDE/>
              <w:autoSpaceDN/>
              <w:bidi w:val="0"/>
              <w:spacing w:line="360" w:lineRule="exact"/>
              <w:jc w:val="center"/>
              <w:rPr>
                <w:rFonts w:ascii="宋体" w:hAnsi="宋体" w:cs="宋体"/>
                <w:kern w:val="0"/>
                <w:szCs w:val="21"/>
              </w:rPr>
            </w:pPr>
            <w:r>
              <w:rPr>
                <w:rFonts w:hint="eastAsia" w:ascii="宋体" w:hAnsi="宋体" w:cs="宋体"/>
                <w:kern w:val="0"/>
                <w:szCs w:val="21"/>
              </w:rPr>
              <w:t>3</w:t>
            </w:r>
          </w:p>
        </w:tc>
        <w:tc>
          <w:tcPr>
            <w:tcW w:w="672" w:type="dxa"/>
            <w:vMerge w:val="restart"/>
            <w:tcBorders>
              <w:left w:val="single" w:color="auto" w:sz="4" w:space="0"/>
              <w:right w:val="single" w:color="auto" w:sz="4" w:space="0"/>
            </w:tcBorders>
            <w:vAlign w:val="center"/>
          </w:tcPr>
          <w:p w14:paraId="53FD6D6A">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薪酬福利（权重合计：23）</w:t>
            </w:r>
          </w:p>
        </w:tc>
        <w:tc>
          <w:tcPr>
            <w:tcW w:w="888" w:type="dxa"/>
            <w:gridSpan w:val="2"/>
            <w:tcBorders>
              <w:left w:val="single" w:color="auto" w:sz="4" w:space="0"/>
              <w:right w:val="single" w:color="auto" w:sz="4" w:space="0"/>
            </w:tcBorders>
            <w:vAlign w:val="center"/>
          </w:tcPr>
          <w:p w14:paraId="575398BF">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人员薪酬发放</w:t>
            </w:r>
          </w:p>
        </w:tc>
        <w:tc>
          <w:tcPr>
            <w:tcW w:w="708" w:type="dxa"/>
            <w:tcBorders>
              <w:top w:val="single" w:color="auto" w:sz="4" w:space="0"/>
              <w:left w:val="single" w:color="auto" w:sz="4" w:space="0"/>
              <w:bottom w:val="single" w:color="auto" w:sz="4" w:space="0"/>
              <w:right w:val="single" w:color="auto" w:sz="4" w:space="0"/>
            </w:tcBorders>
            <w:vAlign w:val="center"/>
          </w:tcPr>
          <w:p w14:paraId="566F80F0">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5</w:t>
            </w:r>
          </w:p>
        </w:tc>
        <w:tc>
          <w:tcPr>
            <w:tcW w:w="1089" w:type="dxa"/>
            <w:tcBorders>
              <w:top w:val="single" w:color="auto" w:sz="4" w:space="0"/>
              <w:left w:val="single" w:color="auto" w:sz="4" w:space="0"/>
              <w:bottom w:val="single" w:color="auto" w:sz="4" w:space="0"/>
              <w:right w:val="single" w:color="auto" w:sz="4" w:space="0"/>
            </w:tcBorders>
            <w:vAlign w:val="center"/>
          </w:tcPr>
          <w:p w14:paraId="67A32A23">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12A54E74">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3F3890A3">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投标人承诺按照合同规定项目，合理合法约定协管员薪酬待遇，并按时、足额发放的，得5分，否则不得分。</w:t>
            </w:r>
          </w:p>
          <w:p w14:paraId="5ADFB062">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2746CC89">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投标人需提供加盖投标人公章的《协管员薪酬发放承诺函》（格式自拟），未提供或提供不全不得分。</w:t>
            </w:r>
          </w:p>
        </w:tc>
      </w:tr>
      <w:tr w14:paraId="2438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right w:val="single" w:color="auto" w:sz="4" w:space="0"/>
            </w:tcBorders>
            <w:vAlign w:val="center"/>
          </w:tcPr>
          <w:p w14:paraId="76FFC295">
            <w:pPr>
              <w:keepNext w:val="0"/>
              <w:keepLines w:val="0"/>
              <w:pageBreakBefore w:val="0"/>
              <w:kinsoku/>
              <w:overflowPunct/>
              <w:topLinePunct w:val="0"/>
              <w:autoSpaceDE/>
              <w:autoSpaceDN/>
              <w:bidi w:val="0"/>
              <w:spacing w:line="360" w:lineRule="exact"/>
              <w:jc w:val="center"/>
              <w:rPr>
                <w:rFonts w:ascii="宋体" w:hAnsi="宋体" w:cs="宋体"/>
                <w:kern w:val="0"/>
                <w:szCs w:val="21"/>
              </w:rPr>
            </w:pPr>
          </w:p>
        </w:tc>
        <w:tc>
          <w:tcPr>
            <w:tcW w:w="672" w:type="dxa"/>
            <w:vMerge w:val="continue"/>
            <w:tcBorders>
              <w:left w:val="single" w:color="auto" w:sz="4" w:space="0"/>
              <w:right w:val="single" w:color="auto" w:sz="4" w:space="0"/>
            </w:tcBorders>
            <w:vAlign w:val="center"/>
          </w:tcPr>
          <w:p w14:paraId="7823F793">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888" w:type="dxa"/>
            <w:gridSpan w:val="2"/>
            <w:tcBorders>
              <w:left w:val="single" w:color="auto" w:sz="4" w:space="0"/>
              <w:right w:val="single" w:color="auto" w:sz="4" w:space="0"/>
            </w:tcBorders>
            <w:vAlign w:val="center"/>
          </w:tcPr>
          <w:p w14:paraId="6B9E01F7">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人员绩效奖金发放</w:t>
            </w:r>
          </w:p>
        </w:tc>
        <w:tc>
          <w:tcPr>
            <w:tcW w:w="708" w:type="dxa"/>
            <w:tcBorders>
              <w:top w:val="single" w:color="auto" w:sz="4" w:space="0"/>
              <w:left w:val="single" w:color="auto" w:sz="4" w:space="0"/>
              <w:bottom w:val="single" w:color="auto" w:sz="4" w:space="0"/>
              <w:right w:val="single" w:color="auto" w:sz="4" w:space="0"/>
            </w:tcBorders>
            <w:vAlign w:val="center"/>
          </w:tcPr>
          <w:p w14:paraId="73A84E7F">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color w:val="000000"/>
                <w:kern w:val="0"/>
                <w:szCs w:val="21"/>
              </w:rPr>
              <w:t>2</w:t>
            </w:r>
          </w:p>
        </w:tc>
        <w:tc>
          <w:tcPr>
            <w:tcW w:w="1089" w:type="dxa"/>
            <w:tcBorders>
              <w:top w:val="single" w:color="auto" w:sz="4" w:space="0"/>
              <w:left w:val="single" w:color="auto" w:sz="4" w:space="0"/>
              <w:bottom w:val="single" w:color="auto" w:sz="4" w:space="0"/>
              <w:right w:val="single" w:color="auto" w:sz="4" w:space="0"/>
            </w:tcBorders>
            <w:vAlign w:val="center"/>
          </w:tcPr>
          <w:p w14:paraId="1C187892">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7345A330">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03F62AAE">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协管员的月绩效考核等次分为“不合格”、“合格”和“优秀”三个等次，投标人承诺根据采购人隶属单位考核结果，为考核“合格”或“优秀”的协管员发放绩效奖金的，得2分，否则不得分。</w:t>
            </w:r>
          </w:p>
          <w:p w14:paraId="6F8FA32E">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3096AFA5">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投标人需提供加盖投标人公章的《协管员绩效奖金发放承诺函》（格式自拟），未提供或提供不全不得分。</w:t>
            </w:r>
          </w:p>
        </w:tc>
      </w:tr>
      <w:tr w14:paraId="4643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right w:val="single" w:color="auto" w:sz="4" w:space="0"/>
            </w:tcBorders>
            <w:vAlign w:val="center"/>
          </w:tcPr>
          <w:p w14:paraId="6DF9F7CD">
            <w:pPr>
              <w:keepNext w:val="0"/>
              <w:keepLines w:val="0"/>
              <w:pageBreakBefore w:val="0"/>
              <w:kinsoku/>
              <w:overflowPunct/>
              <w:topLinePunct w:val="0"/>
              <w:autoSpaceDE/>
              <w:autoSpaceDN/>
              <w:bidi w:val="0"/>
              <w:spacing w:line="360" w:lineRule="exact"/>
              <w:jc w:val="center"/>
              <w:rPr>
                <w:rFonts w:ascii="宋体" w:hAnsi="宋体" w:cs="宋体"/>
                <w:kern w:val="0"/>
                <w:szCs w:val="21"/>
              </w:rPr>
            </w:pPr>
          </w:p>
        </w:tc>
        <w:tc>
          <w:tcPr>
            <w:tcW w:w="672" w:type="dxa"/>
            <w:vMerge w:val="continue"/>
            <w:tcBorders>
              <w:left w:val="single" w:color="auto" w:sz="4" w:space="0"/>
              <w:right w:val="single" w:color="auto" w:sz="4" w:space="0"/>
            </w:tcBorders>
            <w:vAlign w:val="center"/>
          </w:tcPr>
          <w:p w14:paraId="0E46DF47">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888" w:type="dxa"/>
            <w:gridSpan w:val="2"/>
            <w:tcBorders>
              <w:left w:val="single" w:color="auto" w:sz="4" w:space="0"/>
              <w:right w:val="single" w:color="auto" w:sz="4" w:space="0"/>
            </w:tcBorders>
            <w:vAlign w:val="center"/>
          </w:tcPr>
          <w:p w14:paraId="0D1F4E85">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人员其他薪资待遇保障</w:t>
            </w:r>
          </w:p>
        </w:tc>
        <w:tc>
          <w:tcPr>
            <w:tcW w:w="708" w:type="dxa"/>
            <w:tcBorders>
              <w:top w:val="single" w:color="auto" w:sz="4" w:space="0"/>
              <w:left w:val="single" w:color="auto" w:sz="4" w:space="0"/>
              <w:bottom w:val="single" w:color="auto" w:sz="4" w:space="0"/>
              <w:right w:val="single" w:color="auto" w:sz="4" w:space="0"/>
            </w:tcBorders>
            <w:vAlign w:val="center"/>
          </w:tcPr>
          <w:p w14:paraId="1F608EB3">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4</w:t>
            </w:r>
          </w:p>
        </w:tc>
        <w:tc>
          <w:tcPr>
            <w:tcW w:w="1089" w:type="dxa"/>
            <w:tcBorders>
              <w:top w:val="single" w:color="auto" w:sz="4" w:space="0"/>
              <w:left w:val="single" w:color="auto" w:sz="4" w:space="0"/>
              <w:bottom w:val="single" w:color="auto" w:sz="4" w:space="0"/>
              <w:right w:val="single" w:color="auto" w:sz="4" w:space="0"/>
            </w:tcBorders>
            <w:vAlign w:val="center"/>
          </w:tcPr>
          <w:p w14:paraId="08623742">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3A3F6D4F">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5C3D3F61">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根据投标人承诺的人员福利情况进行评分，福利至少包括：</w:t>
            </w:r>
          </w:p>
          <w:p w14:paraId="38BF39BC">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1.按照深圳市相关规定为协管人员购买社会保险和住房公积金。</w:t>
            </w:r>
          </w:p>
          <w:p w14:paraId="165F3E13">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2.人身意外险。</w:t>
            </w:r>
          </w:p>
          <w:p w14:paraId="0D26F1D6">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3.按深圳市政府要求为协管员发放高温补贴。</w:t>
            </w:r>
          </w:p>
          <w:p w14:paraId="3A0D56C8">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7B9ADFBF">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以投标文件《分项报价表》响应情况为准，完全满足以上3项内容的得4分，满足以上2项内容的得2分，满足以上1项内容的得1分。未按要求提供报价或不能判断的不得分。</w:t>
            </w:r>
          </w:p>
        </w:tc>
      </w:tr>
      <w:tr w14:paraId="1DF1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bottom w:val="single" w:color="auto" w:sz="4" w:space="0"/>
              <w:right w:val="single" w:color="auto" w:sz="4" w:space="0"/>
            </w:tcBorders>
            <w:vAlign w:val="center"/>
          </w:tcPr>
          <w:p w14:paraId="4D1E3ECC">
            <w:pPr>
              <w:keepNext w:val="0"/>
              <w:keepLines w:val="0"/>
              <w:pageBreakBefore w:val="0"/>
              <w:kinsoku/>
              <w:overflowPunct/>
              <w:topLinePunct w:val="0"/>
              <w:autoSpaceDE/>
              <w:autoSpaceDN/>
              <w:bidi w:val="0"/>
              <w:spacing w:line="360" w:lineRule="exact"/>
              <w:jc w:val="center"/>
              <w:rPr>
                <w:rFonts w:ascii="宋体" w:hAnsi="宋体" w:cs="宋体"/>
                <w:kern w:val="0"/>
                <w:szCs w:val="21"/>
              </w:rPr>
            </w:pPr>
          </w:p>
        </w:tc>
        <w:tc>
          <w:tcPr>
            <w:tcW w:w="672" w:type="dxa"/>
            <w:vMerge w:val="continue"/>
            <w:tcBorders>
              <w:left w:val="single" w:color="auto" w:sz="4" w:space="0"/>
              <w:right w:val="single" w:color="auto" w:sz="4" w:space="0"/>
            </w:tcBorders>
            <w:vAlign w:val="center"/>
          </w:tcPr>
          <w:p w14:paraId="0D43A719">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888" w:type="dxa"/>
            <w:gridSpan w:val="2"/>
            <w:vMerge w:val="restart"/>
            <w:tcBorders>
              <w:left w:val="single" w:color="auto" w:sz="4" w:space="0"/>
              <w:right w:val="single" w:color="auto" w:sz="4" w:space="0"/>
            </w:tcBorders>
            <w:vAlign w:val="center"/>
          </w:tcPr>
          <w:p w14:paraId="43ACD04B">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食宿保障</w:t>
            </w:r>
          </w:p>
        </w:tc>
        <w:tc>
          <w:tcPr>
            <w:tcW w:w="708" w:type="dxa"/>
            <w:tcBorders>
              <w:top w:val="single" w:color="auto" w:sz="4" w:space="0"/>
              <w:left w:val="single" w:color="auto" w:sz="4" w:space="0"/>
              <w:bottom w:val="single" w:color="auto" w:sz="4" w:space="0"/>
              <w:right w:val="single" w:color="auto" w:sz="4" w:space="0"/>
            </w:tcBorders>
            <w:vAlign w:val="center"/>
          </w:tcPr>
          <w:p w14:paraId="6BB6FB8B">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5</w:t>
            </w:r>
          </w:p>
        </w:tc>
        <w:tc>
          <w:tcPr>
            <w:tcW w:w="1089" w:type="dxa"/>
            <w:tcBorders>
              <w:top w:val="single" w:color="auto" w:sz="4" w:space="0"/>
              <w:left w:val="single" w:color="auto" w:sz="4" w:space="0"/>
              <w:bottom w:val="single" w:color="auto" w:sz="4" w:space="0"/>
              <w:right w:val="single" w:color="auto" w:sz="4" w:space="0"/>
            </w:tcBorders>
            <w:vAlign w:val="center"/>
          </w:tcPr>
          <w:p w14:paraId="32F7C087">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4C92531E">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55A95CDC">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投标人承诺为协管员提供工作日餐饮服务</w:t>
            </w:r>
            <w:r>
              <w:rPr>
                <w:rFonts w:hint="eastAsia"/>
              </w:rPr>
              <w:t>（不向协管员收取费用）</w:t>
            </w:r>
            <w:r>
              <w:rPr>
                <w:rFonts w:hint="eastAsia" w:ascii="宋体" w:hAnsi="宋体" w:cs="宋体"/>
                <w:szCs w:val="21"/>
              </w:rPr>
              <w:t>的，且承诺如无法保障、或采购人隶属单位配合保障、或协管员经同意自愿放弃餐饮保障的，则为协管员发放与提供餐饮成本相当的餐饮补助的得5分。</w:t>
            </w:r>
          </w:p>
          <w:p w14:paraId="07202CB5">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35DC54D9">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投标人需提供加盖投标人公章的《</w:t>
            </w:r>
            <w:r>
              <w:rPr>
                <w:rFonts w:hint="eastAsia"/>
              </w:rPr>
              <w:t>协管员</w:t>
            </w:r>
            <w:r>
              <w:rPr>
                <w:rFonts w:hint="eastAsia" w:ascii="宋体" w:hAnsi="宋体" w:cs="宋体"/>
                <w:szCs w:val="21"/>
              </w:rPr>
              <w:t>餐饮保障承诺函》（格式自拟），未提供或提供不全不得分。</w:t>
            </w:r>
          </w:p>
        </w:tc>
      </w:tr>
      <w:tr w14:paraId="255B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bottom w:val="single" w:color="auto" w:sz="4" w:space="0"/>
              <w:right w:val="single" w:color="auto" w:sz="4" w:space="0"/>
            </w:tcBorders>
            <w:vAlign w:val="center"/>
          </w:tcPr>
          <w:p w14:paraId="1D04A622">
            <w:pPr>
              <w:keepNext w:val="0"/>
              <w:keepLines w:val="0"/>
              <w:pageBreakBefore w:val="0"/>
              <w:kinsoku/>
              <w:overflowPunct/>
              <w:topLinePunct w:val="0"/>
              <w:autoSpaceDE/>
              <w:autoSpaceDN/>
              <w:bidi w:val="0"/>
              <w:spacing w:line="360" w:lineRule="exact"/>
              <w:jc w:val="center"/>
              <w:rPr>
                <w:rFonts w:ascii="宋体" w:hAnsi="宋体" w:cs="宋体"/>
                <w:kern w:val="0"/>
                <w:szCs w:val="21"/>
              </w:rPr>
            </w:pPr>
          </w:p>
        </w:tc>
        <w:tc>
          <w:tcPr>
            <w:tcW w:w="672" w:type="dxa"/>
            <w:vMerge w:val="continue"/>
            <w:tcBorders>
              <w:left w:val="single" w:color="auto" w:sz="4" w:space="0"/>
              <w:right w:val="single" w:color="auto" w:sz="4" w:space="0"/>
            </w:tcBorders>
            <w:vAlign w:val="center"/>
          </w:tcPr>
          <w:p w14:paraId="65F55833">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888" w:type="dxa"/>
            <w:gridSpan w:val="2"/>
            <w:vMerge w:val="continue"/>
            <w:tcBorders>
              <w:left w:val="single" w:color="auto" w:sz="4" w:space="0"/>
              <w:right w:val="single" w:color="auto" w:sz="4" w:space="0"/>
            </w:tcBorders>
            <w:vAlign w:val="center"/>
          </w:tcPr>
          <w:p w14:paraId="27285FA1">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49AC2BE8">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5</w:t>
            </w:r>
          </w:p>
        </w:tc>
        <w:tc>
          <w:tcPr>
            <w:tcW w:w="1089" w:type="dxa"/>
            <w:tcBorders>
              <w:top w:val="single" w:color="auto" w:sz="4" w:space="0"/>
              <w:left w:val="single" w:color="auto" w:sz="4" w:space="0"/>
              <w:bottom w:val="single" w:color="auto" w:sz="4" w:space="0"/>
              <w:right w:val="single" w:color="auto" w:sz="4" w:space="0"/>
            </w:tcBorders>
            <w:vAlign w:val="center"/>
          </w:tcPr>
          <w:p w14:paraId="2743C926">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0C7E2695">
            <w:pPr>
              <w:keepNext w:val="0"/>
              <w:keepLines w:val="0"/>
              <w:pageBreakBefore w:val="0"/>
              <w:kinsoku/>
              <w:overflowPunct/>
              <w:topLinePunct w:val="0"/>
              <w:autoSpaceDE/>
              <w:autoSpaceDN/>
              <w:bidi w:val="0"/>
              <w:spacing w:line="360" w:lineRule="exact"/>
              <w:rPr>
                <w:rFonts w:ascii="宋体" w:hAnsi="宋体" w:cs="宋体"/>
                <w:b/>
                <w:bCs/>
                <w:szCs w:val="21"/>
              </w:rPr>
            </w:pPr>
            <w:r>
              <w:rPr>
                <w:rFonts w:hint="eastAsia" w:ascii="宋体" w:hAnsi="宋体" w:cs="宋体"/>
                <w:b/>
                <w:bCs/>
                <w:szCs w:val="21"/>
              </w:rPr>
              <w:t>（一）评审内容：</w:t>
            </w:r>
          </w:p>
          <w:p w14:paraId="3B936F8A">
            <w:pPr>
              <w:keepNext w:val="0"/>
              <w:keepLines w:val="0"/>
              <w:pageBreakBefore w:val="0"/>
              <w:kinsoku/>
              <w:overflowPunct/>
              <w:topLinePunct w:val="0"/>
              <w:autoSpaceDE/>
              <w:autoSpaceDN/>
              <w:bidi w:val="0"/>
              <w:spacing w:line="360" w:lineRule="exact"/>
              <w:rPr>
                <w:rFonts w:ascii="宋体" w:hAnsi="宋体" w:cs="宋体"/>
                <w:szCs w:val="21"/>
              </w:rPr>
            </w:pPr>
            <w:r>
              <w:rPr>
                <w:rFonts w:hint="eastAsia" w:ascii="宋体" w:hAnsi="宋体" w:cs="宋体"/>
                <w:szCs w:val="21"/>
              </w:rPr>
              <w:t>投标人承诺为协管员提供宿舍（宿舍地点在工作地点乘坐公共交通工具50分钟可到达范围内，每间宿舍住宿人数不多于6人，</w:t>
            </w:r>
            <w:r>
              <w:rPr>
                <w:rFonts w:hint="eastAsia"/>
              </w:rPr>
              <w:t>不向协管员收取费用</w:t>
            </w:r>
            <w:r>
              <w:rPr>
                <w:rFonts w:hint="eastAsia" w:ascii="宋体" w:hAnsi="宋体" w:cs="宋体"/>
                <w:szCs w:val="21"/>
              </w:rPr>
              <w:t xml:space="preserve">）的，且承诺如无法提供宿舍或协管员经同意自愿放弃宿舍保障的，则为协管员发放与提供宿舍成本相当的住宿补助的，得5分。 </w:t>
            </w:r>
          </w:p>
          <w:p w14:paraId="37F667BD">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78CD1B57">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投标人需提供加盖投标人公章的《</w:t>
            </w:r>
            <w:r>
              <w:rPr>
                <w:rFonts w:hint="eastAsia"/>
              </w:rPr>
              <w:t>协管员</w:t>
            </w:r>
            <w:r>
              <w:rPr>
                <w:rFonts w:hint="eastAsia" w:ascii="宋体" w:hAnsi="宋体" w:cs="宋体"/>
                <w:szCs w:val="21"/>
              </w:rPr>
              <w:t>住宿保障承诺函》（格式自拟），未提供或提供不全、不清晰导致无法判定是否得分的作不得分处理。</w:t>
            </w:r>
          </w:p>
        </w:tc>
      </w:tr>
      <w:tr w14:paraId="59BD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bottom w:val="single" w:color="auto" w:sz="4" w:space="0"/>
              <w:right w:val="single" w:color="auto" w:sz="4" w:space="0"/>
            </w:tcBorders>
            <w:vAlign w:val="center"/>
          </w:tcPr>
          <w:p w14:paraId="04BDAEEE">
            <w:pPr>
              <w:keepNext w:val="0"/>
              <w:keepLines w:val="0"/>
              <w:pageBreakBefore w:val="0"/>
              <w:kinsoku/>
              <w:overflowPunct/>
              <w:topLinePunct w:val="0"/>
              <w:autoSpaceDE/>
              <w:autoSpaceDN/>
              <w:bidi w:val="0"/>
              <w:spacing w:line="360" w:lineRule="exact"/>
              <w:jc w:val="center"/>
              <w:rPr>
                <w:rFonts w:ascii="宋体" w:hAnsi="宋体" w:cs="宋体"/>
                <w:kern w:val="0"/>
                <w:szCs w:val="21"/>
              </w:rPr>
            </w:pPr>
          </w:p>
        </w:tc>
        <w:tc>
          <w:tcPr>
            <w:tcW w:w="672" w:type="dxa"/>
            <w:vMerge w:val="continue"/>
            <w:tcBorders>
              <w:left w:val="single" w:color="auto" w:sz="4" w:space="0"/>
              <w:right w:val="single" w:color="auto" w:sz="4" w:space="0"/>
            </w:tcBorders>
            <w:vAlign w:val="center"/>
          </w:tcPr>
          <w:p w14:paraId="671A49CD">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888" w:type="dxa"/>
            <w:gridSpan w:val="2"/>
            <w:tcBorders>
              <w:left w:val="single" w:color="auto" w:sz="4" w:space="0"/>
              <w:right w:val="single" w:color="auto" w:sz="4" w:space="0"/>
            </w:tcBorders>
            <w:vAlign w:val="center"/>
          </w:tcPr>
          <w:p w14:paraId="0FAD2F4B">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服装保障</w:t>
            </w:r>
          </w:p>
        </w:tc>
        <w:tc>
          <w:tcPr>
            <w:tcW w:w="708" w:type="dxa"/>
            <w:tcBorders>
              <w:top w:val="single" w:color="auto" w:sz="4" w:space="0"/>
              <w:left w:val="single" w:color="auto" w:sz="4" w:space="0"/>
              <w:bottom w:val="single" w:color="auto" w:sz="4" w:space="0"/>
              <w:right w:val="single" w:color="auto" w:sz="4" w:space="0"/>
            </w:tcBorders>
            <w:vAlign w:val="center"/>
          </w:tcPr>
          <w:p w14:paraId="3D88156E">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2</w:t>
            </w:r>
          </w:p>
        </w:tc>
        <w:tc>
          <w:tcPr>
            <w:tcW w:w="1089" w:type="dxa"/>
            <w:tcBorders>
              <w:top w:val="single" w:color="auto" w:sz="4" w:space="0"/>
              <w:left w:val="single" w:color="auto" w:sz="4" w:space="0"/>
              <w:bottom w:val="single" w:color="auto" w:sz="4" w:space="0"/>
              <w:right w:val="single" w:color="auto" w:sz="4" w:space="0"/>
            </w:tcBorders>
            <w:vAlign w:val="center"/>
          </w:tcPr>
          <w:p w14:paraId="76A91D3F">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1970A1E3">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173AA641">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投标人承诺按照采购人提供的样式和要求，为协管员配发工作服装</w:t>
            </w:r>
            <w:r>
              <w:rPr>
                <w:rFonts w:hint="eastAsia"/>
              </w:rPr>
              <w:t>（不向协管员收取费用）</w:t>
            </w:r>
            <w:r>
              <w:rPr>
                <w:rFonts w:hint="eastAsia" w:ascii="宋体" w:hAnsi="宋体" w:cs="宋体"/>
                <w:szCs w:val="21"/>
              </w:rPr>
              <w:t>的，得2分。</w:t>
            </w:r>
          </w:p>
          <w:p w14:paraId="7D009A1C">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4CF4622C">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投标人需提供加盖投标人公章的《服装配备承诺函》（格式自拟），未提供或提供不全不得分。</w:t>
            </w:r>
          </w:p>
        </w:tc>
      </w:tr>
      <w:tr w14:paraId="65C1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restart"/>
            <w:tcBorders>
              <w:left w:val="single" w:color="auto" w:sz="4" w:space="0"/>
              <w:right w:val="single" w:color="auto" w:sz="4" w:space="0"/>
            </w:tcBorders>
            <w:vAlign w:val="center"/>
          </w:tcPr>
          <w:p w14:paraId="40D97178">
            <w:pPr>
              <w:keepNext w:val="0"/>
              <w:keepLines w:val="0"/>
              <w:pageBreakBefore w:val="0"/>
              <w:kinsoku/>
              <w:overflowPunct/>
              <w:topLinePunct w:val="0"/>
              <w:autoSpaceDE/>
              <w:autoSpaceDN/>
              <w:bidi w:val="0"/>
              <w:spacing w:line="360" w:lineRule="exact"/>
              <w:jc w:val="center"/>
              <w:rPr>
                <w:rFonts w:ascii="宋体" w:hAnsi="宋体" w:cs="宋体"/>
                <w:kern w:val="0"/>
                <w:szCs w:val="21"/>
              </w:rPr>
            </w:pPr>
            <w:r>
              <w:rPr>
                <w:rFonts w:hint="eastAsia" w:ascii="宋体" w:hAnsi="宋体" w:cs="宋体"/>
                <w:kern w:val="0"/>
                <w:szCs w:val="21"/>
              </w:rPr>
              <w:t>4</w:t>
            </w:r>
          </w:p>
        </w:tc>
        <w:tc>
          <w:tcPr>
            <w:tcW w:w="672" w:type="dxa"/>
            <w:vMerge w:val="restart"/>
            <w:tcBorders>
              <w:left w:val="single" w:color="auto" w:sz="4" w:space="0"/>
              <w:right w:val="single" w:color="auto" w:sz="4" w:space="0"/>
            </w:tcBorders>
            <w:vAlign w:val="center"/>
          </w:tcPr>
          <w:p w14:paraId="6F735706">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协调配合（权重合计：10）</w:t>
            </w:r>
          </w:p>
        </w:tc>
        <w:tc>
          <w:tcPr>
            <w:tcW w:w="888" w:type="dxa"/>
            <w:gridSpan w:val="2"/>
            <w:tcBorders>
              <w:left w:val="single" w:color="auto" w:sz="4" w:space="0"/>
              <w:right w:val="single" w:color="auto" w:sz="4" w:space="0"/>
            </w:tcBorders>
            <w:vAlign w:val="center"/>
          </w:tcPr>
          <w:p w14:paraId="54C2E494">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工作要求落实</w:t>
            </w:r>
          </w:p>
        </w:tc>
        <w:tc>
          <w:tcPr>
            <w:tcW w:w="708" w:type="dxa"/>
            <w:tcBorders>
              <w:top w:val="single" w:color="auto" w:sz="4" w:space="0"/>
              <w:left w:val="single" w:color="auto" w:sz="4" w:space="0"/>
              <w:bottom w:val="single" w:color="auto" w:sz="4" w:space="0"/>
              <w:right w:val="single" w:color="auto" w:sz="4" w:space="0"/>
            </w:tcBorders>
            <w:vAlign w:val="center"/>
          </w:tcPr>
          <w:p w14:paraId="5F60A568">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3</w:t>
            </w:r>
          </w:p>
        </w:tc>
        <w:tc>
          <w:tcPr>
            <w:tcW w:w="1089" w:type="dxa"/>
            <w:tcBorders>
              <w:top w:val="single" w:color="auto" w:sz="4" w:space="0"/>
              <w:left w:val="single" w:color="auto" w:sz="4" w:space="0"/>
              <w:bottom w:val="single" w:color="auto" w:sz="4" w:space="0"/>
              <w:right w:val="single" w:color="auto" w:sz="4" w:space="0"/>
            </w:tcBorders>
            <w:vAlign w:val="center"/>
          </w:tcPr>
          <w:p w14:paraId="769FB5C8">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54B63370">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29DC852F">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投标人承诺能够积极配合采购人做好协管员管理，根据采购人意见及时整改服务中存在的问题，并反馈改进情况的得3分。</w:t>
            </w:r>
          </w:p>
          <w:p w14:paraId="0CF3FEB1">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55B1B516">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投标人需提供加盖投标人公章的《日常协调配合承诺函》（格式自拟），未提供或提供不全不得分。</w:t>
            </w:r>
          </w:p>
        </w:tc>
      </w:tr>
      <w:tr w14:paraId="2A0D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right w:val="single" w:color="auto" w:sz="4" w:space="0"/>
            </w:tcBorders>
            <w:vAlign w:val="center"/>
          </w:tcPr>
          <w:p w14:paraId="7FDDFD90">
            <w:pPr>
              <w:keepNext w:val="0"/>
              <w:keepLines w:val="0"/>
              <w:pageBreakBefore w:val="0"/>
              <w:kinsoku/>
              <w:overflowPunct/>
              <w:topLinePunct w:val="0"/>
              <w:autoSpaceDE/>
              <w:autoSpaceDN/>
              <w:bidi w:val="0"/>
              <w:spacing w:line="360" w:lineRule="exact"/>
              <w:jc w:val="center"/>
              <w:rPr>
                <w:rFonts w:ascii="宋体" w:hAnsi="宋体" w:cs="宋体"/>
                <w:kern w:val="0"/>
                <w:szCs w:val="21"/>
              </w:rPr>
            </w:pPr>
          </w:p>
        </w:tc>
        <w:tc>
          <w:tcPr>
            <w:tcW w:w="672" w:type="dxa"/>
            <w:vMerge w:val="continue"/>
            <w:tcBorders>
              <w:left w:val="single" w:color="auto" w:sz="4" w:space="0"/>
              <w:right w:val="single" w:color="auto" w:sz="4" w:space="0"/>
            </w:tcBorders>
            <w:vAlign w:val="center"/>
          </w:tcPr>
          <w:p w14:paraId="3410F9CD">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888" w:type="dxa"/>
            <w:gridSpan w:val="2"/>
            <w:vMerge w:val="restart"/>
            <w:tcBorders>
              <w:left w:val="single" w:color="auto" w:sz="4" w:space="0"/>
              <w:right w:val="single" w:color="auto" w:sz="4" w:space="0"/>
            </w:tcBorders>
            <w:vAlign w:val="center"/>
          </w:tcPr>
          <w:p w14:paraId="5FDAA4B8">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szCs w:val="21"/>
              </w:rPr>
              <w:t>突发事件处置</w:t>
            </w:r>
          </w:p>
        </w:tc>
        <w:tc>
          <w:tcPr>
            <w:tcW w:w="708" w:type="dxa"/>
            <w:tcBorders>
              <w:top w:val="single" w:color="auto" w:sz="4" w:space="0"/>
              <w:left w:val="single" w:color="auto" w:sz="4" w:space="0"/>
              <w:bottom w:val="single" w:color="auto" w:sz="4" w:space="0"/>
              <w:right w:val="single" w:color="auto" w:sz="4" w:space="0"/>
            </w:tcBorders>
            <w:vAlign w:val="center"/>
          </w:tcPr>
          <w:p w14:paraId="26261763">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color w:val="000000"/>
                <w:kern w:val="0"/>
                <w:szCs w:val="21"/>
              </w:rPr>
              <w:t>2</w:t>
            </w:r>
          </w:p>
        </w:tc>
        <w:tc>
          <w:tcPr>
            <w:tcW w:w="1089" w:type="dxa"/>
            <w:tcBorders>
              <w:top w:val="single" w:color="auto" w:sz="4" w:space="0"/>
              <w:left w:val="single" w:color="auto" w:sz="4" w:space="0"/>
              <w:bottom w:val="single" w:color="auto" w:sz="4" w:space="0"/>
              <w:right w:val="single" w:color="auto" w:sz="4" w:space="0"/>
            </w:tcBorders>
            <w:vAlign w:val="center"/>
          </w:tcPr>
          <w:p w14:paraId="6F9AFD8F">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46C277C3">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根据投标人针对协管员发生重大伤亡事故、出现劳资纠纷等突发事件所制定的处理方案进行评分：</w:t>
            </w:r>
          </w:p>
          <w:p w14:paraId="6B59FE8C">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1.分类表述突发事件特征；</w:t>
            </w:r>
          </w:p>
          <w:p w14:paraId="47428634">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2.分类制定突发情况处置程序；</w:t>
            </w:r>
          </w:p>
          <w:p w14:paraId="32D72D09">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3.分类制定突发情况处置要点。</w:t>
            </w:r>
          </w:p>
          <w:p w14:paraId="5D753A97">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方案合理、完善、可行的得2分；方案较为完善、具有一定可操作性的得1分；方案比较简单的得0.5分；未作出响应或未提供不得分。</w:t>
            </w:r>
          </w:p>
        </w:tc>
      </w:tr>
      <w:tr w14:paraId="77C2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bottom w:val="single" w:color="auto" w:sz="4" w:space="0"/>
              <w:right w:val="single" w:color="auto" w:sz="4" w:space="0"/>
            </w:tcBorders>
            <w:vAlign w:val="center"/>
          </w:tcPr>
          <w:p w14:paraId="61637709">
            <w:pPr>
              <w:keepNext w:val="0"/>
              <w:keepLines w:val="0"/>
              <w:pageBreakBefore w:val="0"/>
              <w:kinsoku/>
              <w:overflowPunct/>
              <w:topLinePunct w:val="0"/>
              <w:autoSpaceDE/>
              <w:autoSpaceDN/>
              <w:bidi w:val="0"/>
              <w:spacing w:line="360" w:lineRule="exact"/>
              <w:jc w:val="center"/>
              <w:rPr>
                <w:rFonts w:ascii="宋体" w:hAnsi="宋体" w:cs="宋体"/>
                <w:kern w:val="0"/>
                <w:szCs w:val="21"/>
              </w:rPr>
            </w:pPr>
          </w:p>
        </w:tc>
        <w:tc>
          <w:tcPr>
            <w:tcW w:w="672" w:type="dxa"/>
            <w:vMerge w:val="continue"/>
            <w:tcBorders>
              <w:left w:val="single" w:color="auto" w:sz="4" w:space="0"/>
              <w:right w:val="single" w:color="auto" w:sz="4" w:space="0"/>
            </w:tcBorders>
            <w:vAlign w:val="center"/>
          </w:tcPr>
          <w:p w14:paraId="385258BE">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888" w:type="dxa"/>
            <w:gridSpan w:val="2"/>
            <w:vMerge w:val="continue"/>
            <w:tcBorders>
              <w:left w:val="single" w:color="auto" w:sz="4" w:space="0"/>
              <w:right w:val="single" w:color="auto" w:sz="4" w:space="0"/>
            </w:tcBorders>
            <w:vAlign w:val="center"/>
          </w:tcPr>
          <w:p w14:paraId="5F3539B4">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0E926975">
            <w:pPr>
              <w:keepNext w:val="0"/>
              <w:keepLines w:val="0"/>
              <w:pageBreakBefore w:val="0"/>
              <w:kinsoku/>
              <w:overflowPunct/>
              <w:topLinePunct w:val="0"/>
              <w:autoSpaceDE/>
              <w:autoSpaceDN/>
              <w:bidi w:val="0"/>
              <w:spacing w:line="360" w:lineRule="exact"/>
              <w:jc w:val="center"/>
              <w:textAlignment w:val="center"/>
              <w:rPr>
                <w:rFonts w:ascii="宋体" w:hAnsi="宋体" w:cs="宋体"/>
                <w:szCs w:val="21"/>
              </w:rPr>
            </w:pPr>
            <w:r>
              <w:rPr>
                <w:rFonts w:hint="eastAsia" w:ascii="宋体" w:hAnsi="宋体" w:cs="宋体"/>
                <w:color w:val="000000"/>
                <w:kern w:val="0"/>
                <w:szCs w:val="21"/>
              </w:rPr>
              <w:t>5</w:t>
            </w:r>
          </w:p>
        </w:tc>
        <w:tc>
          <w:tcPr>
            <w:tcW w:w="1089" w:type="dxa"/>
            <w:tcBorders>
              <w:top w:val="single" w:color="auto" w:sz="4" w:space="0"/>
              <w:left w:val="single" w:color="auto" w:sz="4" w:space="0"/>
              <w:bottom w:val="single" w:color="auto" w:sz="4" w:space="0"/>
              <w:right w:val="single" w:color="auto" w:sz="4" w:space="0"/>
            </w:tcBorders>
            <w:vAlign w:val="center"/>
          </w:tcPr>
          <w:p w14:paraId="19BC3EF9">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6BDF4CF7">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69D48867">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对投标人拟构建的项目应急处置团队进行评分：</w:t>
            </w:r>
          </w:p>
          <w:p w14:paraId="5BA3AC8E">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 xml:space="preserve">1.承诺中标后在深圳市内拟投入团队并设置固定办公场所的得2分； </w:t>
            </w:r>
          </w:p>
          <w:p w14:paraId="1B655D2D">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2.承诺协管员发生重特大突发事件时，2小时内派专业人员到场处理的得2分，4小时内到场的得1分，超出4小时不得分；最高得2分。</w:t>
            </w:r>
          </w:p>
          <w:p w14:paraId="0F75EF87">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3.承诺在发生现场一线岗位空缺等应急事件时可机动调配协管员于1天内到岗，且能够提供</w:t>
            </w:r>
            <w:r>
              <w:rPr>
                <w:rFonts w:hint="eastAsia"/>
              </w:rPr>
              <w:t>无限行问题的</w:t>
            </w:r>
            <w:r>
              <w:rPr>
                <w:rFonts w:hint="eastAsia" w:ascii="宋体" w:hAnsi="宋体" w:cs="宋体"/>
                <w:szCs w:val="21"/>
              </w:rPr>
              <w:t>客车（自有或租赁，20座及以上）进行快速调配的，得1分。</w:t>
            </w:r>
          </w:p>
          <w:p w14:paraId="19CB5547">
            <w:pPr>
              <w:keepNext w:val="0"/>
              <w:keepLines w:val="0"/>
              <w:pageBreakBefore w:val="0"/>
              <w:numPr>
                <w:ilvl w:val="255"/>
                <w:numId w:val="0"/>
              </w:numPr>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4D7C5408">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根据以上1-3项要求提供加盖投标人公章的承诺函（格式自拟），第3项评分需同时提供车辆的证明材料（自有车辆证明资料为车辆行驶证和车辆照片；租赁车辆证明资料为车辆行驶证、车辆照片以及租赁合同关键页；以上证明文件均提供复印件或扫描件或照片加盖投标人公章）。未按要求提供响应材料或提供不全的该项不得分。</w:t>
            </w:r>
          </w:p>
        </w:tc>
      </w:tr>
      <w:tr w14:paraId="5833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4" w:type="dxa"/>
            <w:gridSpan w:val="6"/>
            <w:tcBorders>
              <w:top w:val="single" w:color="auto" w:sz="4" w:space="0"/>
              <w:left w:val="single" w:color="auto" w:sz="4" w:space="0"/>
              <w:bottom w:val="single" w:color="auto" w:sz="4" w:space="0"/>
              <w:right w:val="single" w:color="auto" w:sz="4" w:space="0"/>
            </w:tcBorders>
            <w:vAlign w:val="center"/>
          </w:tcPr>
          <w:p w14:paraId="7A6F126D">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商务部分</w:t>
            </w:r>
          </w:p>
        </w:tc>
        <w:tc>
          <w:tcPr>
            <w:tcW w:w="5430" w:type="dxa"/>
            <w:tcBorders>
              <w:top w:val="single" w:color="auto" w:sz="4" w:space="0"/>
              <w:left w:val="single" w:color="auto" w:sz="4" w:space="0"/>
              <w:bottom w:val="single" w:color="auto" w:sz="4" w:space="0"/>
              <w:right w:val="single" w:color="auto" w:sz="4" w:space="0"/>
            </w:tcBorders>
            <w:vAlign w:val="center"/>
          </w:tcPr>
          <w:p w14:paraId="59644723">
            <w:pPr>
              <w:keepNext w:val="0"/>
              <w:keepLines w:val="0"/>
              <w:pageBreakBefore w:val="0"/>
              <w:kinsoku/>
              <w:overflowPunct/>
              <w:topLinePunct w:val="0"/>
              <w:autoSpaceDE/>
              <w:autoSpaceDN/>
              <w:bidi w:val="0"/>
              <w:spacing w:line="360" w:lineRule="exact"/>
              <w:jc w:val="center"/>
              <w:rPr>
                <w:rFonts w:hint="default" w:ascii="宋体" w:hAnsi="宋体" w:eastAsia="宋体" w:cs="宋体"/>
                <w:b/>
                <w:bCs/>
                <w:szCs w:val="21"/>
                <w:lang w:val="en-US" w:eastAsia="zh-CN"/>
              </w:rPr>
            </w:pPr>
            <w:r>
              <w:rPr>
                <w:rFonts w:hint="eastAsia" w:ascii="宋体" w:hAnsi="宋体" w:cs="宋体"/>
                <w:b/>
                <w:bCs/>
                <w:szCs w:val="21"/>
                <w:lang w:val="en-US" w:eastAsia="zh-CN"/>
              </w:rPr>
              <w:t>39</w:t>
            </w:r>
          </w:p>
        </w:tc>
      </w:tr>
      <w:tr w14:paraId="0EF2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14:paraId="3DFE79E1">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序号</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2AA8F38A">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评分因素</w:t>
            </w:r>
          </w:p>
        </w:tc>
        <w:tc>
          <w:tcPr>
            <w:tcW w:w="708" w:type="dxa"/>
            <w:tcBorders>
              <w:top w:val="single" w:color="auto" w:sz="4" w:space="0"/>
              <w:left w:val="single" w:color="auto" w:sz="4" w:space="0"/>
              <w:bottom w:val="single" w:color="auto" w:sz="4" w:space="0"/>
              <w:right w:val="single" w:color="auto" w:sz="4" w:space="0"/>
            </w:tcBorders>
            <w:vAlign w:val="center"/>
          </w:tcPr>
          <w:p w14:paraId="7A72D8D3">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权重</w:t>
            </w:r>
          </w:p>
        </w:tc>
        <w:tc>
          <w:tcPr>
            <w:tcW w:w="1089" w:type="dxa"/>
            <w:tcBorders>
              <w:top w:val="single" w:color="auto" w:sz="4" w:space="0"/>
              <w:left w:val="single" w:color="auto" w:sz="4" w:space="0"/>
              <w:bottom w:val="single" w:color="auto" w:sz="4" w:space="0"/>
              <w:right w:val="single" w:color="auto" w:sz="4" w:space="0"/>
            </w:tcBorders>
            <w:vAlign w:val="center"/>
          </w:tcPr>
          <w:p w14:paraId="5068FF94">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评分方式</w:t>
            </w:r>
          </w:p>
        </w:tc>
        <w:tc>
          <w:tcPr>
            <w:tcW w:w="5430" w:type="dxa"/>
            <w:tcBorders>
              <w:top w:val="single" w:color="auto" w:sz="4" w:space="0"/>
              <w:left w:val="single" w:color="auto" w:sz="4" w:space="0"/>
              <w:bottom w:val="single" w:color="auto" w:sz="4" w:space="0"/>
              <w:right w:val="single" w:color="auto" w:sz="4" w:space="0"/>
            </w:tcBorders>
            <w:vAlign w:val="center"/>
          </w:tcPr>
          <w:p w14:paraId="74A5CF74">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b/>
                <w:bCs/>
                <w:szCs w:val="21"/>
              </w:rPr>
              <w:t>评分准则</w:t>
            </w:r>
          </w:p>
        </w:tc>
      </w:tr>
      <w:tr w14:paraId="5575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14:paraId="45544041">
            <w:pPr>
              <w:keepNext w:val="0"/>
              <w:keepLines w:val="0"/>
              <w:pageBreakBefore w:val="0"/>
              <w:kinsoku/>
              <w:overflowPunct/>
              <w:topLinePunct w:val="0"/>
              <w:autoSpaceDE/>
              <w:autoSpaceDN/>
              <w:bidi w:val="0"/>
              <w:spacing w:line="360" w:lineRule="exact"/>
              <w:jc w:val="center"/>
              <w:rPr>
                <w:rFonts w:ascii="宋体" w:hAnsi="宋体" w:cs="宋体"/>
                <w:szCs w:val="21"/>
              </w:rPr>
            </w:pPr>
            <w:bookmarkStart w:id="10" w:name="OLE_LINK1" w:colFirst="2" w:colLast="2"/>
            <w:r>
              <w:rPr>
                <w:rFonts w:hint="eastAsia" w:ascii="宋体" w:hAnsi="宋体" w:cs="宋体"/>
                <w:szCs w:val="21"/>
              </w:rPr>
              <w:t>1</w:t>
            </w:r>
          </w:p>
        </w:tc>
        <w:tc>
          <w:tcPr>
            <w:tcW w:w="1560" w:type="dxa"/>
            <w:gridSpan w:val="3"/>
            <w:tcBorders>
              <w:top w:val="single" w:color="auto" w:sz="4" w:space="0"/>
              <w:left w:val="single" w:color="auto" w:sz="4" w:space="0"/>
              <w:bottom w:val="single" w:color="auto" w:sz="4" w:space="0"/>
              <w:right w:val="single" w:color="auto" w:sz="4" w:space="0"/>
            </w:tcBorders>
            <w:vAlign w:val="center"/>
          </w:tcPr>
          <w:p w14:paraId="07D74255">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企业资质</w:t>
            </w:r>
          </w:p>
        </w:tc>
        <w:tc>
          <w:tcPr>
            <w:tcW w:w="708" w:type="dxa"/>
            <w:tcBorders>
              <w:top w:val="single" w:color="auto" w:sz="4" w:space="0"/>
              <w:left w:val="single" w:color="auto" w:sz="4" w:space="0"/>
              <w:bottom w:val="single" w:color="auto" w:sz="4" w:space="0"/>
              <w:right w:val="single" w:color="auto" w:sz="4" w:space="0"/>
            </w:tcBorders>
            <w:vAlign w:val="center"/>
          </w:tcPr>
          <w:p w14:paraId="5C096F83">
            <w:pPr>
              <w:keepNext w:val="0"/>
              <w:keepLines w:val="0"/>
              <w:pageBreakBefore w:val="0"/>
              <w:kinsoku/>
              <w:overflowPunct/>
              <w:topLinePunct w:val="0"/>
              <w:autoSpaceDE/>
              <w:autoSpaceDN/>
              <w:bidi w:val="0"/>
              <w:spacing w:line="360" w:lineRule="exact"/>
              <w:jc w:val="center"/>
              <w:textAlignment w:val="center"/>
              <w:rPr>
                <w:rFonts w:hint="eastAsia" w:ascii="宋体" w:hAnsi="宋体" w:eastAsia="宋体" w:cs="宋体"/>
                <w:szCs w:val="21"/>
                <w:lang w:eastAsia="zh-CN"/>
              </w:rPr>
            </w:pPr>
            <w:r>
              <w:rPr>
                <w:rFonts w:hint="eastAsia" w:ascii="宋体" w:hAnsi="宋体" w:cs="宋体"/>
                <w:color w:val="000000"/>
                <w:kern w:val="0"/>
                <w:szCs w:val="21"/>
                <w:lang w:val="en-US" w:eastAsia="zh-CN"/>
              </w:rPr>
              <w:t>4</w:t>
            </w:r>
          </w:p>
        </w:tc>
        <w:tc>
          <w:tcPr>
            <w:tcW w:w="1089" w:type="dxa"/>
            <w:tcBorders>
              <w:top w:val="single" w:color="auto" w:sz="4" w:space="0"/>
              <w:left w:val="single" w:color="auto" w:sz="4" w:space="0"/>
              <w:bottom w:val="single" w:color="auto" w:sz="4" w:space="0"/>
              <w:right w:val="single" w:color="auto" w:sz="4" w:space="0"/>
            </w:tcBorders>
            <w:vAlign w:val="center"/>
          </w:tcPr>
          <w:p w14:paraId="4C43617E">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3DB4133F">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525275BA">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投标人具有质量管理体系认证证书、职业健康安全管理体系认证证书。每提供1个有效认证证书得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4</w:t>
            </w:r>
            <w:r>
              <w:rPr>
                <w:rFonts w:hint="eastAsia" w:ascii="宋体" w:hAnsi="宋体" w:cs="宋体"/>
                <w:szCs w:val="21"/>
              </w:rPr>
              <w:t>分。</w:t>
            </w:r>
          </w:p>
          <w:p w14:paraId="76596B18">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b/>
                <w:bCs/>
                <w:szCs w:val="21"/>
              </w:rPr>
              <w:t>（二）证明材料：</w:t>
            </w:r>
          </w:p>
          <w:p w14:paraId="47043FB0">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ascii="宋体" w:hAnsi="宋体" w:cs="宋体"/>
                <w:szCs w:val="21"/>
              </w:rPr>
              <w:t>1.提供有效认证证书（如认证证书注明年审要求的，必须按规定年审且证书在有效期内的方为有效；如未注明年审要求的，证书必须在有效期内的方为有效）；</w:t>
            </w:r>
          </w:p>
          <w:p w14:paraId="217B5731">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ascii="宋体" w:hAnsi="宋体" w:cs="宋体"/>
                <w:szCs w:val="21"/>
              </w:rPr>
              <w:t>2.提供证书官网或权威机构【如：全国认证认可信息公共服务平台（cx.cnca.cn）】认证信息查询截图（截图需显示证书状态为有效）。相关证书在公开渠道无法查询的，投标人需提供颁发部门或者监管机构的证明材料，证明证书真实有效且为合法机构颁发；</w:t>
            </w:r>
          </w:p>
          <w:p w14:paraId="49E45EE2">
            <w:pPr>
              <w:keepNext w:val="0"/>
              <w:keepLines w:val="0"/>
              <w:pageBreakBefore w:val="0"/>
              <w:widowControl/>
              <w:kinsoku/>
              <w:overflowPunct/>
              <w:topLinePunct w:val="0"/>
              <w:autoSpaceDE/>
              <w:autoSpaceDN/>
              <w:bidi w:val="0"/>
              <w:spacing w:line="360" w:lineRule="exact"/>
              <w:jc w:val="left"/>
              <w:textAlignment w:val="center"/>
              <w:rPr>
                <w:rFonts w:ascii="宋体" w:hAnsi="宋体" w:cs="宋体"/>
                <w:szCs w:val="21"/>
              </w:rPr>
            </w:pPr>
            <w:r>
              <w:rPr>
                <w:rFonts w:ascii="宋体" w:hAnsi="宋体" w:cs="宋体"/>
                <w:szCs w:val="21"/>
              </w:rPr>
              <w:t>3.</w:t>
            </w:r>
            <w:r>
              <w:rPr>
                <w:rFonts w:hint="eastAsia" w:ascii="宋体" w:hAnsi="宋体" w:cs="宋体"/>
                <w:szCs w:val="21"/>
              </w:rPr>
              <w:t xml:space="preserve"> 如</w:t>
            </w:r>
            <w:r>
              <w:rPr>
                <w:rFonts w:hint="eastAsia" w:ascii="宋体" w:hAnsi="宋体" w:cs="宋体"/>
                <w:szCs w:val="21"/>
                <w:lang w:val="zh-CN"/>
              </w:rPr>
              <w:t>投标人成立时间不足三个月，可提供情况说明作为佐证材料，无需提供证书和</w:t>
            </w:r>
            <w:r>
              <w:rPr>
                <w:rFonts w:hint="eastAsia" w:ascii="宋体" w:hAnsi="宋体" w:cs="宋体"/>
                <w:szCs w:val="21"/>
              </w:rPr>
              <w:t>认证信息查询截图</w:t>
            </w:r>
            <w:r>
              <w:rPr>
                <w:rFonts w:hint="eastAsia" w:ascii="宋体" w:hAnsi="宋体" w:cs="宋体"/>
                <w:szCs w:val="21"/>
                <w:lang w:val="zh-CN"/>
              </w:rPr>
              <w:t>亦视为满足评分要求；</w:t>
            </w:r>
          </w:p>
          <w:p w14:paraId="484FB84A">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4</w:t>
            </w:r>
            <w:r>
              <w:rPr>
                <w:rFonts w:ascii="宋体" w:hAnsi="宋体" w:cs="宋体"/>
                <w:szCs w:val="21"/>
              </w:rPr>
              <w:t>.提供以上证明文件复印件或扫描件，如涉及网站截图或照片等证明材料,需提供清晰图片,均要求加盖投标人公章,原件备查。未按要求提供有效证明材料或提供不清晰导致评委无法识别的不计得分。</w:t>
            </w:r>
          </w:p>
        </w:tc>
      </w:tr>
      <w:tr w14:paraId="5057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restart"/>
            <w:tcBorders>
              <w:top w:val="single" w:color="auto" w:sz="4" w:space="0"/>
              <w:left w:val="single" w:color="auto" w:sz="4" w:space="0"/>
              <w:right w:val="single" w:color="auto" w:sz="4" w:space="0"/>
            </w:tcBorders>
            <w:vAlign w:val="center"/>
          </w:tcPr>
          <w:p w14:paraId="7DA49067">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2</w:t>
            </w:r>
          </w:p>
        </w:tc>
        <w:tc>
          <w:tcPr>
            <w:tcW w:w="761" w:type="dxa"/>
            <w:gridSpan w:val="2"/>
            <w:vMerge w:val="restart"/>
            <w:tcBorders>
              <w:top w:val="single" w:color="auto" w:sz="4" w:space="0"/>
              <w:left w:val="single" w:color="auto" w:sz="4" w:space="0"/>
              <w:right w:val="single" w:color="auto" w:sz="4" w:space="0"/>
            </w:tcBorders>
            <w:vAlign w:val="center"/>
          </w:tcPr>
          <w:p w14:paraId="6A249F76">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履约能力</w:t>
            </w:r>
          </w:p>
          <w:p w14:paraId="4424160E">
            <w:pPr>
              <w:pStyle w:val="27"/>
              <w:keepNext w:val="0"/>
              <w:keepLines w:val="0"/>
              <w:pageBreakBefore w:val="0"/>
              <w:kinsoku/>
              <w:overflowPunct/>
              <w:topLinePunct w:val="0"/>
              <w:autoSpaceDE/>
              <w:autoSpaceDN/>
              <w:bidi w:val="0"/>
              <w:spacing w:line="360" w:lineRule="exact"/>
            </w:pPr>
            <w:r>
              <w:rPr>
                <w:rFonts w:hint="eastAsia" w:hAnsi="宋体" w:cs="宋体"/>
                <w:szCs w:val="21"/>
              </w:rPr>
              <w:t>（权重合计：</w:t>
            </w:r>
            <w:r>
              <w:rPr>
                <w:rFonts w:hint="eastAsia" w:hAnsi="宋体" w:cs="宋体"/>
                <w:szCs w:val="21"/>
                <w:lang w:val="en-US" w:eastAsia="zh-CN"/>
              </w:rPr>
              <w:t>23</w:t>
            </w:r>
            <w:r>
              <w:rPr>
                <w:rFonts w:hint="eastAsia" w:hAnsi="宋体" w:cs="宋体"/>
                <w:szCs w:val="21"/>
              </w:rPr>
              <w:t>）</w:t>
            </w:r>
          </w:p>
        </w:tc>
        <w:tc>
          <w:tcPr>
            <w:tcW w:w="799" w:type="dxa"/>
            <w:tcBorders>
              <w:top w:val="single" w:color="auto" w:sz="4" w:space="0"/>
              <w:left w:val="single" w:color="auto" w:sz="4" w:space="0"/>
              <w:bottom w:val="single" w:color="auto" w:sz="4" w:space="0"/>
              <w:right w:val="single" w:color="auto" w:sz="4" w:space="0"/>
            </w:tcBorders>
            <w:vAlign w:val="center"/>
          </w:tcPr>
          <w:p w14:paraId="64EDDA6F">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同类项目业绩</w:t>
            </w:r>
          </w:p>
        </w:tc>
        <w:tc>
          <w:tcPr>
            <w:tcW w:w="708" w:type="dxa"/>
            <w:tcBorders>
              <w:top w:val="single" w:color="auto" w:sz="4" w:space="0"/>
              <w:left w:val="single" w:color="auto" w:sz="4" w:space="0"/>
              <w:bottom w:val="single" w:color="auto" w:sz="4" w:space="0"/>
              <w:right w:val="single" w:color="auto" w:sz="4" w:space="0"/>
            </w:tcBorders>
            <w:vAlign w:val="center"/>
          </w:tcPr>
          <w:p w14:paraId="32AAB717">
            <w:pPr>
              <w:keepNext w:val="0"/>
              <w:keepLines w:val="0"/>
              <w:pageBreakBefore w:val="0"/>
              <w:kinsoku/>
              <w:overflowPunct/>
              <w:topLinePunct w:val="0"/>
              <w:autoSpaceDE/>
              <w:autoSpaceDN/>
              <w:bidi w:val="0"/>
              <w:spacing w:line="360" w:lineRule="exact"/>
              <w:jc w:val="center"/>
              <w:textAlignment w:val="center"/>
              <w:rPr>
                <w:rFonts w:hint="eastAsia" w:ascii="宋体" w:hAnsi="宋体" w:eastAsia="宋体" w:cs="宋体"/>
                <w:szCs w:val="21"/>
                <w:lang w:eastAsia="zh-CN"/>
              </w:rPr>
            </w:pPr>
            <w:r>
              <w:rPr>
                <w:rFonts w:hint="eastAsia" w:ascii="宋体" w:hAnsi="宋体" w:cs="宋体"/>
                <w:color w:val="000000"/>
                <w:kern w:val="0"/>
                <w:szCs w:val="21"/>
                <w:lang w:val="en-US" w:eastAsia="zh-CN"/>
              </w:rPr>
              <w:t>5</w:t>
            </w:r>
          </w:p>
        </w:tc>
        <w:tc>
          <w:tcPr>
            <w:tcW w:w="1089" w:type="dxa"/>
            <w:tcBorders>
              <w:top w:val="single" w:color="auto" w:sz="4" w:space="0"/>
              <w:left w:val="single" w:color="auto" w:sz="4" w:space="0"/>
              <w:bottom w:val="single" w:color="auto" w:sz="4" w:space="0"/>
              <w:right w:val="single" w:color="auto" w:sz="4" w:space="0"/>
            </w:tcBorders>
            <w:vAlign w:val="center"/>
          </w:tcPr>
          <w:p w14:paraId="19B2B88E">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2C8C72CA">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3BB4CC9E">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投标人近五年内（合同签订时间须在2020年5月</w:t>
            </w:r>
            <w:r>
              <w:rPr>
                <w:rFonts w:ascii="宋体" w:hAnsi="宋体" w:cs="宋体"/>
                <w:szCs w:val="21"/>
              </w:rPr>
              <w:t>1</w:t>
            </w:r>
            <w:r>
              <w:rPr>
                <w:rFonts w:hint="eastAsia" w:ascii="宋体" w:hAnsi="宋体" w:cs="宋体"/>
                <w:szCs w:val="21"/>
              </w:rPr>
              <w:t>日至本项目投标截止时间之间）承担过政府机关或事业单位的同类辅助执法或保安服务项目，每提供一个项目得</w:t>
            </w:r>
            <w:r>
              <w:rPr>
                <w:rFonts w:ascii="宋体" w:hAnsi="宋体" w:cs="宋体"/>
                <w:szCs w:val="21"/>
              </w:rPr>
              <w:t>0.5</w:t>
            </w:r>
            <w:r>
              <w:rPr>
                <w:rFonts w:hint="eastAsia" w:ascii="宋体" w:hAnsi="宋体" w:cs="宋体"/>
                <w:szCs w:val="21"/>
              </w:rPr>
              <w:t>分，满分</w:t>
            </w:r>
            <w:r>
              <w:rPr>
                <w:rFonts w:hint="eastAsia" w:ascii="宋体" w:hAnsi="宋体" w:cs="宋体"/>
                <w:szCs w:val="21"/>
                <w:lang w:val="en-US" w:eastAsia="zh-CN"/>
              </w:rPr>
              <w:t>5</w:t>
            </w:r>
            <w:r>
              <w:rPr>
                <w:rFonts w:hint="eastAsia" w:ascii="宋体" w:hAnsi="宋体" w:cs="宋体"/>
                <w:szCs w:val="21"/>
              </w:rPr>
              <w:t>分。</w:t>
            </w:r>
          </w:p>
          <w:p w14:paraId="233ECD08">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b/>
                <w:bCs/>
                <w:szCs w:val="21"/>
              </w:rPr>
              <w:t>（二）证明材料：</w:t>
            </w:r>
          </w:p>
          <w:p w14:paraId="2DD80E36">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1.投标人需提供中标或成交通知书及合同关键页（需体现合同签订时间）。</w:t>
            </w:r>
          </w:p>
          <w:p w14:paraId="30ECDD10">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2.投标人与同一单位同一项目的续签合同不重复记分，如涉及到需判断是否为同一单位同一项目续签的情形，投标人应提供能判别为非同一单位同一项目的证明材料，如中标或成交通知书、合同关键页或合同甲方出具加盖合同甲方公章或业务章的证明材料。未提供或提供的材料无法判定的不得分。</w:t>
            </w:r>
          </w:p>
          <w:p w14:paraId="08A19C07">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3.提供以上证明文件复印件或扫描件并加盖投标人公章,原件备查。未提供或提供的材料无法判定的不得分。</w:t>
            </w:r>
          </w:p>
        </w:tc>
      </w:tr>
      <w:tr w14:paraId="3EFF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right w:val="single" w:color="auto" w:sz="4" w:space="0"/>
            </w:tcBorders>
            <w:vAlign w:val="center"/>
          </w:tcPr>
          <w:p w14:paraId="151E176B">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61" w:type="dxa"/>
            <w:gridSpan w:val="2"/>
            <w:vMerge w:val="continue"/>
            <w:tcBorders>
              <w:left w:val="single" w:color="auto" w:sz="4" w:space="0"/>
              <w:right w:val="single" w:color="auto" w:sz="4" w:space="0"/>
            </w:tcBorders>
            <w:vAlign w:val="center"/>
          </w:tcPr>
          <w:p w14:paraId="29372880">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99" w:type="dxa"/>
            <w:vMerge w:val="restart"/>
            <w:tcBorders>
              <w:top w:val="single" w:color="auto" w:sz="4" w:space="0"/>
              <w:left w:val="single" w:color="auto" w:sz="4" w:space="0"/>
              <w:right w:val="single" w:color="auto" w:sz="4" w:space="0"/>
            </w:tcBorders>
            <w:vAlign w:val="center"/>
          </w:tcPr>
          <w:p w14:paraId="481A9738">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后勤保障能力</w:t>
            </w:r>
          </w:p>
        </w:tc>
        <w:tc>
          <w:tcPr>
            <w:tcW w:w="708" w:type="dxa"/>
            <w:tcBorders>
              <w:top w:val="single" w:color="auto" w:sz="4" w:space="0"/>
              <w:left w:val="single" w:color="auto" w:sz="4" w:space="0"/>
              <w:bottom w:val="single" w:color="auto" w:sz="4" w:space="0"/>
              <w:right w:val="single" w:color="auto" w:sz="4" w:space="0"/>
            </w:tcBorders>
            <w:vAlign w:val="center"/>
          </w:tcPr>
          <w:p w14:paraId="2C31FDE9">
            <w:pPr>
              <w:keepNext w:val="0"/>
              <w:keepLines w:val="0"/>
              <w:pageBreakBefore w:val="0"/>
              <w:kinsoku/>
              <w:overflowPunct/>
              <w:topLinePunct w:val="0"/>
              <w:autoSpaceDE/>
              <w:autoSpaceDN/>
              <w:bidi w:val="0"/>
              <w:spacing w:line="360" w:lineRule="exact"/>
              <w:jc w:val="center"/>
              <w:textAlignment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1089" w:type="dxa"/>
            <w:tcBorders>
              <w:top w:val="single" w:color="auto" w:sz="4" w:space="0"/>
              <w:left w:val="single" w:color="auto" w:sz="4" w:space="0"/>
              <w:bottom w:val="single" w:color="auto" w:sz="4" w:space="0"/>
              <w:right w:val="single" w:color="auto" w:sz="4" w:space="0"/>
            </w:tcBorders>
            <w:vAlign w:val="center"/>
          </w:tcPr>
          <w:p w14:paraId="71E41524">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512028B6">
            <w:pPr>
              <w:keepNext w:val="0"/>
              <w:keepLines w:val="0"/>
              <w:pageBreakBefore w:val="0"/>
              <w:kinsoku/>
              <w:overflowPunct/>
              <w:topLinePunct w:val="0"/>
              <w:autoSpaceDE/>
              <w:autoSpaceDN/>
              <w:bidi w:val="0"/>
              <w:spacing w:line="360" w:lineRule="exact"/>
              <w:rPr>
                <w:rFonts w:ascii="宋体" w:hAnsi="宋体" w:cs="宋体"/>
                <w:b/>
                <w:bCs/>
                <w:szCs w:val="21"/>
              </w:rPr>
            </w:pPr>
            <w:r>
              <w:rPr>
                <w:rFonts w:hint="eastAsia" w:ascii="宋体" w:hAnsi="宋体" w:cs="宋体"/>
                <w:b/>
                <w:bCs/>
                <w:szCs w:val="21"/>
              </w:rPr>
              <w:t>（一）评审内容：</w:t>
            </w:r>
          </w:p>
          <w:p w14:paraId="7B9A6E11">
            <w:pPr>
              <w:keepNext w:val="0"/>
              <w:keepLines w:val="0"/>
              <w:pageBreakBefore w:val="0"/>
              <w:numPr>
                <w:ilvl w:val="255"/>
                <w:numId w:val="0"/>
              </w:numPr>
              <w:kinsoku/>
              <w:overflowPunct/>
              <w:topLinePunct w:val="0"/>
              <w:autoSpaceDE/>
              <w:autoSpaceDN/>
              <w:bidi w:val="0"/>
              <w:spacing w:line="360" w:lineRule="exact"/>
              <w:rPr>
                <w:rFonts w:ascii="宋体" w:hAnsi="宋体" w:cs="宋体"/>
                <w:szCs w:val="21"/>
              </w:rPr>
            </w:pPr>
            <w:r>
              <w:rPr>
                <w:rFonts w:hint="eastAsia" w:ascii="宋体" w:hAnsi="宋体" w:cs="宋体"/>
                <w:szCs w:val="21"/>
              </w:rPr>
              <w:t>投标人具有采购人要求服务地同行政区域或相邻行政区域的自有食堂，或承诺在中标后按照采购人意见与同行政区域或相邻行政区域餐饮机构签订的供餐服务协议，供餐人数达</w:t>
            </w:r>
            <w:r>
              <w:rPr>
                <w:rFonts w:ascii="宋体" w:hAnsi="宋体" w:cs="宋体"/>
                <w:szCs w:val="21"/>
              </w:rPr>
              <w:t>50人，能够保障协管员工作餐及时供应的，得1分；在此基础上，供餐人数每增加50人加1分（不足50人不加分），满分</w:t>
            </w:r>
            <w:r>
              <w:rPr>
                <w:rFonts w:hint="eastAsia" w:ascii="宋体" w:hAnsi="宋体" w:cs="宋体"/>
                <w:szCs w:val="21"/>
                <w:lang w:val="en-US" w:eastAsia="zh-CN"/>
              </w:rPr>
              <w:t>5</w:t>
            </w:r>
            <w:r>
              <w:rPr>
                <w:rFonts w:ascii="宋体" w:hAnsi="宋体" w:cs="宋体"/>
                <w:szCs w:val="21"/>
              </w:rPr>
              <w:t>分。</w:t>
            </w:r>
          </w:p>
          <w:p w14:paraId="50E891FA">
            <w:pPr>
              <w:keepNext w:val="0"/>
              <w:keepLines w:val="0"/>
              <w:pageBreakBefore w:val="0"/>
              <w:numPr>
                <w:ilvl w:val="255"/>
                <w:numId w:val="0"/>
              </w:numPr>
              <w:kinsoku/>
              <w:overflowPunct/>
              <w:topLinePunct w:val="0"/>
              <w:autoSpaceDE/>
              <w:autoSpaceDN/>
              <w:bidi w:val="0"/>
              <w:spacing w:line="360" w:lineRule="exact"/>
              <w:rPr>
                <w:rFonts w:ascii="宋体" w:hAnsi="宋体" w:cs="宋体"/>
                <w:b/>
                <w:bCs/>
                <w:szCs w:val="21"/>
              </w:rPr>
            </w:pPr>
            <w:r>
              <w:rPr>
                <w:rFonts w:hint="eastAsia" w:ascii="宋体" w:hAnsi="宋体" w:cs="宋体"/>
                <w:b/>
                <w:bCs/>
                <w:szCs w:val="21"/>
              </w:rPr>
              <w:t>（二）证明材料：</w:t>
            </w:r>
          </w:p>
          <w:p w14:paraId="55648511">
            <w:pPr>
              <w:keepNext w:val="0"/>
              <w:keepLines w:val="0"/>
              <w:pageBreakBefore w:val="0"/>
              <w:kinsoku/>
              <w:overflowPunct/>
              <w:topLinePunct w:val="0"/>
              <w:autoSpaceDE/>
              <w:autoSpaceDN/>
              <w:bidi w:val="0"/>
              <w:spacing w:line="360" w:lineRule="exact"/>
              <w:rPr>
                <w:rFonts w:ascii="宋体" w:hAnsi="宋体" w:cs="宋体"/>
                <w:szCs w:val="21"/>
              </w:rPr>
            </w:pPr>
            <w:r>
              <w:rPr>
                <w:rFonts w:hint="eastAsia" w:ascii="宋体" w:hAnsi="宋体" w:cs="宋体"/>
                <w:szCs w:val="21"/>
              </w:rPr>
              <w:t>1.投标人具有自有食堂的提供：食堂营运证明等证明资料复印件或扫描件加盖投标人公章，证明材料需明确行政区域、供餐人数，原件备查。</w:t>
            </w:r>
          </w:p>
          <w:p w14:paraId="78D5D950">
            <w:pPr>
              <w:keepNext w:val="0"/>
              <w:keepLines w:val="0"/>
              <w:pageBreakBefore w:val="0"/>
              <w:kinsoku/>
              <w:overflowPunct/>
              <w:topLinePunct w:val="0"/>
              <w:autoSpaceDE/>
              <w:autoSpaceDN/>
              <w:bidi w:val="0"/>
              <w:spacing w:line="360" w:lineRule="exact"/>
              <w:rPr>
                <w:rFonts w:ascii="宋体" w:hAnsi="宋体" w:cs="宋体"/>
                <w:szCs w:val="21"/>
              </w:rPr>
            </w:pPr>
            <w:r>
              <w:rPr>
                <w:rFonts w:hint="eastAsia" w:ascii="宋体" w:hAnsi="宋体" w:cs="宋体"/>
                <w:szCs w:val="21"/>
              </w:rPr>
              <w:t>2.投标人不能满足自有食堂相关要求的，需按上述评分要求提供承诺函（格式自拟）加盖投标人公章，未按要求提供承诺函或未提供承诺函不得分。</w:t>
            </w:r>
          </w:p>
        </w:tc>
      </w:tr>
      <w:tr w14:paraId="5A7D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97" w:type="dxa"/>
            <w:vMerge w:val="continue"/>
            <w:tcBorders>
              <w:left w:val="single" w:color="auto" w:sz="4" w:space="0"/>
              <w:right w:val="single" w:color="auto" w:sz="4" w:space="0"/>
            </w:tcBorders>
            <w:vAlign w:val="center"/>
          </w:tcPr>
          <w:p w14:paraId="59F10268">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61" w:type="dxa"/>
            <w:gridSpan w:val="2"/>
            <w:vMerge w:val="continue"/>
            <w:tcBorders>
              <w:left w:val="single" w:color="auto" w:sz="4" w:space="0"/>
              <w:right w:val="single" w:color="auto" w:sz="4" w:space="0"/>
            </w:tcBorders>
            <w:vAlign w:val="center"/>
          </w:tcPr>
          <w:p w14:paraId="1E5C37DA">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99" w:type="dxa"/>
            <w:vMerge w:val="continue"/>
            <w:tcBorders>
              <w:left w:val="single" w:color="auto" w:sz="4" w:space="0"/>
              <w:right w:val="single" w:color="auto" w:sz="4" w:space="0"/>
            </w:tcBorders>
            <w:vAlign w:val="center"/>
          </w:tcPr>
          <w:p w14:paraId="7C50EDED">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4C337842">
            <w:pPr>
              <w:keepNext w:val="0"/>
              <w:keepLines w:val="0"/>
              <w:pageBreakBefore w:val="0"/>
              <w:kinsoku/>
              <w:overflowPunct/>
              <w:topLinePunct w:val="0"/>
              <w:autoSpaceDE/>
              <w:autoSpaceDN/>
              <w:bidi w:val="0"/>
              <w:spacing w:line="360" w:lineRule="exact"/>
              <w:jc w:val="center"/>
              <w:textAlignment w:val="center"/>
              <w:rPr>
                <w:rFonts w:hint="eastAsia" w:eastAsia="宋体"/>
                <w:color w:val="000000"/>
                <w:kern w:val="0"/>
                <w:sz w:val="24"/>
                <w:lang w:eastAsia="zh-CN"/>
              </w:rPr>
            </w:pPr>
            <w:r>
              <w:rPr>
                <w:rFonts w:hint="eastAsia" w:ascii="宋体" w:hAnsi="宋体" w:cs="宋体"/>
                <w:color w:val="000000"/>
                <w:kern w:val="0"/>
                <w:szCs w:val="21"/>
                <w:lang w:val="en-US" w:eastAsia="zh-CN"/>
              </w:rPr>
              <w:t>5</w:t>
            </w:r>
          </w:p>
        </w:tc>
        <w:tc>
          <w:tcPr>
            <w:tcW w:w="1089" w:type="dxa"/>
            <w:tcBorders>
              <w:top w:val="single" w:color="auto" w:sz="4" w:space="0"/>
              <w:left w:val="single" w:color="auto" w:sz="4" w:space="0"/>
              <w:bottom w:val="single" w:color="auto" w:sz="4" w:space="0"/>
              <w:right w:val="single" w:color="auto" w:sz="4" w:space="0"/>
            </w:tcBorders>
            <w:vAlign w:val="center"/>
          </w:tcPr>
          <w:p w14:paraId="754F85F7">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177C5370">
            <w:pPr>
              <w:keepNext w:val="0"/>
              <w:keepLines w:val="0"/>
              <w:pageBreakBefore w:val="0"/>
              <w:kinsoku/>
              <w:overflowPunct/>
              <w:topLinePunct w:val="0"/>
              <w:autoSpaceDE/>
              <w:autoSpaceDN/>
              <w:bidi w:val="0"/>
              <w:spacing w:line="360" w:lineRule="exact"/>
              <w:rPr>
                <w:rFonts w:ascii="宋体" w:hAnsi="宋体" w:cs="宋体"/>
                <w:b/>
                <w:bCs/>
                <w:szCs w:val="21"/>
              </w:rPr>
            </w:pPr>
            <w:r>
              <w:rPr>
                <w:rFonts w:hint="eastAsia" w:ascii="宋体" w:hAnsi="宋体" w:cs="宋体"/>
                <w:b/>
                <w:bCs/>
                <w:szCs w:val="21"/>
              </w:rPr>
              <w:t>（一）评审内容：</w:t>
            </w:r>
          </w:p>
          <w:p w14:paraId="596B525C">
            <w:pPr>
              <w:keepNext w:val="0"/>
              <w:keepLines w:val="0"/>
              <w:pageBreakBefore w:val="0"/>
              <w:numPr>
                <w:ilvl w:val="255"/>
                <w:numId w:val="0"/>
              </w:numPr>
              <w:kinsoku/>
              <w:overflowPunct/>
              <w:topLinePunct w:val="0"/>
              <w:autoSpaceDE/>
              <w:autoSpaceDN/>
              <w:bidi w:val="0"/>
              <w:spacing w:line="360" w:lineRule="exact"/>
              <w:rPr>
                <w:rFonts w:ascii="宋体" w:hAnsi="宋体" w:cs="宋体"/>
                <w:szCs w:val="21"/>
              </w:rPr>
            </w:pPr>
            <w:r>
              <w:rPr>
                <w:rFonts w:hint="eastAsia" w:ascii="宋体" w:hAnsi="宋体" w:cs="宋体"/>
                <w:szCs w:val="21"/>
              </w:rPr>
              <w:t>投标人具有采购人要求服务地同行政区域或相邻行政区域的自建员工宿舍，或承诺在中标后按照采购人意见与同行政区域或相邻行政区域住宿机构签订的租房服务协议，宿舍承载能力达</w:t>
            </w:r>
            <w:r>
              <w:rPr>
                <w:rFonts w:ascii="宋体" w:hAnsi="宋体" w:cs="宋体"/>
                <w:szCs w:val="21"/>
              </w:rPr>
              <w:t>150人，且协管员从住宿地点乘坐公共交通工具50分钟内能够到达工作地点的，得1分；在此基础上，宿舍承载能力每增加50人加0.5分（不足50人不加分），满分</w:t>
            </w:r>
            <w:r>
              <w:rPr>
                <w:rFonts w:hint="eastAsia" w:ascii="宋体" w:hAnsi="宋体" w:cs="宋体"/>
                <w:szCs w:val="21"/>
                <w:lang w:val="en-US" w:eastAsia="zh-CN"/>
              </w:rPr>
              <w:t>5</w:t>
            </w:r>
            <w:r>
              <w:rPr>
                <w:rFonts w:ascii="宋体" w:hAnsi="宋体" w:cs="宋体"/>
                <w:szCs w:val="21"/>
              </w:rPr>
              <w:t>分。</w:t>
            </w:r>
          </w:p>
          <w:p w14:paraId="7986CF79">
            <w:pPr>
              <w:keepNext w:val="0"/>
              <w:keepLines w:val="0"/>
              <w:pageBreakBefore w:val="0"/>
              <w:numPr>
                <w:ilvl w:val="255"/>
                <w:numId w:val="0"/>
              </w:numPr>
              <w:kinsoku/>
              <w:overflowPunct/>
              <w:topLinePunct w:val="0"/>
              <w:autoSpaceDE/>
              <w:autoSpaceDN/>
              <w:bidi w:val="0"/>
              <w:spacing w:line="360" w:lineRule="exact"/>
              <w:rPr>
                <w:rFonts w:ascii="宋体" w:hAnsi="宋体" w:cs="宋体"/>
                <w:b/>
                <w:bCs/>
                <w:szCs w:val="21"/>
              </w:rPr>
            </w:pPr>
            <w:r>
              <w:rPr>
                <w:rFonts w:hint="eastAsia" w:ascii="宋体" w:hAnsi="宋体" w:cs="宋体"/>
                <w:b/>
                <w:bCs/>
                <w:szCs w:val="21"/>
              </w:rPr>
              <w:t>（二）证明材料：</w:t>
            </w:r>
          </w:p>
          <w:p w14:paraId="793C059A">
            <w:pPr>
              <w:keepNext w:val="0"/>
              <w:keepLines w:val="0"/>
              <w:pageBreakBefore w:val="0"/>
              <w:kinsoku/>
              <w:overflowPunct/>
              <w:topLinePunct w:val="0"/>
              <w:autoSpaceDE/>
              <w:autoSpaceDN/>
              <w:bidi w:val="0"/>
              <w:spacing w:line="360" w:lineRule="exact"/>
              <w:rPr>
                <w:rFonts w:ascii="宋体" w:hAnsi="宋体" w:cs="宋体"/>
                <w:szCs w:val="21"/>
              </w:rPr>
            </w:pPr>
            <w:r>
              <w:rPr>
                <w:rFonts w:ascii="宋体" w:hAnsi="宋体" w:cs="宋体"/>
                <w:szCs w:val="21"/>
              </w:rPr>
              <w:t>1.投标人具有自建员工宿舍的提供</w:t>
            </w:r>
            <w:r>
              <w:rPr>
                <w:rFonts w:hint="eastAsia" w:ascii="宋体" w:hAnsi="宋体" w:cs="宋体"/>
                <w:szCs w:val="21"/>
              </w:rPr>
              <w:t>：</w:t>
            </w:r>
          </w:p>
          <w:p w14:paraId="5BFF34C2">
            <w:pPr>
              <w:keepNext w:val="0"/>
              <w:keepLines w:val="0"/>
              <w:pageBreakBefore w:val="0"/>
              <w:kinsoku/>
              <w:overflowPunct/>
              <w:topLinePunct w:val="0"/>
              <w:autoSpaceDE/>
              <w:autoSpaceDN/>
              <w:bidi w:val="0"/>
              <w:spacing w:line="360" w:lineRule="exact"/>
              <w:rPr>
                <w:rFonts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）宿舍房产证明，证明需明确宿舍所在行政区域、住宿人数，提供复印件或扫描件加盖投标人公章，原件备查。</w:t>
            </w:r>
          </w:p>
          <w:p w14:paraId="00848158">
            <w:pPr>
              <w:keepNext w:val="0"/>
              <w:keepLines w:val="0"/>
              <w:pageBreakBefore w:val="0"/>
              <w:numPr>
                <w:ilvl w:val="255"/>
                <w:numId w:val="0"/>
              </w:numPr>
              <w:kinsoku/>
              <w:overflowPunct/>
              <w:topLinePunct w:val="0"/>
              <w:autoSpaceDE/>
              <w:autoSpaceDN/>
              <w:bidi w:val="0"/>
              <w:spacing w:line="360" w:lineRule="exact"/>
              <w:rPr>
                <w:rFonts w:ascii="宋体" w:hAnsi="宋体" w:cs="宋体"/>
                <w:szCs w:val="21"/>
              </w:rPr>
            </w:pPr>
            <w:r>
              <w:rPr>
                <w:rFonts w:hint="eastAsia" w:ascii="宋体" w:hAnsi="宋体" w:cs="宋体"/>
                <w:szCs w:val="21"/>
              </w:rPr>
              <w:t>（2）百度地图截图，截图中需体现乘坐公共交通工具从住宿地点到工作地点的时间，东部片区的工作地点为文锦渡海关，西部片区截图的工作地点为深圳湾海关。</w:t>
            </w:r>
          </w:p>
          <w:p w14:paraId="286E4439">
            <w:pPr>
              <w:keepNext w:val="0"/>
              <w:keepLines w:val="0"/>
              <w:pageBreakBefore w:val="0"/>
              <w:numPr>
                <w:ilvl w:val="255"/>
                <w:numId w:val="0"/>
              </w:numPr>
              <w:kinsoku/>
              <w:overflowPunct/>
              <w:topLinePunct w:val="0"/>
              <w:autoSpaceDE/>
              <w:autoSpaceDN/>
              <w:bidi w:val="0"/>
              <w:spacing w:line="360" w:lineRule="exact"/>
              <w:rPr>
                <w:rFonts w:ascii="宋体" w:hAnsi="宋体" w:cs="宋体"/>
                <w:szCs w:val="21"/>
              </w:rPr>
            </w:pPr>
            <w:r>
              <w:rPr>
                <w:rFonts w:hint="eastAsia" w:ascii="宋体" w:hAnsi="宋体" w:cs="宋体"/>
                <w:szCs w:val="21"/>
              </w:rPr>
              <w:t>2.投标人不能满足自建员工宿舍相关要求的，需按上述评分要求提供承诺函（格式自拟）加盖投标人公章，未按要求提供承诺函或未提供承诺函不得分。</w:t>
            </w:r>
          </w:p>
        </w:tc>
      </w:tr>
      <w:tr w14:paraId="408E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right w:val="single" w:color="auto" w:sz="4" w:space="0"/>
            </w:tcBorders>
            <w:vAlign w:val="center"/>
          </w:tcPr>
          <w:p w14:paraId="10294CD7">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61" w:type="dxa"/>
            <w:gridSpan w:val="2"/>
            <w:vMerge w:val="continue"/>
            <w:tcBorders>
              <w:left w:val="single" w:color="auto" w:sz="4" w:space="0"/>
              <w:right w:val="single" w:color="auto" w:sz="4" w:space="0"/>
            </w:tcBorders>
            <w:vAlign w:val="center"/>
          </w:tcPr>
          <w:p w14:paraId="2A1B2FC4">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99" w:type="dxa"/>
            <w:vMerge w:val="continue"/>
            <w:tcBorders>
              <w:left w:val="single" w:color="auto" w:sz="4" w:space="0"/>
              <w:right w:val="single" w:color="auto" w:sz="4" w:space="0"/>
            </w:tcBorders>
            <w:vAlign w:val="center"/>
          </w:tcPr>
          <w:p w14:paraId="08F39DF2">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37FB1A47">
            <w:pPr>
              <w:keepNext w:val="0"/>
              <w:keepLines w:val="0"/>
              <w:pageBreakBefore w:val="0"/>
              <w:kinsoku/>
              <w:overflowPunct/>
              <w:topLinePunct w:val="0"/>
              <w:autoSpaceDE/>
              <w:autoSpaceDN/>
              <w:bidi w:val="0"/>
              <w:spacing w:line="360" w:lineRule="exact"/>
              <w:jc w:val="center"/>
              <w:textAlignment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val="en-US" w:eastAsia="zh-CN"/>
              </w:rPr>
              <w:t>3</w:t>
            </w:r>
          </w:p>
        </w:tc>
        <w:tc>
          <w:tcPr>
            <w:tcW w:w="1089" w:type="dxa"/>
            <w:tcBorders>
              <w:top w:val="single" w:color="auto" w:sz="4" w:space="0"/>
              <w:left w:val="single" w:color="auto" w:sz="4" w:space="0"/>
              <w:bottom w:val="single" w:color="auto" w:sz="4" w:space="0"/>
              <w:right w:val="single" w:color="auto" w:sz="4" w:space="0"/>
            </w:tcBorders>
            <w:vAlign w:val="center"/>
          </w:tcPr>
          <w:p w14:paraId="4E5A5807">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7F4AA585">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59DB1BE8">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投标人具有信息化管理系统（必须具备人事管理相关功能，包括但不限于招聘入职管理类功能、工资结算类功能、后勤管理类功能），每提供一项功能得</w:t>
            </w:r>
            <w:r>
              <w:rPr>
                <w:rFonts w:hint="eastAsia" w:ascii="宋体" w:hAnsi="宋体" w:cs="宋体"/>
                <w:szCs w:val="21"/>
                <w:lang w:val="en-US" w:eastAsia="zh-CN"/>
              </w:rPr>
              <w:t>0.5</w:t>
            </w:r>
            <w:r>
              <w:rPr>
                <w:rFonts w:hint="eastAsia" w:ascii="宋体" w:hAnsi="宋体" w:cs="宋体"/>
                <w:szCs w:val="21"/>
              </w:rPr>
              <w:t>分，满分</w:t>
            </w:r>
            <w:r>
              <w:rPr>
                <w:rFonts w:hint="eastAsia" w:ascii="宋体" w:hAnsi="宋体" w:cs="宋体"/>
                <w:szCs w:val="21"/>
                <w:lang w:val="en-US" w:eastAsia="zh-CN"/>
              </w:rPr>
              <w:t>3</w:t>
            </w:r>
            <w:r>
              <w:rPr>
                <w:rFonts w:hint="eastAsia" w:ascii="宋体" w:hAnsi="宋体" w:cs="宋体"/>
                <w:szCs w:val="21"/>
              </w:rPr>
              <w:t>分。</w:t>
            </w:r>
            <w:r>
              <w:rPr>
                <w:rFonts w:hint="eastAsia"/>
              </w:rPr>
              <w:t>同一系统同时满足以上多项功能或提供不同系统满足以上功能的，均可累计得分</w:t>
            </w:r>
            <w:r>
              <w:rPr>
                <w:rStyle w:val="58"/>
                <w:rFonts w:ascii="宋体"/>
                <w:kern w:val="0"/>
              </w:rPr>
              <w:t>。</w:t>
            </w:r>
          </w:p>
          <w:p w14:paraId="68C5CD54">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34D5079F">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ascii="宋体" w:hAnsi="宋体" w:cs="宋体"/>
                <w:szCs w:val="21"/>
              </w:rPr>
              <w:t>投标人需提供：</w:t>
            </w:r>
          </w:p>
          <w:p w14:paraId="6E914536">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ascii="宋体" w:hAnsi="宋体" w:cs="宋体"/>
                <w:szCs w:val="21"/>
              </w:rPr>
              <w:t>1.中华人民共和国国家版权局颁发的计算机软件著作权登记证书复印件</w:t>
            </w:r>
            <w:r>
              <w:rPr>
                <w:rFonts w:hint="eastAsia" w:ascii="宋体" w:hAnsi="宋体" w:cs="宋体"/>
                <w:szCs w:val="21"/>
              </w:rPr>
              <w:t>或扫描件</w:t>
            </w:r>
            <w:r>
              <w:rPr>
                <w:rFonts w:ascii="宋体" w:hAnsi="宋体" w:cs="宋体"/>
                <w:szCs w:val="21"/>
              </w:rPr>
              <w:t>并加盖投标人公章，发证日期须在本项目投标截止之日前，原件备查</w:t>
            </w:r>
            <w:r>
              <w:rPr>
                <w:rFonts w:hint="eastAsia" w:ascii="宋体" w:hAnsi="宋体" w:cs="宋体"/>
                <w:szCs w:val="21"/>
              </w:rPr>
              <w:t>。</w:t>
            </w:r>
          </w:p>
          <w:p w14:paraId="1E49C1DE">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ascii="宋体" w:hAnsi="宋体" w:cs="宋体"/>
                <w:szCs w:val="21"/>
              </w:rPr>
              <w:t>2.计算机软件著作权登记证书</w:t>
            </w:r>
            <w:r>
              <w:rPr>
                <w:rFonts w:hint="eastAsia" w:ascii="宋体" w:hAnsi="宋体" w:cs="宋体"/>
                <w:szCs w:val="21"/>
              </w:rPr>
              <w:t>若为投标人自有的，上述证书</w:t>
            </w:r>
            <w:r>
              <w:rPr>
                <w:rFonts w:hint="eastAsia"/>
              </w:rPr>
              <w:t>著作权人需为投标人</w:t>
            </w:r>
            <w:r>
              <w:rPr>
                <w:rFonts w:hint="eastAsia" w:ascii="宋体" w:hAnsi="宋体" w:cs="宋体"/>
                <w:szCs w:val="21"/>
              </w:rPr>
              <w:t>；</w:t>
            </w:r>
            <w:r>
              <w:rPr>
                <w:rFonts w:ascii="宋体" w:hAnsi="宋体" w:cs="宋体"/>
                <w:szCs w:val="21"/>
              </w:rPr>
              <w:t>计算机软件著作权登记证书</w:t>
            </w:r>
            <w:r>
              <w:rPr>
                <w:rFonts w:hint="eastAsia" w:ascii="宋体" w:hAnsi="宋体" w:cs="宋体"/>
                <w:szCs w:val="21"/>
              </w:rPr>
              <w:t>若为投标人购买</w:t>
            </w:r>
            <w:r>
              <w:rPr>
                <w:rFonts w:hint="eastAsia"/>
              </w:rPr>
              <w:t>或租赁</w:t>
            </w:r>
            <w:r>
              <w:rPr>
                <w:rFonts w:hint="eastAsia" w:ascii="宋体" w:hAnsi="宋体" w:cs="宋体"/>
                <w:szCs w:val="21"/>
              </w:rPr>
              <w:t>的，需提供上述证书</w:t>
            </w:r>
            <w:bookmarkStart w:id="120" w:name="_GoBack"/>
            <w:bookmarkEnd w:id="120"/>
            <w:r>
              <w:rPr>
                <w:rFonts w:hint="eastAsia" w:ascii="宋体" w:hAnsi="宋体" w:cs="宋体"/>
                <w:szCs w:val="21"/>
              </w:rPr>
              <w:t>的</w:t>
            </w:r>
            <w:r>
              <w:rPr>
                <w:rFonts w:hint="eastAsia"/>
              </w:rPr>
              <w:t>购买或租赁</w:t>
            </w:r>
            <w:r>
              <w:rPr>
                <w:rFonts w:hint="eastAsia" w:ascii="宋体" w:hAnsi="宋体" w:cs="宋体"/>
                <w:szCs w:val="21"/>
              </w:rPr>
              <w:t>合同及费用发票，</w:t>
            </w:r>
            <w:r>
              <w:rPr>
                <w:rFonts w:hint="eastAsia"/>
              </w:rPr>
              <w:t>合同中购买或租赁的乙方需为投标人，出售或出租的甲方需为软件著作权登记证书中的著作权人</w:t>
            </w:r>
            <w:r>
              <w:rPr>
                <w:rFonts w:hint="eastAsia" w:ascii="宋体" w:hAnsi="宋体" w:cs="宋体"/>
                <w:szCs w:val="21"/>
              </w:rPr>
              <w:t>。</w:t>
            </w:r>
          </w:p>
          <w:p w14:paraId="4CCBE84D">
            <w:pPr>
              <w:keepNext w:val="0"/>
              <w:keepLines w:val="0"/>
              <w:pageBreakBefore w:val="0"/>
              <w:kinsoku/>
              <w:overflowPunct/>
              <w:topLinePunct w:val="0"/>
              <w:autoSpaceDE/>
              <w:autoSpaceDN/>
              <w:bidi w:val="0"/>
              <w:spacing w:line="360" w:lineRule="exact"/>
              <w:textAlignment w:val="center"/>
              <w:rPr>
                <w:rFonts w:hint="eastAsia" w:ascii="宋体" w:hAnsi="宋体" w:eastAsia="宋体" w:cs="宋体"/>
                <w:szCs w:val="21"/>
                <w:lang w:eastAsia="zh-CN"/>
              </w:rPr>
            </w:pPr>
            <w:r>
              <w:rPr>
                <w:rFonts w:hint="eastAsia" w:ascii="宋体" w:hAnsi="宋体" w:cs="宋体"/>
                <w:szCs w:val="21"/>
              </w:rPr>
              <w:t>3.</w:t>
            </w:r>
            <w:r>
              <w:rPr>
                <w:rFonts w:hint="eastAsia" w:ascii="宋体" w:hAnsi="宋体" w:cs="宋体"/>
                <w:szCs w:val="21"/>
                <w:lang w:eastAsia="zh-CN"/>
              </w:rPr>
              <w:t>信息化系统相关功能查询截图。</w:t>
            </w:r>
          </w:p>
          <w:p w14:paraId="0983765D">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4</w:t>
            </w:r>
            <w:r>
              <w:rPr>
                <w:rFonts w:ascii="宋体" w:hAnsi="宋体" w:cs="宋体"/>
                <w:szCs w:val="21"/>
              </w:rPr>
              <w:t>.上述材料未提供或提供不清晰导致无法判定是否得分的作不得分处理。</w:t>
            </w:r>
          </w:p>
        </w:tc>
      </w:tr>
      <w:tr w14:paraId="44CD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vMerge w:val="continue"/>
            <w:tcBorders>
              <w:left w:val="single" w:color="auto" w:sz="4" w:space="0"/>
              <w:right w:val="single" w:color="auto" w:sz="4" w:space="0"/>
            </w:tcBorders>
            <w:vAlign w:val="center"/>
          </w:tcPr>
          <w:p w14:paraId="2D3E8F00">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61" w:type="dxa"/>
            <w:gridSpan w:val="2"/>
            <w:vMerge w:val="continue"/>
            <w:tcBorders>
              <w:left w:val="single" w:color="auto" w:sz="4" w:space="0"/>
              <w:right w:val="single" w:color="auto" w:sz="4" w:space="0"/>
            </w:tcBorders>
            <w:vAlign w:val="center"/>
          </w:tcPr>
          <w:p w14:paraId="51FDFBD8">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99" w:type="dxa"/>
            <w:vMerge w:val="continue"/>
            <w:tcBorders>
              <w:left w:val="single" w:color="auto" w:sz="4" w:space="0"/>
              <w:right w:val="single" w:color="auto" w:sz="4" w:space="0"/>
            </w:tcBorders>
            <w:vAlign w:val="center"/>
          </w:tcPr>
          <w:p w14:paraId="3AC490DE">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1DD6907D">
            <w:pPr>
              <w:keepNext w:val="0"/>
              <w:keepLines w:val="0"/>
              <w:pageBreakBefore w:val="0"/>
              <w:kinsoku/>
              <w:overflowPunct/>
              <w:topLinePunct w:val="0"/>
              <w:autoSpaceDE/>
              <w:autoSpaceDN/>
              <w:bidi w:val="0"/>
              <w:spacing w:line="360" w:lineRule="exact"/>
              <w:jc w:val="center"/>
              <w:textAlignment w:val="center"/>
              <w:rPr>
                <w:rFonts w:hint="eastAsia" w:ascii="宋体" w:hAnsi="宋体" w:eastAsia="宋体" w:cs="宋体"/>
                <w:b/>
                <w:bCs/>
                <w:color w:val="000000"/>
                <w:kern w:val="0"/>
                <w:szCs w:val="21"/>
                <w:lang w:eastAsia="zh-CN"/>
              </w:rPr>
            </w:pPr>
            <w:r>
              <w:rPr>
                <w:rFonts w:hint="eastAsia" w:ascii="宋体" w:hAnsi="宋体" w:cs="宋体"/>
                <w:color w:val="000000"/>
                <w:kern w:val="0"/>
                <w:szCs w:val="21"/>
                <w:lang w:val="en-US" w:eastAsia="zh-CN"/>
              </w:rPr>
              <w:t>5</w:t>
            </w:r>
          </w:p>
        </w:tc>
        <w:tc>
          <w:tcPr>
            <w:tcW w:w="1089" w:type="dxa"/>
            <w:tcBorders>
              <w:top w:val="single" w:color="auto" w:sz="4" w:space="0"/>
              <w:left w:val="single" w:color="auto" w:sz="4" w:space="0"/>
              <w:bottom w:val="single" w:color="auto" w:sz="4" w:space="0"/>
              <w:right w:val="single" w:color="auto" w:sz="4" w:space="0"/>
            </w:tcBorders>
            <w:vAlign w:val="center"/>
          </w:tcPr>
          <w:p w14:paraId="0F503215">
            <w:pPr>
              <w:keepNext w:val="0"/>
              <w:keepLines w:val="0"/>
              <w:pageBreakBefore w:val="0"/>
              <w:kinsoku/>
              <w:overflowPunct/>
              <w:topLinePunct w:val="0"/>
              <w:autoSpaceDE/>
              <w:autoSpaceDN/>
              <w:bidi w:val="0"/>
              <w:spacing w:line="360" w:lineRule="exact"/>
              <w:jc w:val="center"/>
              <w:rPr>
                <w:rFonts w:ascii="宋体" w:hAnsi="宋体" w:cs="宋体"/>
                <w:b/>
                <w:bCs/>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4D6F4145">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（一）评审内容：</w:t>
            </w:r>
          </w:p>
          <w:p w14:paraId="43B155DA">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投标人承诺如遇因深圳市财政额度未拨付到位导致服务费支付超期等情况时，由投标人负责先行支付协管员相关福利待遇的得</w:t>
            </w:r>
            <w:r>
              <w:rPr>
                <w:rFonts w:hint="eastAsia" w:ascii="宋体" w:hAnsi="宋体" w:cs="宋体"/>
                <w:szCs w:val="21"/>
                <w:lang w:val="en-US" w:eastAsia="zh-CN"/>
              </w:rPr>
              <w:t>5</w:t>
            </w:r>
            <w:r>
              <w:rPr>
                <w:rFonts w:hint="eastAsia" w:ascii="宋体" w:hAnsi="宋体" w:cs="宋体"/>
                <w:szCs w:val="21"/>
              </w:rPr>
              <w:t>分。</w:t>
            </w:r>
          </w:p>
          <w:p w14:paraId="37B74F04">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b/>
                <w:bCs/>
                <w:szCs w:val="21"/>
              </w:rPr>
              <w:t>（二）证明材料：</w:t>
            </w:r>
          </w:p>
          <w:p w14:paraId="3DD3D0B3">
            <w:pPr>
              <w:keepNext w:val="0"/>
              <w:keepLines w:val="0"/>
              <w:pageBreakBefore w:val="0"/>
              <w:kinsoku/>
              <w:overflowPunct/>
              <w:topLinePunct w:val="0"/>
              <w:autoSpaceDE/>
              <w:autoSpaceDN/>
              <w:bidi w:val="0"/>
              <w:spacing w:line="360" w:lineRule="exact"/>
              <w:textAlignment w:val="center"/>
              <w:rPr>
                <w:rFonts w:ascii="宋体" w:hAnsi="宋体" w:cs="宋体"/>
                <w:b/>
                <w:bCs/>
                <w:szCs w:val="21"/>
              </w:rPr>
            </w:pPr>
            <w:r>
              <w:rPr>
                <w:rFonts w:hint="eastAsia" w:ascii="宋体" w:hAnsi="宋体" w:cs="宋体"/>
                <w:szCs w:val="21"/>
              </w:rPr>
              <w:t>投标人需提供加盖投标人公章的《福利待遇保障承诺函》（格式自拟），未提供或提供不全不得分。</w:t>
            </w:r>
          </w:p>
        </w:tc>
      </w:tr>
      <w:tr w14:paraId="6AD7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restart"/>
            <w:tcBorders>
              <w:top w:val="single" w:color="auto" w:sz="4" w:space="0"/>
              <w:left w:val="single" w:color="auto" w:sz="4" w:space="0"/>
              <w:right w:val="single" w:color="auto" w:sz="4" w:space="0"/>
            </w:tcBorders>
            <w:vAlign w:val="center"/>
          </w:tcPr>
          <w:p w14:paraId="47D82827">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3</w:t>
            </w:r>
          </w:p>
        </w:tc>
        <w:tc>
          <w:tcPr>
            <w:tcW w:w="761" w:type="dxa"/>
            <w:gridSpan w:val="2"/>
            <w:vMerge w:val="restart"/>
            <w:tcBorders>
              <w:top w:val="single" w:color="auto" w:sz="4" w:space="0"/>
              <w:left w:val="single" w:color="auto" w:sz="4" w:space="0"/>
              <w:right w:val="single" w:color="auto" w:sz="4" w:space="0"/>
            </w:tcBorders>
            <w:vAlign w:val="center"/>
          </w:tcPr>
          <w:p w14:paraId="7CD91076">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rPr>
              <w:t>履约表现</w:t>
            </w:r>
            <w:r>
              <w:rPr>
                <w:rFonts w:hint="eastAsia" w:ascii="宋体" w:hAnsi="宋体" w:cs="宋体"/>
                <w:szCs w:val="21"/>
              </w:rPr>
              <w:t>（权重合计：</w:t>
            </w:r>
            <w:r>
              <w:rPr>
                <w:rFonts w:hint="eastAsia" w:ascii="宋体" w:hAnsi="宋体" w:cs="宋体"/>
                <w:szCs w:val="21"/>
                <w:lang w:val="en-US" w:eastAsia="zh-CN"/>
              </w:rPr>
              <w:t>12</w:t>
            </w:r>
            <w:r>
              <w:rPr>
                <w:rFonts w:hint="eastAsia" w:ascii="宋体" w:hAnsi="宋体" w:cs="宋体"/>
                <w:szCs w:val="21"/>
              </w:rPr>
              <w:t>）</w:t>
            </w:r>
          </w:p>
        </w:tc>
        <w:tc>
          <w:tcPr>
            <w:tcW w:w="799" w:type="dxa"/>
            <w:tcBorders>
              <w:top w:val="single" w:color="auto" w:sz="4" w:space="0"/>
              <w:left w:val="single" w:color="auto" w:sz="4" w:space="0"/>
              <w:bottom w:val="single" w:color="auto" w:sz="4" w:space="0"/>
              <w:right w:val="single" w:color="auto" w:sz="4" w:space="0"/>
            </w:tcBorders>
            <w:vAlign w:val="center"/>
          </w:tcPr>
          <w:p w14:paraId="5741360E">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荣誉情况</w:t>
            </w:r>
          </w:p>
        </w:tc>
        <w:tc>
          <w:tcPr>
            <w:tcW w:w="708" w:type="dxa"/>
            <w:tcBorders>
              <w:top w:val="single" w:color="auto" w:sz="4" w:space="0"/>
              <w:left w:val="single" w:color="auto" w:sz="4" w:space="0"/>
              <w:bottom w:val="single" w:color="auto" w:sz="4" w:space="0"/>
              <w:right w:val="single" w:color="auto" w:sz="4" w:space="0"/>
            </w:tcBorders>
            <w:vAlign w:val="center"/>
          </w:tcPr>
          <w:p w14:paraId="51AE742C">
            <w:pPr>
              <w:keepNext w:val="0"/>
              <w:keepLines w:val="0"/>
              <w:pageBreakBefore w:val="0"/>
              <w:kinsoku/>
              <w:overflowPunct/>
              <w:topLinePunct w:val="0"/>
              <w:autoSpaceDE/>
              <w:autoSpaceDN/>
              <w:bidi w:val="0"/>
              <w:spacing w:line="360" w:lineRule="exact"/>
              <w:jc w:val="center"/>
              <w:textAlignment w:val="center"/>
              <w:rPr>
                <w:rFonts w:hint="eastAsia" w:ascii="宋体" w:hAnsi="宋体" w:eastAsia="宋体" w:cs="宋体"/>
                <w:szCs w:val="21"/>
                <w:lang w:eastAsia="zh-CN"/>
              </w:rPr>
            </w:pPr>
            <w:r>
              <w:rPr>
                <w:rFonts w:hint="eastAsia" w:ascii="宋体" w:hAnsi="宋体" w:cs="宋体"/>
                <w:color w:val="000000"/>
                <w:kern w:val="0"/>
                <w:szCs w:val="21"/>
                <w:lang w:val="en-US" w:eastAsia="zh-CN"/>
              </w:rPr>
              <w:t>7</w:t>
            </w:r>
          </w:p>
        </w:tc>
        <w:tc>
          <w:tcPr>
            <w:tcW w:w="1089" w:type="dxa"/>
            <w:tcBorders>
              <w:top w:val="single" w:color="auto" w:sz="4" w:space="0"/>
              <w:left w:val="single" w:color="auto" w:sz="4" w:space="0"/>
              <w:bottom w:val="single" w:color="auto" w:sz="4" w:space="0"/>
              <w:right w:val="single" w:color="auto" w:sz="4" w:space="0"/>
            </w:tcBorders>
            <w:vAlign w:val="center"/>
          </w:tcPr>
          <w:p w14:paraId="7DEDBD93">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1AF108F5">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投标人近五年内（</w:t>
            </w:r>
            <w:r>
              <w:rPr>
                <w:rFonts w:ascii="宋体" w:hAnsi="宋体" w:cs="宋体"/>
                <w:szCs w:val="21"/>
              </w:rPr>
              <w:t>20</w:t>
            </w:r>
            <w:r>
              <w:rPr>
                <w:rFonts w:hint="eastAsia" w:ascii="宋体" w:hAnsi="宋体" w:cs="宋体"/>
                <w:szCs w:val="21"/>
              </w:rPr>
              <w:t>20</w:t>
            </w:r>
            <w:r>
              <w:rPr>
                <w:rFonts w:ascii="宋体" w:hAnsi="宋体" w:cs="宋体"/>
                <w:szCs w:val="21"/>
              </w:rPr>
              <w:t>年</w:t>
            </w:r>
            <w:r>
              <w:rPr>
                <w:rFonts w:hint="eastAsia" w:ascii="宋体" w:hAnsi="宋体" w:cs="宋体"/>
                <w:szCs w:val="21"/>
              </w:rPr>
              <w:t>5</w:t>
            </w:r>
            <w:r>
              <w:rPr>
                <w:rFonts w:ascii="宋体" w:hAnsi="宋体" w:cs="宋体"/>
                <w:szCs w:val="21"/>
              </w:rPr>
              <w:t>月1日至投标截止时间</w:t>
            </w:r>
            <w:r>
              <w:rPr>
                <w:rFonts w:hint="eastAsia" w:ascii="宋体" w:hAnsi="宋体" w:cs="宋体"/>
                <w:szCs w:val="21"/>
              </w:rPr>
              <w:t>）获得的县（区）级及以上政府部门或事业单位颁发的与业务相关的荣誉情况：</w:t>
            </w:r>
          </w:p>
          <w:p w14:paraId="7C2C5E05">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ascii="宋体" w:hAnsi="宋体" w:cs="宋体"/>
                <w:szCs w:val="21"/>
              </w:rPr>
              <w:t>1.</w:t>
            </w:r>
            <w:r>
              <w:rPr>
                <w:rFonts w:hint="eastAsia" w:ascii="宋体" w:hAnsi="宋体" w:cs="宋体"/>
                <w:szCs w:val="21"/>
              </w:rPr>
              <w:t xml:space="preserve">荣获县（区）级荣誉，每一项得0.5分，最高得1分； </w:t>
            </w:r>
          </w:p>
          <w:p w14:paraId="6B77EB94">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ascii="宋体" w:hAnsi="宋体" w:cs="宋体"/>
                <w:szCs w:val="21"/>
              </w:rPr>
              <w:t>2.</w:t>
            </w:r>
            <w:r>
              <w:rPr>
                <w:rFonts w:hint="eastAsia" w:ascii="宋体" w:hAnsi="宋体" w:cs="宋体"/>
                <w:szCs w:val="21"/>
              </w:rPr>
              <w:t xml:space="preserve">荣获市级荣誉，每一项得1分，最高得3分； </w:t>
            </w:r>
          </w:p>
          <w:p w14:paraId="584AA383">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ascii="宋体" w:hAnsi="宋体" w:cs="宋体"/>
                <w:szCs w:val="21"/>
              </w:rPr>
              <w:t>3.</w:t>
            </w:r>
            <w:r>
              <w:rPr>
                <w:rFonts w:hint="eastAsia" w:ascii="宋体" w:hAnsi="宋体" w:cs="宋体"/>
                <w:szCs w:val="21"/>
              </w:rPr>
              <w:t>荣获省级（副省级）荣誉，每一项得2分；</w:t>
            </w:r>
          </w:p>
          <w:p w14:paraId="555E2FE9">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ascii="宋体" w:hAnsi="宋体" w:cs="宋体"/>
                <w:szCs w:val="21"/>
              </w:rPr>
              <w:t>4.</w:t>
            </w:r>
            <w:r>
              <w:rPr>
                <w:rFonts w:hint="eastAsia" w:ascii="宋体" w:hAnsi="宋体" w:cs="宋体"/>
                <w:szCs w:val="21"/>
              </w:rPr>
              <w:t>荣获国家级荣誉，每一项得5分。</w:t>
            </w:r>
          </w:p>
          <w:p w14:paraId="3F30B874">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投标人提供不同级别的不同奖项可累计得分。</w:t>
            </w:r>
          </w:p>
          <w:p w14:paraId="1FE1A04D">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如同一奖项同时参评县（区）级、市级、省级（副省级）、国家级奖项的，按该奖项能够得到的最高分数计算，不重复计分。本项最高得</w:t>
            </w:r>
            <w:r>
              <w:rPr>
                <w:rFonts w:hint="eastAsia" w:ascii="宋体" w:hAnsi="宋体" w:cs="宋体"/>
                <w:szCs w:val="21"/>
                <w:lang w:val="en-US" w:eastAsia="zh-CN"/>
              </w:rPr>
              <w:t>7</w:t>
            </w:r>
            <w:r>
              <w:rPr>
                <w:rFonts w:hint="eastAsia" w:ascii="宋体" w:hAnsi="宋体" w:cs="宋体"/>
                <w:szCs w:val="21"/>
              </w:rPr>
              <w:t>分。</w:t>
            </w:r>
          </w:p>
          <w:p w14:paraId="28A8B4A6">
            <w:pPr>
              <w:keepNext w:val="0"/>
              <w:keepLines w:val="0"/>
              <w:pageBreakBefore w:val="0"/>
              <w:kinsoku/>
              <w:wordWrap w:val="0"/>
              <w:overflowPunct/>
              <w:topLinePunct w:val="0"/>
              <w:autoSpaceDE/>
              <w:autoSpaceDN/>
              <w:bidi w:val="0"/>
              <w:spacing w:line="360" w:lineRule="exact"/>
              <w:rPr>
                <w:rFonts w:ascii="宋体" w:hAnsi="宋体" w:cs="宋体"/>
                <w:szCs w:val="21"/>
              </w:rPr>
            </w:pPr>
            <w:r>
              <w:rPr>
                <w:rFonts w:hint="eastAsia" w:ascii="宋体" w:hAnsi="宋体" w:cs="宋体"/>
                <w:szCs w:val="21"/>
              </w:rPr>
              <w:t>投标人需提供荣誉证书等证明材料，复印件加盖投标人公章，原件备查，未提供或提供不清晰导致无法判定是否得分的作不得分处理。</w:t>
            </w:r>
          </w:p>
          <w:p w14:paraId="4963458A">
            <w:pPr>
              <w:keepNext w:val="0"/>
              <w:keepLines w:val="0"/>
              <w:pageBreakBefore w:val="0"/>
              <w:kinsoku/>
              <w:wordWrap w:val="0"/>
              <w:overflowPunct/>
              <w:topLinePunct w:val="0"/>
              <w:autoSpaceDE/>
              <w:autoSpaceDN/>
              <w:bidi w:val="0"/>
              <w:spacing w:line="360" w:lineRule="exact"/>
              <w:rPr>
                <w:rFonts w:ascii="宋体" w:hAnsi="宋体" w:cs="宋体"/>
                <w:szCs w:val="21"/>
              </w:rPr>
            </w:pPr>
            <w:r>
              <w:rPr>
                <w:rFonts w:hint="eastAsia" w:ascii="宋体" w:hAnsi="宋体" w:cs="宋体"/>
                <w:szCs w:val="21"/>
              </w:rPr>
              <w:t>注：1.如由政府部门颁发的荣誉，国家级荣誉要求荣誉颁发单位为国务院或国家部委；省级荣誉要求荣誉颁发单位为省（自治区、直辖市）人民政府（或行业主管行政机关）；副省级荣誉要求荣誉颁发单位为副省级市人民政府（或行业主管行政机关）；市级荣誉要求荣誉颁发单位为地级市人民政府（或行业主管行政机关）；县（区）级荣誉要求荣誉颁发单位为县（区）级人民政府（或行业主管行政机关）。</w:t>
            </w:r>
          </w:p>
          <w:p w14:paraId="4D5A699A">
            <w:pPr>
              <w:keepNext w:val="0"/>
              <w:keepLines w:val="0"/>
              <w:pageBreakBefore w:val="0"/>
              <w:kinsoku/>
              <w:wordWrap w:val="0"/>
              <w:overflowPunct/>
              <w:topLinePunct w:val="0"/>
              <w:autoSpaceDE/>
              <w:autoSpaceDN/>
              <w:bidi w:val="0"/>
              <w:spacing w:line="360" w:lineRule="exact"/>
              <w:rPr>
                <w:rFonts w:ascii="宋体" w:hAnsi="宋体" w:cs="宋体"/>
                <w:szCs w:val="21"/>
              </w:rPr>
            </w:pPr>
            <w:r>
              <w:rPr>
                <w:rFonts w:hint="eastAsia" w:ascii="宋体" w:hAnsi="宋体" w:cs="宋体"/>
                <w:szCs w:val="21"/>
              </w:rPr>
              <w:t>2.如由事业单位颁发的荣誉，国家级荣誉要求荣誉颁发单位为在国家事业单位登记管理局登记的事业单位；省级荣誉要求荣誉颁发单位为在省级事业单位登记管理局登记的事业单位；副省级荣誉要求荣誉颁发单位为在副省级事业单位登记管理局登记的事业单位；市级荣誉要求荣誉颁发单位为在地级市事业单位登记管理局登记的事业单位；县（区）级荣誉要求荣誉颁发单位为在县（区）级事业单位登记管理局登记的事业单位。</w:t>
            </w:r>
          </w:p>
          <w:p w14:paraId="20F03905">
            <w:pPr>
              <w:keepNext w:val="0"/>
              <w:keepLines w:val="0"/>
              <w:pageBreakBefore w:val="0"/>
              <w:kinsoku/>
              <w:wordWrap w:val="0"/>
              <w:overflowPunct/>
              <w:topLinePunct w:val="0"/>
              <w:autoSpaceDE/>
              <w:autoSpaceDN/>
              <w:bidi w:val="0"/>
              <w:spacing w:line="360" w:lineRule="exact"/>
              <w:rPr>
                <w:rFonts w:ascii="宋体" w:hAnsi="宋体" w:cs="宋体"/>
                <w:szCs w:val="21"/>
              </w:rPr>
            </w:pPr>
            <w:r>
              <w:rPr>
                <w:rFonts w:hint="eastAsia" w:ascii="宋体" w:hAnsi="宋体" w:cs="宋体"/>
                <w:szCs w:val="21"/>
              </w:rPr>
              <w:t>3.如由事业单位颁发的荣誉，还需提供该事业单位在“机关赋码和事业单位登记管理平台”（网址：http://www.gjsy.gov.cn/）”的事业单位法人登记信息查询截图，并具有清晰的举办单位及登记管理机关信息。</w:t>
            </w:r>
          </w:p>
        </w:tc>
      </w:tr>
      <w:tr w14:paraId="0815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7" w:type="dxa"/>
            <w:vMerge w:val="continue"/>
            <w:tcBorders>
              <w:left w:val="single" w:color="auto" w:sz="4" w:space="0"/>
              <w:bottom w:val="single" w:color="auto" w:sz="4" w:space="0"/>
              <w:right w:val="single" w:color="auto" w:sz="4" w:space="0"/>
            </w:tcBorders>
            <w:vAlign w:val="center"/>
          </w:tcPr>
          <w:p w14:paraId="6E16BAD8">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61" w:type="dxa"/>
            <w:gridSpan w:val="2"/>
            <w:vMerge w:val="continue"/>
            <w:tcBorders>
              <w:left w:val="single" w:color="auto" w:sz="4" w:space="0"/>
              <w:bottom w:val="single" w:color="auto" w:sz="4" w:space="0"/>
              <w:right w:val="single" w:color="auto" w:sz="4" w:space="0"/>
            </w:tcBorders>
            <w:vAlign w:val="center"/>
          </w:tcPr>
          <w:p w14:paraId="3075AF56">
            <w:pPr>
              <w:keepNext w:val="0"/>
              <w:keepLines w:val="0"/>
              <w:pageBreakBefore w:val="0"/>
              <w:kinsoku/>
              <w:overflowPunct/>
              <w:topLinePunct w:val="0"/>
              <w:autoSpaceDE/>
              <w:autoSpaceDN/>
              <w:bidi w:val="0"/>
              <w:spacing w:line="360" w:lineRule="exact"/>
              <w:jc w:val="center"/>
              <w:rPr>
                <w:rFonts w:ascii="宋体" w:hAnsi="宋体" w:cs="宋体"/>
                <w:szCs w:val="21"/>
              </w:rPr>
            </w:pPr>
          </w:p>
        </w:tc>
        <w:tc>
          <w:tcPr>
            <w:tcW w:w="799" w:type="dxa"/>
            <w:tcBorders>
              <w:top w:val="single" w:color="auto" w:sz="4" w:space="0"/>
              <w:left w:val="single" w:color="auto" w:sz="4" w:space="0"/>
              <w:bottom w:val="single" w:color="auto" w:sz="4" w:space="0"/>
              <w:right w:val="single" w:color="auto" w:sz="4" w:space="0"/>
            </w:tcBorders>
            <w:vAlign w:val="center"/>
          </w:tcPr>
          <w:p w14:paraId="5C8A25F6">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同类项目业绩履约评价</w:t>
            </w:r>
          </w:p>
        </w:tc>
        <w:tc>
          <w:tcPr>
            <w:tcW w:w="708" w:type="dxa"/>
            <w:tcBorders>
              <w:top w:val="single" w:color="auto" w:sz="4" w:space="0"/>
              <w:left w:val="single" w:color="auto" w:sz="4" w:space="0"/>
              <w:bottom w:val="single" w:color="auto" w:sz="4" w:space="0"/>
              <w:right w:val="single" w:color="auto" w:sz="4" w:space="0"/>
            </w:tcBorders>
            <w:vAlign w:val="center"/>
          </w:tcPr>
          <w:p w14:paraId="1ED93C35">
            <w:pPr>
              <w:keepNext w:val="0"/>
              <w:keepLines w:val="0"/>
              <w:pageBreakBefore w:val="0"/>
              <w:kinsoku/>
              <w:overflowPunct/>
              <w:topLinePunct w:val="0"/>
              <w:autoSpaceDE/>
              <w:autoSpaceDN/>
              <w:bidi w:val="0"/>
              <w:spacing w:line="360" w:lineRule="exact"/>
              <w:jc w:val="center"/>
              <w:textAlignment w:val="center"/>
              <w:rPr>
                <w:rFonts w:hint="eastAsia" w:ascii="宋体" w:hAnsi="宋体" w:eastAsia="宋体" w:cs="宋体"/>
                <w:szCs w:val="21"/>
                <w:lang w:eastAsia="zh-CN"/>
              </w:rPr>
            </w:pPr>
            <w:r>
              <w:rPr>
                <w:rFonts w:hint="eastAsia" w:ascii="宋体" w:hAnsi="宋体" w:cs="宋体"/>
                <w:color w:val="000000"/>
                <w:kern w:val="0"/>
                <w:szCs w:val="21"/>
                <w:lang w:val="en-US" w:eastAsia="zh-CN"/>
              </w:rPr>
              <w:t>5</w:t>
            </w:r>
          </w:p>
        </w:tc>
        <w:tc>
          <w:tcPr>
            <w:tcW w:w="1089" w:type="dxa"/>
            <w:tcBorders>
              <w:top w:val="single" w:color="auto" w:sz="4" w:space="0"/>
              <w:left w:val="single" w:color="auto" w:sz="4" w:space="0"/>
              <w:bottom w:val="single" w:color="auto" w:sz="4" w:space="0"/>
              <w:right w:val="single" w:color="auto" w:sz="4" w:space="0"/>
            </w:tcBorders>
            <w:vAlign w:val="center"/>
          </w:tcPr>
          <w:p w14:paraId="65CF7162">
            <w:pPr>
              <w:keepNext w:val="0"/>
              <w:keepLines w:val="0"/>
              <w:pageBreakBefore w:val="0"/>
              <w:kinsoku/>
              <w:overflowPunct/>
              <w:topLinePunct w:val="0"/>
              <w:autoSpaceDE/>
              <w:autoSpaceDN/>
              <w:bidi w:val="0"/>
              <w:spacing w:line="360" w:lineRule="exact"/>
              <w:jc w:val="center"/>
              <w:rPr>
                <w:rFonts w:ascii="宋体" w:hAnsi="宋体" w:cs="宋体"/>
                <w:szCs w:val="21"/>
              </w:rPr>
            </w:pPr>
            <w:r>
              <w:rPr>
                <w:rFonts w:hint="eastAsia" w:ascii="宋体" w:hAnsi="宋体" w:cs="宋体"/>
                <w:szCs w:val="21"/>
              </w:rPr>
              <w:t>评委打分</w:t>
            </w:r>
          </w:p>
        </w:tc>
        <w:tc>
          <w:tcPr>
            <w:tcW w:w="5430" w:type="dxa"/>
            <w:tcBorders>
              <w:top w:val="single" w:color="auto" w:sz="4" w:space="0"/>
              <w:left w:val="single" w:color="auto" w:sz="4" w:space="0"/>
              <w:bottom w:val="single" w:color="auto" w:sz="4" w:space="0"/>
              <w:right w:val="single" w:color="auto" w:sz="4" w:space="0"/>
            </w:tcBorders>
            <w:vAlign w:val="center"/>
          </w:tcPr>
          <w:p w14:paraId="60E9B8A3">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投标人提供的符合上面</w:t>
            </w:r>
            <w:r>
              <w:rPr>
                <w:rFonts w:ascii="宋体" w:hAnsi="宋体" w:cs="宋体"/>
                <w:szCs w:val="21"/>
              </w:rPr>
              <w:t>“</w:t>
            </w:r>
            <w:r>
              <w:rPr>
                <w:rFonts w:hint="eastAsia" w:ascii="宋体" w:hAnsi="宋体" w:cs="宋体"/>
                <w:szCs w:val="21"/>
              </w:rPr>
              <w:t>同类项目业绩</w:t>
            </w:r>
            <w:r>
              <w:rPr>
                <w:rFonts w:ascii="宋体" w:hAnsi="宋体" w:cs="宋体"/>
                <w:szCs w:val="21"/>
              </w:rPr>
              <w:t>”</w:t>
            </w:r>
            <w:r>
              <w:rPr>
                <w:rFonts w:hint="eastAsia" w:ascii="宋体" w:hAnsi="宋体" w:cs="宋体"/>
                <w:szCs w:val="21"/>
              </w:rPr>
              <w:t>要求的项目业绩，经服务单位考核评价为优或满意的，每提供一项得</w:t>
            </w:r>
            <w:r>
              <w:rPr>
                <w:rFonts w:hint="default" w:ascii="宋体" w:hAnsi="宋体" w:cs="宋体"/>
                <w:szCs w:val="21"/>
                <w:lang w:val="en-US"/>
              </w:rPr>
              <w:t>0.5</w:t>
            </w:r>
            <w:r>
              <w:rPr>
                <w:rFonts w:hint="eastAsia" w:ascii="宋体" w:hAnsi="宋体" w:cs="宋体"/>
                <w:szCs w:val="21"/>
              </w:rPr>
              <w:t>分，满分</w:t>
            </w:r>
            <w:r>
              <w:rPr>
                <w:rFonts w:hint="eastAsia" w:ascii="宋体" w:hAnsi="宋体" w:cs="宋体"/>
                <w:szCs w:val="21"/>
                <w:lang w:val="en-US" w:eastAsia="zh-CN"/>
              </w:rPr>
              <w:t>5</w:t>
            </w:r>
            <w:r>
              <w:rPr>
                <w:rFonts w:hint="eastAsia" w:ascii="宋体" w:hAnsi="宋体" w:cs="宋体"/>
                <w:szCs w:val="21"/>
              </w:rPr>
              <w:t>分。</w:t>
            </w:r>
            <w:r>
              <w:rPr>
                <w:rFonts w:hint="eastAsia"/>
              </w:rPr>
              <w:t>同一项目获得多份履约评价的不可重复得分。</w:t>
            </w:r>
          </w:p>
          <w:p w14:paraId="26B488B8">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1.投标人须提供甲方盖章出具的考核评价为优或满意的相关证明文件复印件或扫描件加盖投标人公章，甲方盖章需与项目中标（成交）通知书、合同关键页中的保持一致，如未按要求提供证明资料的不计分。</w:t>
            </w:r>
          </w:p>
          <w:p w14:paraId="6E75FADC">
            <w:pPr>
              <w:keepNext w:val="0"/>
              <w:keepLines w:val="0"/>
              <w:pageBreakBefore w:val="0"/>
              <w:kinsoku/>
              <w:overflowPunct/>
              <w:topLinePunct w:val="0"/>
              <w:autoSpaceDE/>
              <w:autoSpaceDN/>
              <w:bidi w:val="0"/>
              <w:spacing w:line="360" w:lineRule="exact"/>
              <w:textAlignment w:val="center"/>
              <w:rPr>
                <w:rFonts w:ascii="宋体" w:hAnsi="宋体" w:cs="宋体"/>
                <w:szCs w:val="21"/>
              </w:rPr>
            </w:pPr>
            <w:r>
              <w:rPr>
                <w:rFonts w:hint="eastAsia" w:ascii="宋体" w:hAnsi="宋体" w:cs="宋体"/>
                <w:szCs w:val="21"/>
              </w:rPr>
              <w:t>2.投标人与同一单位同一项目的续签合同不重复记分，如涉及到需判断是否为同一单位同一项目续签的情形，投标人应提供能判别为非同一单位同一项目的证明材料，如中标（成交）通知书、合同关键页或合同甲方出具加盖合同甲方公章或业务章的证明材料，未提供或提供的材料无法判定的不得分。</w:t>
            </w:r>
          </w:p>
        </w:tc>
      </w:tr>
      <w:bookmarkEnd w:id="10"/>
    </w:tbl>
    <w:p w14:paraId="71470AF8">
      <w:pPr>
        <w:spacing w:line="360" w:lineRule="auto"/>
        <w:ind w:firstLine="424" w:firstLineChars="202"/>
        <w:rPr>
          <w:snapToGrid w:val="0"/>
          <w:kern w:val="0"/>
        </w:rPr>
      </w:pPr>
    </w:p>
    <w:p w14:paraId="201C69BA">
      <w:pPr>
        <w:pStyle w:val="2"/>
        <w:spacing w:before="0" w:after="0"/>
        <w:jc w:val="left"/>
        <w:rPr>
          <w:rFonts w:ascii="宋体" w:hAnsi="宋体"/>
          <w:bCs w:val="0"/>
          <w:sz w:val="21"/>
          <w:szCs w:val="21"/>
        </w:rPr>
      </w:pPr>
      <w:bookmarkStart w:id="11" w:name="_Toc171350582"/>
      <w:bookmarkStart w:id="12" w:name="_Toc44690430"/>
      <w:bookmarkStart w:id="13" w:name="_Toc44690703"/>
      <w:bookmarkStart w:id="14" w:name="_Toc44691162"/>
      <w:bookmarkStart w:id="15" w:name="_Toc44691394"/>
      <w:r>
        <w:rPr>
          <w:rFonts w:hint="eastAsia" w:ascii="宋体" w:hAnsi="宋体"/>
          <w:bCs w:val="0"/>
          <w:sz w:val="21"/>
          <w:szCs w:val="21"/>
        </w:rPr>
        <w:t>备注：</w:t>
      </w:r>
      <w:bookmarkEnd w:id="11"/>
      <w:bookmarkEnd w:id="12"/>
      <w:bookmarkEnd w:id="13"/>
      <w:bookmarkEnd w:id="14"/>
      <w:bookmarkEnd w:id="15"/>
    </w:p>
    <w:p w14:paraId="64DB626B">
      <w:pPr>
        <w:pStyle w:val="5"/>
        <w:spacing w:before="0" w:after="0"/>
      </w:pPr>
      <w:bookmarkStart w:id="16" w:name="_Toc171350583"/>
      <w:bookmarkStart w:id="17" w:name="_Toc135293327"/>
      <w:r>
        <w:rPr>
          <w:rFonts w:hint="eastAsia"/>
        </w:rPr>
        <w:t>1、资质证书有效期</w:t>
      </w:r>
      <w:bookmarkEnd w:id="16"/>
      <w:bookmarkEnd w:id="17"/>
    </w:p>
    <w:p w14:paraId="71942A40">
      <w:pPr>
        <w:spacing w:line="360" w:lineRule="auto"/>
        <w:ind w:firstLine="424" w:firstLineChars="202"/>
        <w:rPr>
          <w:rFonts w:ascii="宋体" w:hAnsi="宋体"/>
        </w:rPr>
      </w:pPr>
      <w:r>
        <w:rPr>
          <w:rFonts w:hint="eastAsia" w:ascii="宋体" w:hAnsi="宋体"/>
        </w:rPr>
        <w:t>本项目涉及提供的有关资质证书，若原有资质证书处于年审期间，须提供证书颁发部门提供的回执，并且回执须证明该证书依然有效（若在法规范围不需提供的，供应商应做书面说明并提供证明文件，否则该证书无效），则该投标人提供年审证明的可按原资质投标；若投标人正在申报上一级别资质，在未获批准之前，仍按原级别资质投标。</w:t>
      </w:r>
    </w:p>
    <w:p w14:paraId="0CB14C6C">
      <w:pPr>
        <w:adjustRightInd w:val="0"/>
        <w:spacing w:line="360" w:lineRule="exact"/>
        <w:rPr>
          <w:rFonts w:ascii="宋体" w:hAnsi="宋体"/>
          <w:b/>
        </w:rPr>
      </w:pPr>
    </w:p>
    <w:p w14:paraId="45F0C60C">
      <w:pPr>
        <w:pStyle w:val="5"/>
        <w:spacing w:before="0" w:after="0"/>
        <w:rPr>
          <w:rFonts w:ascii="宋体" w:hAnsi="宋体"/>
        </w:rPr>
      </w:pPr>
      <w:bookmarkStart w:id="18" w:name="_Toc135293328"/>
      <w:bookmarkStart w:id="19" w:name="_Toc171350584"/>
      <w:r>
        <w:rPr>
          <w:rFonts w:hint="eastAsia" w:ascii="宋体" w:hAnsi="宋体"/>
        </w:rPr>
        <w:t>2、政府采购扶持政策</w:t>
      </w:r>
      <w:bookmarkEnd w:id="18"/>
      <w:bookmarkEnd w:id="19"/>
    </w:p>
    <w:p w14:paraId="33398D41">
      <w:pPr>
        <w:spacing w:line="360" w:lineRule="auto"/>
        <w:ind w:firstLine="422" w:firstLineChars="200"/>
        <w:rPr>
          <w:rFonts w:ascii="宋体" w:hAnsi="宋体"/>
          <w:b/>
          <w:bCs/>
          <w:szCs w:val="22"/>
        </w:rPr>
      </w:pPr>
      <w:r>
        <w:rPr>
          <w:rFonts w:hint="eastAsia" w:ascii="宋体" w:hAnsi="宋体"/>
          <w:b/>
          <w:bCs/>
          <w:szCs w:val="22"/>
        </w:rPr>
        <w:t>A包：</w:t>
      </w:r>
    </w:p>
    <w:p w14:paraId="7EA21512">
      <w:pPr>
        <w:widowControl/>
        <w:spacing w:line="360" w:lineRule="auto"/>
        <w:ind w:firstLine="371" w:firstLineChars="177"/>
        <w:jc w:val="left"/>
        <w:rPr>
          <w:rFonts w:ascii="宋体" w:hAnsi="宋体" w:cs="仿宋"/>
          <w:szCs w:val="21"/>
        </w:rPr>
      </w:pPr>
      <w:r>
        <w:rPr>
          <w:rFonts w:hint="eastAsia" w:ascii="宋体" w:hAnsi="宋体" w:cs="MS Mincho"/>
          <w:kern w:val="0"/>
          <w:szCs w:val="21"/>
        </w:rPr>
        <w:t>属于</w:t>
      </w:r>
      <w:r>
        <w:rPr>
          <w:rFonts w:hint="eastAsia" w:ascii="Segoe UI Symbol" w:hAnsi="Segoe UI Symbol"/>
        </w:rPr>
        <w:t>未</w:t>
      </w:r>
      <w:r>
        <w:rPr>
          <w:rFonts w:hint="eastAsia" w:ascii="Calibri" w:hAnsi="宋体"/>
        </w:rPr>
        <w:t>预留份额专门面向中小企业采购的采购项目或采购包，</w:t>
      </w:r>
      <w:r>
        <w:rPr>
          <w:rFonts w:hint="eastAsia" w:ascii="宋体" w:hAnsi="宋体" w:cs="仿宋"/>
          <w:szCs w:val="21"/>
        </w:rPr>
        <w:t>执行以下价格评审优惠的扶持政策</w:t>
      </w:r>
      <w:r>
        <w:rPr>
          <w:rFonts w:hint="eastAsia" w:ascii="宋体" w:hAnsi="宋体"/>
          <w:szCs w:val="21"/>
        </w:rPr>
        <w:t>：</w:t>
      </w:r>
    </w:p>
    <w:p w14:paraId="3BE726F3">
      <w:pPr>
        <w:spacing w:line="360" w:lineRule="auto"/>
        <w:ind w:firstLine="424" w:firstLineChars="202"/>
        <w:rPr>
          <w:rFonts w:ascii="宋体" w:hAnsi="宋体"/>
          <w:szCs w:val="22"/>
        </w:rPr>
      </w:pPr>
      <w:r>
        <w:rPr>
          <w:rFonts w:hint="eastAsia" w:ascii="宋体" w:hAnsi="宋体"/>
          <w:szCs w:val="22"/>
        </w:rPr>
        <w:t>（1）根据</w:t>
      </w:r>
      <w:r>
        <w:rPr>
          <w:rFonts w:hint="eastAsia" w:ascii="宋体" w:hAnsi="宋体"/>
          <w:snapToGrid w:val="0"/>
          <w:szCs w:val="21"/>
        </w:rPr>
        <w:t>《财政部 工业和信息化部关于印发《政府采购促进中小企业发展管理办法》的通知》(财库〔2020〕46号)</w:t>
      </w:r>
      <w:r>
        <w:rPr>
          <w:rFonts w:hint="eastAsia" w:ascii="宋体" w:hAnsi="宋体"/>
          <w:szCs w:val="22"/>
        </w:rPr>
        <w:t>、《财政部 司法部关于政府采购支持监狱企业发展有关问题的通知》（财库〔2014〕68号）和《三部门联合发布关于促进残疾人就业政府采购政策的通知》（财库〔2017〕141号）的规定，对满足价格扣除条件且在投标文件中提交了符合政府采购扶持政策的证明材料的投标人，</w:t>
      </w:r>
      <w:r>
        <w:rPr>
          <w:rFonts w:hint="eastAsia" w:ascii="宋体" w:hAnsi="宋体"/>
          <w:b/>
          <w:szCs w:val="22"/>
        </w:rPr>
        <w:t>其投标报价扣除</w:t>
      </w:r>
      <w:r>
        <w:rPr>
          <w:rFonts w:hint="eastAsia" w:ascii="宋体" w:hAnsi="宋体"/>
          <w:b/>
          <w:szCs w:val="22"/>
          <w:u w:val="single"/>
        </w:rPr>
        <w:t xml:space="preserve"> 10  </w:t>
      </w:r>
      <w:r>
        <w:rPr>
          <w:rFonts w:hint="eastAsia" w:ascii="宋体" w:hAnsi="宋体"/>
          <w:b/>
          <w:szCs w:val="22"/>
        </w:rPr>
        <w:t>%（请在10%-20%范围内选择）后参与评审</w:t>
      </w:r>
      <w:r>
        <w:rPr>
          <w:rFonts w:hint="eastAsia" w:ascii="宋体" w:hAnsi="宋体"/>
          <w:szCs w:val="22"/>
        </w:rPr>
        <w:t>。</w:t>
      </w:r>
    </w:p>
    <w:p w14:paraId="64B1D23E">
      <w:pPr>
        <w:spacing w:after="60" w:line="360" w:lineRule="auto"/>
        <w:ind w:firstLine="424" w:firstLineChars="202"/>
        <w:rPr>
          <w:rFonts w:ascii="宋体" w:hAnsi="宋体"/>
          <w:szCs w:val="22"/>
        </w:rPr>
      </w:pPr>
      <w:r>
        <w:rPr>
          <w:rFonts w:hint="eastAsia" w:ascii="宋体" w:hAnsi="宋体"/>
          <w:szCs w:val="22"/>
        </w:rPr>
        <w:t>（2）如供应商为</w:t>
      </w:r>
      <w:r>
        <w:rPr>
          <w:rFonts w:hint="eastAsia" w:ascii="Calibri" w:hAnsi="宋体"/>
          <w:szCs w:val="22"/>
        </w:rPr>
        <w:t>监狱企业</w:t>
      </w:r>
      <w:r>
        <w:rPr>
          <w:rFonts w:hint="eastAsia" w:ascii="Calibri" w:hAnsi="宋体"/>
          <w:szCs w:val="21"/>
        </w:rPr>
        <w:t>或残疾人福利性单位，</w:t>
      </w:r>
      <w:r>
        <w:rPr>
          <w:rFonts w:hint="eastAsia" w:ascii="Calibri" w:hAnsi="宋体"/>
          <w:szCs w:val="22"/>
        </w:rPr>
        <w:t>视同</w:t>
      </w:r>
      <w:r>
        <w:rPr>
          <w:rFonts w:hint="eastAsia" w:ascii="宋体" w:hAnsi="宋体"/>
          <w:szCs w:val="22"/>
        </w:rPr>
        <w:t>小型、微型企业，</w:t>
      </w:r>
      <w:r>
        <w:rPr>
          <w:rFonts w:hint="eastAsia" w:ascii="Calibri" w:hAnsi="宋体"/>
          <w:szCs w:val="22"/>
        </w:rPr>
        <w:t>享受以上预留份额、评审中价格扣除等政府采购促进中小企业发展的政府采购政策；</w:t>
      </w:r>
      <w:r>
        <w:rPr>
          <w:rFonts w:hint="eastAsia" w:ascii="宋体" w:hAnsi="宋体"/>
          <w:szCs w:val="22"/>
        </w:rPr>
        <w:t>对于同时属于小型、微型企业、监狱企业或残疾人福利性单位的供应商，不重复享受政策。</w:t>
      </w:r>
    </w:p>
    <w:p w14:paraId="4AF34973">
      <w:pPr>
        <w:spacing w:after="60" w:line="360" w:lineRule="auto"/>
        <w:ind w:firstLine="424" w:firstLineChars="202"/>
        <w:rPr>
          <w:rFonts w:ascii="宋体" w:hAnsi="宋体"/>
          <w:szCs w:val="22"/>
        </w:rPr>
      </w:pPr>
      <w:r>
        <w:rPr>
          <w:rFonts w:hint="eastAsia" w:ascii="宋体" w:hAnsi="宋体"/>
          <w:szCs w:val="22"/>
        </w:rPr>
        <w:t>（3）优惠主体资格的认定资料为《中小企业声明函》、《残疾人福利性单位声明函》以及《监狱企业声明函》等承诺性质的资料；监狱企业或者代理提供监狱企业货物的供应商如需享受优惠政策，除上述资料外，还须提供省级以上监狱管理局、戒毒管理局出具的监狱企业证明文件。</w:t>
      </w:r>
    </w:p>
    <w:p w14:paraId="16196B63">
      <w:pPr>
        <w:spacing w:line="360" w:lineRule="auto"/>
        <w:ind w:firstLine="422" w:firstLineChars="200"/>
        <w:rPr>
          <w:rFonts w:ascii="宋体" w:hAnsi="宋体"/>
          <w:b/>
          <w:bCs/>
          <w:szCs w:val="22"/>
        </w:rPr>
      </w:pPr>
      <w:r>
        <w:rPr>
          <w:rFonts w:hint="eastAsia" w:ascii="宋体" w:hAnsi="宋体"/>
          <w:b/>
          <w:bCs/>
          <w:szCs w:val="22"/>
        </w:rPr>
        <w:t>B包：</w:t>
      </w:r>
    </w:p>
    <w:p w14:paraId="2BCDB7FB">
      <w:pPr>
        <w:spacing w:line="360" w:lineRule="auto"/>
        <w:ind w:firstLine="371" w:firstLineChars="177"/>
        <w:rPr>
          <w:rFonts w:ascii="宋体" w:hAnsi="宋体" w:cs="仿宋"/>
          <w:szCs w:val="21"/>
        </w:rPr>
      </w:pPr>
      <w:r>
        <w:rPr>
          <w:rFonts w:hint="eastAsia" w:ascii="宋体" w:hAnsi="宋体"/>
          <w:szCs w:val="21"/>
        </w:rPr>
        <w:t>属于</w:t>
      </w:r>
      <w:r>
        <w:rPr>
          <w:rFonts w:hint="eastAsia" w:ascii="Calibri" w:hAnsi="宋体"/>
        </w:rPr>
        <w:t>预留份额专门面向中小企业采购的采购项目或采购包</w:t>
      </w:r>
      <w:r>
        <w:rPr>
          <w:rFonts w:hint="eastAsia" w:ascii="宋体" w:hAnsi="宋体" w:cs="仿宋"/>
          <w:szCs w:val="21"/>
        </w:rPr>
        <w:t>，不执行价格评审优惠的扶持政策。</w:t>
      </w:r>
    </w:p>
    <w:p w14:paraId="0ED5A55E">
      <w:pPr>
        <w:spacing w:after="60" w:line="360" w:lineRule="auto"/>
        <w:ind w:firstLine="424" w:firstLineChars="202"/>
        <w:rPr>
          <w:rFonts w:ascii="宋体" w:hAnsi="宋体"/>
          <w:szCs w:val="22"/>
        </w:rPr>
      </w:pPr>
    </w:p>
    <w:p w14:paraId="42B41C63">
      <w:pPr>
        <w:spacing w:line="360" w:lineRule="auto"/>
        <w:ind w:firstLine="422" w:firstLineChars="200"/>
        <w:rPr>
          <w:rFonts w:ascii="宋体" w:hAnsi="宋体"/>
          <w:b/>
          <w:bCs/>
          <w:szCs w:val="22"/>
        </w:rPr>
      </w:pPr>
      <w:r>
        <w:rPr>
          <w:rFonts w:hint="eastAsia" w:ascii="宋体" w:hAnsi="宋体"/>
          <w:b/>
          <w:bCs/>
          <w:szCs w:val="22"/>
        </w:rPr>
        <w:t>（三）其他规定</w:t>
      </w:r>
    </w:p>
    <w:p w14:paraId="5F13A3C2">
      <w:pPr>
        <w:adjustRightInd w:val="0"/>
        <w:spacing w:line="360" w:lineRule="auto"/>
        <w:ind w:firstLine="210" w:firstLineChars="100"/>
        <w:rPr>
          <w:rFonts w:ascii="宋体" w:hAnsi="宋体"/>
          <w:szCs w:val="21"/>
        </w:rPr>
      </w:pPr>
      <w:r>
        <w:rPr>
          <w:rFonts w:hint="eastAsia" w:ascii="宋体" w:hAnsi="宋体"/>
          <w:szCs w:val="21"/>
        </w:rPr>
        <w:t>（1）根据《财库〔2012〕69号财政部关于进一步规范政府采购评审工作有关问题的通知》的规定，评审委员会要在采购项目招标失败时，出具招标文件是否存在不合理条款的论证意见，论证意见写进评审报告中。</w:t>
      </w:r>
    </w:p>
    <w:p w14:paraId="568FFEE1">
      <w:pPr>
        <w:pStyle w:val="21"/>
        <w:rPr>
          <w:snapToGrid w:val="0"/>
          <w:color w:val="FF0000"/>
          <w:kern w:val="0"/>
        </w:rPr>
      </w:pPr>
    </w:p>
    <w:p w14:paraId="5495035F">
      <w:pPr>
        <w:pStyle w:val="3"/>
        <w:sectPr>
          <w:pgSz w:w="11906" w:h="16838"/>
          <w:pgMar w:top="1134" w:right="1134" w:bottom="1134" w:left="1134" w:header="851" w:footer="992" w:gutter="0"/>
          <w:cols w:space="720" w:num="1"/>
          <w:titlePg/>
          <w:docGrid w:type="lines" w:linePitch="312" w:charSpace="0"/>
        </w:sectPr>
      </w:pPr>
      <w:bookmarkStart w:id="20" w:name="_Toc171350585"/>
    </w:p>
    <w:p w14:paraId="53C7A25E">
      <w:pPr>
        <w:pStyle w:val="3"/>
      </w:pPr>
      <w:r>
        <w:rPr>
          <w:rFonts w:hint="eastAsia"/>
        </w:rPr>
        <w:t>第五章  投标人须知前附表</w:t>
      </w:r>
      <w:bookmarkEnd w:id="20"/>
    </w:p>
    <w:p w14:paraId="603E51F2">
      <w:pPr>
        <w:autoSpaceDE w:val="0"/>
        <w:autoSpaceDN w:val="0"/>
        <w:adjustRightInd w:val="0"/>
        <w:spacing w:line="360" w:lineRule="auto"/>
        <w:ind w:firstLine="480" w:firstLineChars="200"/>
        <w:jc w:val="left"/>
      </w:pPr>
      <w:r>
        <w:rPr>
          <w:rFonts w:hint="eastAsia" w:ascii="仿宋_GB2312" w:eastAsia="仿宋_GB2312"/>
          <w:sz w:val="24"/>
        </w:rPr>
        <w:t>投标人须知前附表（以下简称“前附表”）是对招标文件第六章“投标人须知”的具体补充和说明，投标人须知和前附表有不一致之处，应以前附表为准。前附表的条款号与投标人须知条款号是一一对应的关系。</w:t>
      </w:r>
    </w:p>
    <w:tbl>
      <w:tblPr>
        <w:tblStyle w:val="50"/>
        <w:tblW w:w="1022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38"/>
        <w:gridCol w:w="1843"/>
        <w:gridCol w:w="6520"/>
      </w:tblGrid>
      <w:tr w14:paraId="1E530B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6325CDBB">
            <w:pPr>
              <w:pStyle w:val="27"/>
              <w:spacing w:line="360" w:lineRule="auto"/>
              <w:jc w:val="center"/>
              <w:rPr>
                <w:rFonts w:hAnsi="宋体"/>
              </w:rPr>
            </w:pPr>
            <w:r>
              <w:rPr>
                <w:rFonts w:hint="eastAsia" w:hAnsi="宋体"/>
              </w:rPr>
              <w:t>项号</w:t>
            </w:r>
          </w:p>
        </w:tc>
        <w:tc>
          <w:tcPr>
            <w:tcW w:w="1038" w:type="dxa"/>
            <w:vAlign w:val="center"/>
          </w:tcPr>
          <w:p w14:paraId="01EDCE25">
            <w:pPr>
              <w:pStyle w:val="27"/>
              <w:spacing w:line="360" w:lineRule="auto"/>
              <w:jc w:val="center"/>
              <w:rPr>
                <w:rFonts w:hAnsi="宋体"/>
              </w:rPr>
            </w:pPr>
            <w:r>
              <w:rPr>
                <w:rFonts w:hint="eastAsia" w:hAnsi="宋体"/>
              </w:rPr>
              <w:t>条款号</w:t>
            </w:r>
          </w:p>
        </w:tc>
        <w:tc>
          <w:tcPr>
            <w:tcW w:w="1843" w:type="dxa"/>
            <w:vAlign w:val="center"/>
          </w:tcPr>
          <w:p w14:paraId="7596F468">
            <w:pPr>
              <w:pStyle w:val="27"/>
              <w:spacing w:line="360" w:lineRule="auto"/>
              <w:jc w:val="center"/>
              <w:rPr>
                <w:rFonts w:hAnsi="宋体"/>
              </w:rPr>
            </w:pPr>
            <w:r>
              <w:rPr>
                <w:rFonts w:hint="eastAsia" w:hAnsi="宋体"/>
              </w:rPr>
              <w:t>内容</w:t>
            </w:r>
          </w:p>
        </w:tc>
        <w:tc>
          <w:tcPr>
            <w:tcW w:w="6520" w:type="dxa"/>
          </w:tcPr>
          <w:p w14:paraId="453B1BCB">
            <w:pPr>
              <w:pStyle w:val="27"/>
              <w:spacing w:line="360" w:lineRule="auto"/>
              <w:jc w:val="center"/>
              <w:rPr>
                <w:rFonts w:hAnsi="宋体"/>
              </w:rPr>
            </w:pPr>
            <w:r>
              <w:rPr>
                <w:rFonts w:hint="eastAsia" w:hAnsi="宋体"/>
              </w:rPr>
              <w:t>内容规定</w:t>
            </w:r>
          </w:p>
        </w:tc>
      </w:tr>
      <w:tr w14:paraId="4EA5E4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52E5FEC1">
            <w:pPr>
              <w:pStyle w:val="27"/>
              <w:spacing w:line="360" w:lineRule="auto"/>
              <w:jc w:val="center"/>
              <w:rPr>
                <w:rFonts w:hAnsi="宋体"/>
              </w:rPr>
            </w:pPr>
            <w:r>
              <w:rPr>
                <w:rFonts w:hAnsi="宋体"/>
              </w:rPr>
              <w:t>1</w:t>
            </w:r>
          </w:p>
        </w:tc>
        <w:tc>
          <w:tcPr>
            <w:tcW w:w="1038" w:type="dxa"/>
            <w:vAlign w:val="center"/>
          </w:tcPr>
          <w:p w14:paraId="0B0F20C9">
            <w:pPr>
              <w:pStyle w:val="27"/>
              <w:spacing w:line="360" w:lineRule="auto"/>
              <w:jc w:val="center"/>
              <w:rPr>
                <w:rFonts w:hAnsi="宋体"/>
              </w:rPr>
            </w:pPr>
            <w:r>
              <w:rPr>
                <w:rFonts w:hAnsi="宋体"/>
              </w:rPr>
              <w:t>1.1</w:t>
            </w:r>
          </w:p>
        </w:tc>
        <w:tc>
          <w:tcPr>
            <w:tcW w:w="1843" w:type="dxa"/>
            <w:vAlign w:val="center"/>
          </w:tcPr>
          <w:p w14:paraId="6A9EA5F0">
            <w:pPr>
              <w:pStyle w:val="27"/>
              <w:spacing w:line="360" w:lineRule="exact"/>
              <w:jc w:val="center"/>
              <w:rPr>
                <w:rFonts w:hAnsi="宋体"/>
              </w:rPr>
            </w:pPr>
            <w:r>
              <w:rPr>
                <w:rFonts w:hint="eastAsia" w:hAnsi="宋体"/>
              </w:rPr>
              <w:t>项目名称</w:t>
            </w:r>
          </w:p>
        </w:tc>
        <w:tc>
          <w:tcPr>
            <w:tcW w:w="6520" w:type="dxa"/>
            <w:vAlign w:val="center"/>
          </w:tcPr>
          <w:p w14:paraId="70677715">
            <w:pPr>
              <w:pStyle w:val="27"/>
              <w:spacing w:line="360" w:lineRule="exact"/>
            </w:pPr>
            <w:r>
              <w:rPr>
                <w:rFonts w:hint="eastAsia"/>
              </w:rPr>
              <w:t>深圳海关辅助执法作业服务项目（东部、西部片区）</w:t>
            </w:r>
          </w:p>
        </w:tc>
      </w:tr>
      <w:tr w14:paraId="234010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27631C8F">
            <w:pPr>
              <w:pStyle w:val="27"/>
              <w:spacing w:line="360" w:lineRule="auto"/>
              <w:jc w:val="center"/>
              <w:rPr>
                <w:rFonts w:hAnsi="宋体"/>
              </w:rPr>
            </w:pPr>
            <w:r>
              <w:rPr>
                <w:rFonts w:hint="eastAsia" w:hAnsi="宋体"/>
              </w:rPr>
              <w:t>2</w:t>
            </w:r>
          </w:p>
        </w:tc>
        <w:tc>
          <w:tcPr>
            <w:tcW w:w="1038" w:type="dxa"/>
            <w:vAlign w:val="center"/>
          </w:tcPr>
          <w:p w14:paraId="7D444362">
            <w:pPr>
              <w:pStyle w:val="27"/>
              <w:spacing w:line="360" w:lineRule="auto"/>
              <w:jc w:val="center"/>
              <w:rPr>
                <w:rFonts w:hAnsi="宋体"/>
              </w:rPr>
            </w:pPr>
            <w:r>
              <w:rPr>
                <w:rFonts w:hAnsi="宋体"/>
              </w:rPr>
              <w:t>2.1</w:t>
            </w:r>
          </w:p>
        </w:tc>
        <w:tc>
          <w:tcPr>
            <w:tcW w:w="1843" w:type="dxa"/>
            <w:vAlign w:val="center"/>
          </w:tcPr>
          <w:p w14:paraId="27CBE0E7">
            <w:pPr>
              <w:pStyle w:val="27"/>
              <w:spacing w:line="360" w:lineRule="exact"/>
              <w:jc w:val="center"/>
              <w:rPr>
                <w:rFonts w:hAnsi="宋体"/>
              </w:rPr>
            </w:pPr>
            <w:r>
              <w:rPr>
                <w:rFonts w:hint="eastAsia" w:hAnsi="宋体"/>
              </w:rPr>
              <w:t>采购人</w:t>
            </w:r>
          </w:p>
        </w:tc>
        <w:tc>
          <w:tcPr>
            <w:tcW w:w="6520" w:type="dxa"/>
            <w:vAlign w:val="center"/>
          </w:tcPr>
          <w:p w14:paraId="078E81F2">
            <w:pPr>
              <w:rPr>
                <w:rFonts w:hAnsi="宋体"/>
              </w:rPr>
            </w:pPr>
            <w:r>
              <w:rPr>
                <w:rFonts w:hint="eastAsia" w:hAnsi="宋体"/>
              </w:rPr>
              <w:t>中华人民共和国深圳海关</w:t>
            </w:r>
          </w:p>
        </w:tc>
      </w:tr>
      <w:tr w14:paraId="3028BA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37DF0360">
            <w:pPr>
              <w:pStyle w:val="27"/>
              <w:spacing w:line="360" w:lineRule="auto"/>
              <w:jc w:val="center"/>
              <w:rPr>
                <w:rFonts w:hAnsi="宋体"/>
              </w:rPr>
            </w:pPr>
            <w:r>
              <w:rPr>
                <w:rFonts w:hint="eastAsia" w:hAnsi="宋体"/>
              </w:rPr>
              <w:t>3</w:t>
            </w:r>
          </w:p>
        </w:tc>
        <w:tc>
          <w:tcPr>
            <w:tcW w:w="1038" w:type="dxa"/>
            <w:vAlign w:val="center"/>
          </w:tcPr>
          <w:p w14:paraId="2738030E">
            <w:pPr>
              <w:pStyle w:val="27"/>
              <w:spacing w:line="360" w:lineRule="auto"/>
              <w:jc w:val="center"/>
              <w:rPr>
                <w:rFonts w:hAnsi="宋体"/>
              </w:rPr>
            </w:pPr>
            <w:r>
              <w:rPr>
                <w:rFonts w:hAnsi="宋体"/>
              </w:rPr>
              <w:t>2.2</w:t>
            </w:r>
          </w:p>
        </w:tc>
        <w:tc>
          <w:tcPr>
            <w:tcW w:w="1843" w:type="dxa"/>
            <w:vAlign w:val="center"/>
          </w:tcPr>
          <w:p w14:paraId="5E2E41D1">
            <w:pPr>
              <w:pStyle w:val="27"/>
              <w:spacing w:line="360" w:lineRule="exact"/>
              <w:jc w:val="center"/>
              <w:rPr>
                <w:rFonts w:hAnsi="宋体"/>
              </w:rPr>
            </w:pPr>
            <w:r>
              <w:rPr>
                <w:rFonts w:hint="eastAsia" w:hAnsi="宋体"/>
              </w:rPr>
              <w:t>采购代理机构</w:t>
            </w:r>
          </w:p>
        </w:tc>
        <w:tc>
          <w:tcPr>
            <w:tcW w:w="6520" w:type="dxa"/>
            <w:vAlign w:val="center"/>
          </w:tcPr>
          <w:p w14:paraId="701EC8BA">
            <w:pPr>
              <w:pStyle w:val="27"/>
              <w:spacing w:line="360" w:lineRule="exact"/>
              <w:rPr>
                <w:rFonts w:hAnsi="宋体"/>
              </w:rPr>
            </w:pPr>
            <w:r>
              <w:rPr>
                <w:rFonts w:hAnsi="宋体"/>
              </w:rPr>
              <w:t>深圳市中正招标有限公司</w:t>
            </w:r>
          </w:p>
        </w:tc>
      </w:tr>
      <w:tr w14:paraId="61AD9E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28" w:type="dxa"/>
            <w:vAlign w:val="center"/>
          </w:tcPr>
          <w:p w14:paraId="3DE2C6CF">
            <w:pPr>
              <w:pStyle w:val="27"/>
              <w:spacing w:line="360" w:lineRule="auto"/>
              <w:jc w:val="center"/>
              <w:rPr>
                <w:rFonts w:hAnsi="宋体"/>
              </w:rPr>
            </w:pPr>
            <w:r>
              <w:rPr>
                <w:rFonts w:hint="eastAsia" w:hAnsi="宋体"/>
              </w:rPr>
              <w:t>4</w:t>
            </w:r>
          </w:p>
        </w:tc>
        <w:tc>
          <w:tcPr>
            <w:tcW w:w="1038" w:type="dxa"/>
            <w:vAlign w:val="center"/>
          </w:tcPr>
          <w:p w14:paraId="2FC148CE">
            <w:pPr>
              <w:pStyle w:val="27"/>
              <w:spacing w:line="360" w:lineRule="auto"/>
              <w:jc w:val="center"/>
              <w:rPr>
                <w:rFonts w:hAnsi="宋体"/>
              </w:rPr>
            </w:pPr>
            <w:r>
              <w:rPr>
                <w:rFonts w:hint="eastAsia" w:hAnsi="宋体"/>
              </w:rPr>
              <w:t>3.1</w:t>
            </w:r>
          </w:p>
        </w:tc>
        <w:tc>
          <w:tcPr>
            <w:tcW w:w="1843" w:type="dxa"/>
            <w:vAlign w:val="center"/>
          </w:tcPr>
          <w:p w14:paraId="276333A5">
            <w:pPr>
              <w:pStyle w:val="27"/>
              <w:spacing w:line="360" w:lineRule="exact"/>
              <w:jc w:val="center"/>
              <w:rPr>
                <w:rFonts w:hAnsi="宋体"/>
              </w:rPr>
            </w:pPr>
            <w:r>
              <w:rPr>
                <w:rFonts w:hint="eastAsia" w:hAnsi="宋体"/>
              </w:rPr>
              <w:t>资金来源</w:t>
            </w:r>
          </w:p>
        </w:tc>
        <w:tc>
          <w:tcPr>
            <w:tcW w:w="6520" w:type="dxa"/>
            <w:vAlign w:val="center"/>
          </w:tcPr>
          <w:p w14:paraId="7803D41F">
            <w:pPr>
              <w:pStyle w:val="27"/>
              <w:spacing w:line="360" w:lineRule="exact"/>
              <w:rPr>
                <w:rFonts w:hAnsi="宋体"/>
              </w:rPr>
            </w:pPr>
            <w:r>
              <w:rPr>
                <w:rFonts w:hint="eastAsia" w:hAnsi="宋体"/>
              </w:rPr>
              <w:t>财政资金</w:t>
            </w:r>
          </w:p>
        </w:tc>
      </w:tr>
      <w:tr w14:paraId="069BA6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28" w:type="dxa"/>
            <w:vAlign w:val="center"/>
          </w:tcPr>
          <w:p w14:paraId="1B53CA5D">
            <w:pPr>
              <w:pStyle w:val="27"/>
              <w:spacing w:line="360" w:lineRule="auto"/>
              <w:jc w:val="center"/>
              <w:rPr>
                <w:rFonts w:hAnsi="宋体"/>
              </w:rPr>
            </w:pPr>
            <w:r>
              <w:rPr>
                <w:rFonts w:hint="eastAsia" w:hAnsi="宋体"/>
              </w:rPr>
              <w:t>5</w:t>
            </w:r>
          </w:p>
        </w:tc>
        <w:tc>
          <w:tcPr>
            <w:tcW w:w="1038" w:type="dxa"/>
            <w:vAlign w:val="center"/>
          </w:tcPr>
          <w:p w14:paraId="6A9F4326">
            <w:pPr>
              <w:pStyle w:val="27"/>
              <w:spacing w:line="360" w:lineRule="auto"/>
              <w:jc w:val="center"/>
              <w:rPr>
                <w:rFonts w:hAnsi="宋体"/>
              </w:rPr>
            </w:pPr>
            <w:r>
              <w:rPr>
                <w:rFonts w:hint="eastAsia" w:hAnsi="宋体"/>
              </w:rPr>
              <w:t>4.7</w:t>
            </w:r>
          </w:p>
        </w:tc>
        <w:tc>
          <w:tcPr>
            <w:tcW w:w="1843" w:type="dxa"/>
            <w:vAlign w:val="center"/>
          </w:tcPr>
          <w:p w14:paraId="211CCDFD">
            <w:pPr>
              <w:pStyle w:val="27"/>
              <w:spacing w:line="360" w:lineRule="auto"/>
              <w:jc w:val="center"/>
              <w:rPr>
                <w:rFonts w:hAnsi="宋体"/>
              </w:rPr>
            </w:pPr>
            <w:r>
              <w:rPr>
                <w:rFonts w:hint="eastAsia" w:hAnsi="宋体"/>
              </w:rPr>
              <w:t>投标人资格要求</w:t>
            </w:r>
          </w:p>
        </w:tc>
        <w:tc>
          <w:tcPr>
            <w:tcW w:w="6520" w:type="dxa"/>
            <w:vAlign w:val="center"/>
          </w:tcPr>
          <w:p w14:paraId="05671C05">
            <w:pPr>
              <w:pStyle w:val="27"/>
              <w:spacing w:line="300" w:lineRule="auto"/>
              <w:rPr>
                <w:rFonts w:hAnsi="宋体"/>
                <w:szCs w:val="21"/>
              </w:rPr>
            </w:pPr>
            <w:r>
              <w:rPr>
                <w:rFonts w:hint="eastAsia" w:hAnsi="宋体"/>
                <w:szCs w:val="21"/>
              </w:rPr>
              <w:t>详见《第一章 投标邀请》“申请人的资格要求”</w:t>
            </w:r>
          </w:p>
          <w:p w14:paraId="1F5A3526">
            <w:pPr>
              <w:pStyle w:val="27"/>
              <w:spacing w:line="360" w:lineRule="auto"/>
              <w:rPr>
                <w:rFonts w:hAnsi="宋体"/>
                <w:b/>
                <w:bCs/>
                <w:szCs w:val="21"/>
              </w:rPr>
            </w:pPr>
            <w:r>
              <w:rPr>
                <w:rFonts w:hint="eastAsia" w:hAnsi="宋体"/>
                <w:b/>
                <w:bCs/>
                <w:szCs w:val="21"/>
              </w:rPr>
              <w:t>（投标人资格证明文件详见第七章 投标文件格式）</w:t>
            </w:r>
          </w:p>
        </w:tc>
      </w:tr>
      <w:tr w14:paraId="0B47C2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14:paraId="61731864">
            <w:pPr>
              <w:pStyle w:val="27"/>
              <w:spacing w:line="360" w:lineRule="auto"/>
              <w:jc w:val="center"/>
              <w:rPr>
                <w:rFonts w:hAnsi="宋体"/>
              </w:rPr>
            </w:pPr>
            <w:r>
              <w:rPr>
                <w:rFonts w:hint="eastAsia" w:hAnsi="宋体"/>
              </w:rPr>
              <w:t>6</w:t>
            </w:r>
          </w:p>
        </w:tc>
        <w:tc>
          <w:tcPr>
            <w:tcW w:w="1038" w:type="dxa"/>
            <w:vAlign w:val="center"/>
          </w:tcPr>
          <w:p w14:paraId="02340E8F">
            <w:pPr>
              <w:pStyle w:val="27"/>
              <w:spacing w:line="360" w:lineRule="auto"/>
              <w:jc w:val="center"/>
              <w:rPr>
                <w:rFonts w:hAnsi="宋体"/>
              </w:rPr>
            </w:pPr>
            <w:r>
              <w:rPr>
                <w:rFonts w:hint="eastAsia" w:hAnsi="宋体"/>
              </w:rPr>
              <w:t>4.8</w:t>
            </w:r>
          </w:p>
        </w:tc>
        <w:tc>
          <w:tcPr>
            <w:tcW w:w="1843" w:type="dxa"/>
            <w:vAlign w:val="center"/>
          </w:tcPr>
          <w:p w14:paraId="3E293807">
            <w:pPr>
              <w:pStyle w:val="27"/>
              <w:spacing w:line="360" w:lineRule="auto"/>
              <w:jc w:val="center"/>
              <w:rPr>
                <w:rFonts w:hAnsi="宋体"/>
              </w:rPr>
            </w:pPr>
            <w:r>
              <w:rPr>
                <w:rFonts w:hint="eastAsia" w:hAnsi="宋体"/>
              </w:rPr>
              <w:t>联合体投标</w:t>
            </w:r>
          </w:p>
        </w:tc>
        <w:tc>
          <w:tcPr>
            <w:tcW w:w="6520" w:type="dxa"/>
          </w:tcPr>
          <w:p w14:paraId="6A82D111">
            <w:pPr>
              <w:pStyle w:val="27"/>
              <w:spacing w:line="360" w:lineRule="auto"/>
              <w:rPr>
                <w:rFonts w:hAnsi="宋体"/>
              </w:rPr>
            </w:pPr>
            <w:r>
              <w:rPr>
                <w:rFonts w:hint="eastAsia" w:hAnsi="宋体"/>
              </w:rPr>
              <w:t>不接受</w:t>
            </w:r>
          </w:p>
        </w:tc>
      </w:tr>
      <w:tr w14:paraId="2C2AD1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14:paraId="3F9072E8">
            <w:pPr>
              <w:pStyle w:val="27"/>
              <w:spacing w:line="360" w:lineRule="auto"/>
              <w:jc w:val="center"/>
              <w:rPr>
                <w:rFonts w:hAnsi="宋体"/>
              </w:rPr>
            </w:pPr>
            <w:r>
              <w:rPr>
                <w:rFonts w:hint="eastAsia" w:hAnsi="宋体"/>
              </w:rPr>
              <w:t>7</w:t>
            </w:r>
          </w:p>
        </w:tc>
        <w:tc>
          <w:tcPr>
            <w:tcW w:w="1038" w:type="dxa"/>
            <w:vAlign w:val="center"/>
          </w:tcPr>
          <w:p w14:paraId="297F9429">
            <w:pPr>
              <w:pStyle w:val="27"/>
              <w:spacing w:line="360" w:lineRule="auto"/>
              <w:jc w:val="center"/>
              <w:rPr>
                <w:rFonts w:hAnsi="宋体"/>
              </w:rPr>
            </w:pPr>
            <w:r>
              <w:rPr>
                <w:rFonts w:hint="eastAsia" w:hAnsi="宋体"/>
              </w:rPr>
              <w:t>6.1</w:t>
            </w:r>
          </w:p>
        </w:tc>
        <w:tc>
          <w:tcPr>
            <w:tcW w:w="1843" w:type="dxa"/>
            <w:vAlign w:val="center"/>
          </w:tcPr>
          <w:p w14:paraId="3EDC8DD8">
            <w:pPr>
              <w:pStyle w:val="27"/>
              <w:spacing w:line="360" w:lineRule="auto"/>
              <w:jc w:val="center"/>
              <w:rPr>
                <w:rFonts w:hAnsi="宋体"/>
              </w:rPr>
            </w:pPr>
            <w:r>
              <w:rPr>
                <w:rFonts w:hint="eastAsia" w:hAnsi="宋体"/>
              </w:rPr>
              <w:t>踏勘现场</w:t>
            </w:r>
          </w:p>
        </w:tc>
        <w:tc>
          <w:tcPr>
            <w:tcW w:w="6520" w:type="dxa"/>
          </w:tcPr>
          <w:p w14:paraId="5D9EE7F6">
            <w:pPr>
              <w:pStyle w:val="27"/>
              <w:spacing w:line="360" w:lineRule="auto"/>
              <w:rPr>
                <w:rFonts w:hAnsi="宋体"/>
              </w:rPr>
            </w:pPr>
            <w:r>
              <w:rPr>
                <w:rFonts w:hint="eastAsia" w:hAnsi="宋体"/>
              </w:rPr>
              <w:t>不统一组织</w:t>
            </w:r>
            <w:r>
              <w:rPr>
                <w:rFonts w:hint="eastAsia"/>
                <w:snapToGrid w:val="0"/>
              </w:rPr>
              <w:t>。</w:t>
            </w:r>
          </w:p>
        </w:tc>
      </w:tr>
      <w:tr w14:paraId="2499B2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14:paraId="4A9C6EE2">
            <w:pPr>
              <w:pStyle w:val="27"/>
              <w:spacing w:line="360" w:lineRule="auto"/>
              <w:jc w:val="center"/>
              <w:rPr>
                <w:rFonts w:hAnsi="宋体"/>
              </w:rPr>
            </w:pPr>
            <w:r>
              <w:rPr>
                <w:rFonts w:hint="eastAsia" w:hAnsi="宋体"/>
              </w:rPr>
              <w:t>8</w:t>
            </w:r>
          </w:p>
        </w:tc>
        <w:tc>
          <w:tcPr>
            <w:tcW w:w="1038" w:type="dxa"/>
            <w:vAlign w:val="center"/>
          </w:tcPr>
          <w:p w14:paraId="3268A77F">
            <w:pPr>
              <w:pStyle w:val="27"/>
              <w:spacing w:line="360" w:lineRule="auto"/>
              <w:jc w:val="center"/>
              <w:rPr>
                <w:rFonts w:hAnsi="宋体"/>
              </w:rPr>
            </w:pPr>
            <w:r>
              <w:rPr>
                <w:rFonts w:hAnsi="宋体"/>
              </w:rPr>
              <w:t>1</w:t>
            </w:r>
            <w:r>
              <w:rPr>
                <w:rFonts w:hint="eastAsia" w:hAnsi="宋体"/>
              </w:rPr>
              <w:t>4</w:t>
            </w:r>
            <w:r>
              <w:rPr>
                <w:rFonts w:hAnsi="宋体"/>
              </w:rPr>
              <w:t>.1</w:t>
            </w:r>
          </w:p>
        </w:tc>
        <w:tc>
          <w:tcPr>
            <w:tcW w:w="1843" w:type="dxa"/>
            <w:vAlign w:val="center"/>
          </w:tcPr>
          <w:p w14:paraId="34087447">
            <w:pPr>
              <w:pStyle w:val="27"/>
              <w:spacing w:line="360" w:lineRule="auto"/>
              <w:jc w:val="center"/>
              <w:rPr>
                <w:rFonts w:hAnsi="宋体"/>
              </w:rPr>
            </w:pPr>
            <w:r>
              <w:rPr>
                <w:rFonts w:hint="eastAsia" w:hAnsi="宋体"/>
              </w:rPr>
              <w:t>投标有效期</w:t>
            </w:r>
          </w:p>
        </w:tc>
        <w:tc>
          <w:tcPr>
            <w:tcW w:w="6520" w:type="dxa"/>
          </w:tcPr>
          <w:p w14:paraId="07F62C03">
            <w:pPr>
              <w:pStyle w:val="27"/>
              <w:spacing w:line="360" w:lineRule="auto"/>
              <w:rPr>
                <w:rFonts w:hAnsi="宋体"/>
              </w:rPr>
            </w:pPr>
            <w:r>
              <w:rPr>
                <w:rFonts w:hint="eastAsia" w:hAnsi="宋体"/>
              </w:rPr>
              <w:t>90</w:t>
            </w:r>
            <w:r>
              <w:rPr>
                <w:rFonts w:hAnsi="宋体"/>
              </w:rPr>
              <w:t>自然日（从投标截止之日算起）</w:t>
            </w:r>
          </w:p>
        </w:tc>
      </w:tr>
      <w:tr w14:paraId="7FB24B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14:paraId="0CFD6EEE">
            <w:pPr>
              <w:pStyle w:val="27"/>
              <w:spacing w:line="360" w:lineRule="auto"/>
              <w:jc w:val="center"/>
              <w:rPr>
                <w:rFonts w:hAnsi="宋体"/>
              </w:rPr>
            </w:pPr>
            <w:r>
              <w:rPr>
                <w:rFonts w:hint="eastAsia" w:hAnsi="宋体"/>
              </w:rPr>
              <w:t>9</w:t>
            </w:r>
          </w:p>
        </w:tc>
        <w:tc>
          <w:tcPr>
            <w:tcW w:w="1038" w:type="dxa"/>
            <w:vAlign w:val="center"/>
          </w:tcPr>
          <w:p w14:paraId="51FC3D44">
            <w:pPr>
              <w:pStyle w:val="27"/>
              <w:spacing w:line="360" w:lineRule="auto"/>
              <w:jc w:val="center"/>
              <w:rPr>
                <w:rFonts w:hAnsi="宋体"/>
              </w:rPr>
            </w:pPr>
            <w:r>
              <w:rPr>
                <w:rFonts w:hAnsi="宋体"/>
              </w:rPr>
              <w:t>1</w:t>
            </w:r>
            <w:r>
              <w:rPr>
                <w:rFonts w:hint="eastAsia" w:hAnsi="宋体"/>
              </w:rPr>
              <w:t>5</w:t>
            </w:r>
            <w:r>
              <w:rPr>
                <w:rFonts w:hAnsi="宋体"/>
              </w:rPr>
              <w:t>.</w:t>
            </w:r>
            <w:r>
              <w:rPr>
                <w:rFonts w:hint="eastAsia" w:hAnsi="宋体"/>
              </w:rPr>
              <w:t>2</w:t>
            </w:r>
          </w:p>
        </w:tc>
        <w:tc>
          <w:tcPr>
            <w:tcW w:w="1843" w:type="dxa"/>
            <w:vAlign w:val="center"/>
          </w:tcPr>
          <w:p w14:paraId="1282A1BE">
            <w:pPr>
              <w:pStyle w:val="27"/>
              <w:spacing w:line="360" w:lineRule="auto"/>
              <w:jc w:val="center"/>
              <w:rPr>
                <w:rFonts w:hAnsi="宋体"/>
              </w:rPr>
            </w:pPr>
            <w:r>
              <w:rPr>
                <w:rFonts w:hint="eastAsia" w:hAnsi="宋体"/>
              </w:rPr>
              <w:t>投标保证金</w:t>
            </w:r>
          </w:p>
        </w:tc>
        <w:tc>
          <w:tcPr>
            <w:tcW w:w="6520" w:type="dxa"/>
            <w:vAlign w:val="center"/>
          </w:tcPr>
          <w:p w14:paraId="5B566E9A">
            <w:pPr>
              <w:tabs>
                <w:tab w:val="left" w:pos="915"/>
              </w:tabs>
              <w:spacing w:line="360" w:lineRule="exact"/>
              <w:rPr>
                <w:rFonts w:hAnsi="宋体"/>
              </w:rPr>
            </w:pPr>
            <w:r>
              <w:rPr>
                <w:rFonts w:hint="eastAsia" w:hAnsi="宋体"/>
              </w:rPr>
              <w:t>不要求向采购代理机构提交</w:t>
            </w:r>
          </w:p>
        </w:tc>
      </w:tr>
      <w:tr w14:paraId="722DA0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28" w:type="dxa"/>
            <w:vAlign w:val="center"/>
          </w:tcPr>
          <w:p w14:paraId="6492B127">
            <w:pPr>
              <w:pStyle w:val="27"/>
              <w:spacing w:line="360" w:lineRule="auto"/>
              <w:jc w:val="center"/>
              <w:rPr>
                <w:rFonts w:hAnsi="宋体"/>
              </w:rPr>
            </w:pPr>
            <w:r>
              <w:rPr>
                <w:rFonts w:hint="eastAsia" w:hAnsi="宋体"/>
              </w:rPr>
              <w:t>10</w:t>
            </w:r>
          </w:p>
        </w:tc>
        <w:tc>
          <w:tcPr>
            <w:tcW w:w="1038" w:type="dxa"/>
            <w:vAlign w:val="center"/>
          </w:tcPr>
          <w:p w14:paraId="2D411399">
            <w:pPr>
              <w:pStyle w:val="27"/>
              <w:spacing w:line="360" w:lineRule="auto"/>
              <w:jc w:val="center"/>
              <w:rPr>
                <w:rFonts w:hAnsi="宋体"/>
              </w:rPr>
            </w:pPr>
            <w:r>
              <w:rPr>
                <w:rFonts w:hint="eastAsia" w:hAnsi="宋体"/>
              </w:rPr>
              <w:t>16.1</w:t>
            </w:r>
          </w:p>
        </w:tc>
        <w:tc>
          <w:tcPr>
            <w:tcW w:w="1843" w:type="dxa"/>
            <w:vAlign w:val="center"/>
          </w:tcPr>
          <w:p w14:paraId="18BEB8F6">
            <w:pPr>
              <w:pStyle w:val="27"/>
              <w:spacing w:line="360" w:lineRule="auto"/>
              <w:jc w:val="center"/>
              <w:rPr>
                <w:rFonts w:hAnsi="宋体"/>
              </w:rPr>
            </w:pPr>
            <w:r>
              <w:rPr>
                <w:rFonts w:hint="eastAsia" w:hAnsi="宋体"/>
              </w:rPr>
              <w:t>投标预备会</w:t>
            </w:r>
          </w:p>
          <w:p w14:paraId="1D243355">
            <w:pPr>
              <w:pStyle w:val="27"/>
              <w:spacing w:line="360" w:lineRule="auto"/>
              <w:jc w:val="center"/>
              <w:rPr>
                <w:rFonts w:hAnsi="宋体"/>
              </w:rPr>
            </w:pPr>
            <w:r>
              <w:rPr>
                <w:rFonts w:hint="eastAsia" w:hAnsi="宋体"/>
              </w:rPr>
              <w:t>（答疑会）</w:t>
            </w:r>
          </w:p>
        </w:tc>
        <w:tc>
          <w:tcPr>
            <w:tcW w:w="6520" w:type="dxa"/>
            <w:vAlign w:val="center"/>
          </w:tcPr>
          <w:p w14:paraId="00C0394D">
            <w:pPr>
              <w:pStyle w:val="27"/>
              <w:spacing w:line="360" w:lineRule="auto"/>
              <w:rPr>
                <w:rFonts w:hAnsi="宋体"/>
              </w:rPr>
            </w:pPr>
            <w:r>
              <w:rPr>
                <w:rFonts w:hint="eastAsia" w:hAnsi="宋体"/>
              </w:rPr>
              <w:t>不召开</w:t>
            </w:r>
          </w:p>
        </w:tc>
      </w:tr>
      <w:tr w14:paraId="26C713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189CE7F9">
            <w:pPr>
              <w:pStyle w:val="27"/>
              <w:spacing w:line="360" w:lineRule="auto"/>
              <w:jc w:val="center"/>
              <w:rPr>
                <w:rFonts w:hAnsi="宋体"/>
              </w:rPr>
            </w:pPr>
            <w:r>
              <w:rPr>
                <w:rFonts w:hint="eastAsia" w:hAnsi="宋体"/>
              </w:rPr>
              <w:t>11</w:t>
            </w:r>
          </w:p>
        </w:tc>
        <w:tc>
          <w:tcPr>
            <w:tcW w:w="1038" w:type="dxa"/>
            <w:vAlign w:val="center"/>
          </w:tcPr>
          <w:p w14:paraId="353AE5D2">
            <w:pPr>
              <w:pStyle w:val="27"/>
              <w:spacing w:line="360" w:lineRule="auto"/>
              <w:jc w:val="center"/>
              <w:rPr>
                <w:rFonts w:hAnsi="宋体"/>
              </w:rPr>
            </w:pPr>
            <w:r>
              <w:rPr>
                <w:rFonts w:hAnsi="宋体"/>
              </w:rPr>
              <w:t>1</w:t>
            </w:r>
            <w:r>
              <w:rPr>
                <w:rFonts w:hint="eastAsia" w:hAnsi="宋体"/>
              </w:rPr>
              <w:t>7</w:t>
            </w:r>
            <w:r>
              <w:rPr>
                <w:rFonts w:hAnsi="宋体"/>
              </w:rPr>
              <w:t>.1</w:t>
            </w:r>
          </w:p>
        </w:tc>
        <w:tc>
          <w:tcPr>
            <w:tcW w:w="1843" w:type="dxa"/>
            <w:vAlign w:val="center"/>
          </w:tcPr>
          <w:p w14:paraId="65A79FCA">
            <w:pPr>
              <w:pStyle w:val="27"/>
              <w:spacing w:line="360" w:lineRule="auto"/>
              <w:jc w:val="center"/>
              <w:rPr>
                <w:rFonts w:hAnsi="宋体"/>
              </w:rPr>
            </w:pPr>
            <w:r>
              <w:rPr>
                <w:rFonts w:hint="eastAsia" w:hAnsi="宋体"/>
              </w:rPr>
              <w:t>投标文件份数</w:t>
            </w:r>
          </w:p>
        </w:tc>
        <w:tc>
          <w:tcPr>
            <w:tcW w:w="6520" w:type="dxa"/>
          </w:tcPr>
          <w:p w14:paraId="602A7F4F">
            <w:pPr>
              <w:pStyle w:val="27"/>
              <w:spacing w:line="360" w:lineRule="auto"/>
              <w:rPr>
                <w:rFonts w:hAnsi="宋体"/>
              </w:rPr>
            </w:pPr>
            <w:r>
              <w:rPr>
                <w:rFonts w:hAnsi="宋体"/>
              </w:rPr>
              <w:t>正本1份，副本</w:t>
            </w:r>
            <w:r>
              <w:rPr>
                <w:rFonts w:hint="eastAsia" w:hAnsi="宋体"/>
              </w:rPr>
              <w:t>5</w:t>
            </w:r>
            <w:r>
              <w:rPr>
                <w:rFonts w:hAnsi="宋体"/>
              </w:rPr>
              <w:t>份，</w:t>
            </w:r>
            <w:r>
              <w:rPr>
                <w:rFonts w:hint="eastAsia" w:hAnsi="宋体"/>
              </w:rPr>
              <w:t>电子</w:t>
            </w:r>
            <w:r>
              <w:rPr>
                <w:rFonts w:hAnsi="宋体"/>
              </w:rPr>
              <w:t>备份光盘（或U盘）</w:t>
            </w:r>
            <w:r>
              <w:rPr>
                <w:rFonts w:hint="eastAsia" w:hAnsi="宋体"/>
              </w:rPr>
              <w:t>2</w:t>
            </w:r>
            <w:r>
              <w:rPr>
                <w:rFonts w:hAnsi="宋体"/>
              </w:rPr>
              <w:t>份</w:t>
            </w:r>
            <w:r>
              <w:rPr>
                <w:rFonts w:hint="eastAsia" w:hAnsi="宋体"/>
              </w:rPr>
              <w:t>（内容为投标文件正本盖章扫描件），</w:t>
            </w:r>
            <w:r>
              <w:rPr>
                <w:rFonts w:hint="eastAsia" w:hAnsi="宋体"/>
                <w:snapToGrid w:val="0"/>
                <w:kern w:val="0"/>
              </w:rPr>
              <w:t>投标文件必须标注页码并装订成册</w:t>
            </w:r>
            <w:r>
              <w:rPr>
                <w:rFonts w:hint="eastAsia" w:hAnsi="宋体"/>
              </w:rPr>
              <w:t>。</w:t>
            </w:r>
          </w:p>
          <w:p w14:paraId="66C68ED7">
            <w:pPr>
              <w:pStyle w:val="27"/>
              <w:spacing w:line="360" w:lineRule="auto"/>
              <w:rPr>
                <w:rFonts w:hAnsi="宋体"/>
              </w:rPr>
            </w:pPr>
            <w:r>
              <w:rPr>
                <w:rFonts w:hint="eastAsia" w:asciiTheme="minorEastAsia" w:hAnsiTheme="minorEastAsia" w:eastAsiaTheme="minorEastAsia"/>
                <w:b/>
              </w:rPr>
              <w:t>（注：每个包组独立制作投标文件，并单独密封，不能将多个包组的投标文件打包制作或密封。未按要求制作投标文件的将导致投标无效。）</w:t>
            </w:r>
          </w:p>
        </w:tc>
      </w:tr>
      <w:tr w14:paraId="5CBF98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05312382">
            <w:pPr>
              <w:pStyle w:val="27"/>
              <w:spacing w:line="360" w:lineRule="auto"/>
              <w:jc w:val="center"/>
              <w:rPr>
                <w:rFonts w:hAnsi="宋体"/>
              </w:rPr>
            </w:pPr>
            <w:r>
              <w:rPr>
                <w:rFonts w:hint="eastAsia" w:hAnsi="宋体"/>
              </w:rPr>
              <w:t>12</w:t>
            </w:r>
          </w:p>
        </w:tc>
        <w:tc>
          <w:tcPr>
            <w:tcW w:w="1038" w:type="dxa"/>
            <w:vAlign w:val="center"/>
          </w:tcPr>
          <w:p w14:paraId="32D23A56">
            <w:pPr>
              <w:pStyle w:val="27"/>
              <w:spacing w:line="360" w:lineRule="auto"/>
              <w:jc w:val="center"/>
              <w:rPr>
                <w:rFonts w:hAnsi="宋体"/>
              </w:rPr>
            </w:pPr>
            <w:r>
              <w:rPr>
                <w:rFonts w:hAnsi="宋体"/>
              </w:rPr>
              <w:t>1</w:t>
            </w:r>
            <w:r>
              <w:rPr>
                <w:rFonts w:hint="eastAsia" w:hAnsi="宋体"/>
              </w:rPr>
              <w:t>8</w:t>
            </w:r>
            <w:r>
              <w:rPr>
                <w:rFonts w:hAnsi="宋体"/>
              </w:rPr>
              <w:t>.</w:t>
            </w:r>
            <w:r>
              <w:rPr>
                <w:rFonts w:hint="eastAsia" w:hAnsi="宋体"/>
              </w:rPr>
              <w:t>8</w:t>
            </w:r>
          </w:p>
        </w:tc>
        <w:tc>
          <w:tcPr>
            <w:tcW w:w="1843" w:type="dxa"/>
            <w:vAlign w:val="center"/>
          </w:tcPr>
          <w:p w14:paraId="5FEEF6DA">
            <w:pPr>
              <w:pStyle w:val="27"/>
              <w:spacing w:line="360" w:lineRule="auto"/>
              <w:jc w:val="center"/>
              <w:rPr>
                <w:rFonts w:hAnsi="宋体"/>
              </w:rPr>
            </w:pPr>
            <w:r>
              <w:rPr>
                <w:rFonts w:hint="eastAsia" w:hAnsi="宋体"/>
              </w:rPr>
              <w:t>开标</w:t>
            </w:r>
          </w:p>
        </w:tc>
        <w:tc>
          <w:tcPr>
            <w:tcW w:w="6520" w:type="dxa"/>
          </w:tcPr>
          <w:p w14:paraId="656FE61B">
            <w:pPr>
              <w:pStyle w:val="27"/>
              <w:spacing w:line="360" w:lineRule="auto"/>
              <w:rPr>
                <w:rFonts w:hAnsi="宋体"/>
              </w:rPr>
            </w:pPr>
            <w:r>
              <w:rPr>
                <w:rFonts w:hint="eastAsia" w:hAnsi="宋体"/>
                <w:szCs w:val="21"/>
              </w:rPr>
              <w:t>详见《第一章 投标邀请》</w:t>
            </w:r>
          </w:p>
        </w:tc>
      </w:tr>
      <w:tr w14:paraId="6150D4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0033BB2D">
            <w:pPr>
              <w:pStyle w:val="27"/>
              <w:spacing w:line="360" w:lineRule="auto"/>
              <w:jc w:val="center"/>
              <w:rPr>
                <w:rFonts w:hAnsi="宋体"/>
              </w:rPr>
            </w:pPr>
            <w:r>
              <w:rPr>
                <w:rFonts w:hint="eastAsia" w:hAnsi="宋体"/>
              </w:rPr>
              <w:t>13</w:t>
            </w:r>
          </w:p>
        </w:tc>
        <w:tc>
          <w:tcPr>
            <w:tcW w:w="1038" w:type="dxa"/>
            <w:vAlign w:val="center"/>
          </w:tcPr>
          <w:p w14:paraId="539D0C3B">
            <w:pPr>
              <w:pStyle w:val="27"/>
              <w:spacing w:line="360" w:lineRule="auto"/>
              <w:jc w:val="center"/>
              <w:rPr>
                <w:rFonts w:hAnsi="宋体"/>
              </w:rPr>
            </w:pPr>
            <w:r>
              <w:rPr>
                <w:rFonts w:hAnsi="宋体"/>
              </w:rPr>
              <w:t>1</w:t>
            </w:r>
            <w:r>
              <w:rPr>
                <w:rFonts w:hint="eastAsia" w:hAnsi="宋体"/>
              </w:rPr>
              <w:t>9</w:t>
            </w:r>
            <w:r>
              <w:rPr>
                <w:rFonts w:hAnsi="宋体"/>
              </w:rPr>
              <w:t>.</w:t>
            </w:r>
            <w:r>
              <w:rPr>
                <w:rFonts w:hint="eastAsia" w:hAnsi="宋体"/>
              </w:rPr>
              <w:t>2</w:t>
            </w:r>
          </w:p>
        </w:tc>
        <w:tc>
          <w:tcPr>
            <w:tcW w:w="1843" w:type="dxa"/>
            <w:vAlign w:val="center"/>
          </w:tcPr>
          <w:p w14:paraId="0DA3BD95">
            <w:pPr>
              <w:pStyle w:val="27"/>
              <w:spacing w:line="360" w:lineRule="auto"/>
              <w:jc w:val="center"/>
              <w:rPr>
                <w:rFonts w:hAnsi="宋体"/>
              </w:rPr>
            </w:pPr>
            <w:r>
              <w:rPr>
                <w:rFonts w:hint="eastAsia" w:hAnsi="宋体"/>
              </w:rPr>
              <w:t>投标截止时间</w:t>
            </w:r>
          </w:p>
        </w:tc>
        <w:tc>
          <w:tcPr>
            <w:tcW w:w="6520" w:type="dxa"/>
          </w:tcPr>
          <w:p w14:paraId="65696669">
            <w:pPr>
              <w:pStyle w:val="27"/>
              <w:spacing w:line="360" w:lineRule="auto"/>
              <w:rPr>
                <w:rFonts w:hAnsi="宋体"/>
                <w:b/>
              </w:rPr>
            </w:pPr>
            <w:r>
              <w:rPr>
                <w:rFonts w:hint="eastAsia" w:hAnsi="宋体"/>
                <w:szCs w:val="21"/>
              </w:rPr>
              <w:t>详见《第一章 投标邀请》</w:t>
            </w:r>
          </w:p>
        </w:tc>
      </w:tr>
      <w:tr w14:paraId="528ED2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6F766F43">
            <w:pPr>
              <w:pStyle w:val="27"/>
              <w:spacing w:line="360" w:lineRule="auto"/>
              <w:jc w:val="center"/>
              <w:rPr>
                <w:rFonts w:hAnsi="宋体"/>
              </w:rPr>
            </w:pPr>
            <w:r>
              <w:rPr>
                <w:rFonts w:hint="eastAsia" w:hAnsi="宋体"/>
              </w:rPr>
              <w:t>14</w:t>
            </w:r>
          </w:p>
        </w:tc>
        <w:tc>
          <w:tcPr>
            <w:tcW w:w="1038" w:type="dxa"/>
            <w:vAlign w:val="center"/>
          </w:tcPr>
          <w:p w14:paraId="627229C6">
            <w:pPr>
              <w:pStyle w:val="27"/>
              <w:spacing w:line="360" w:lineRule="auto"/>
              <w:jc w:val="center"/>
              <w:rPr>
                <w:rFonts w:hAnsi="宋体"/>
              </w:rPr>
            </w:pPr>
            <w:r>
              <w:rPr>
                <w:rFonts w:hint="eastAsia" w:hAnsi="宋体"/>
              </w:rPr>
              <w:t>26</w:t>
            </w:r>
            <w:r>
              <w:rPr>
                <w:rFonts w:hAnsi="宋体"/>
              </w:rPr>
              <w:t>.</w:t>
            </w:r>
            <w:r>
              <w:rPr>
                <w:rFonts w:hint="eastAsia" w:hAnsi="宋体"/>
              </w:rPr>
              <w:t>3</w:t>
            </w:r>
          </w:p>
        </w:tc>
        <w:tc>
          <w:tcPr>
            <w:tcW w:w="1843" w:type="dxa"/>
            <w:vAlign w:val="center"/>
          </w:tcPr>
          <w:p w14:paraId="0DF5D9C9">
            <w:pPr>
              <w:pStyle w:val="27"/>
              <w:spacing w:line="360" w:lineRule="auto"/>
              <w:jc w:val="center"/>
              <w:rPr>
                <w:rFonts w:hAnsi="宋体"/>
              </w:rPr>
            </w:pPr>
            <w:r>
              <w:rPr>
                <w:rFonts w:hint="eastAsia" w:hAnsi="宋体"/>
              </w:rPr>
              <w:t>评标办法</w:t>
            </w:r>
          </w:p>
        </w:tc>
        <w:tc>
          <w:tcPr>
            <w:tcW w:w="6520" w:type="dxa"/>
          </w:tcPr>
          <w:p w14:paraId="4DE08E5F">
            <w:pPr>
              <w:pStyle w:val="27"/>
              <w:spacing w:line="360" w:lineRule="auto"/>
              <w:rPr>
                <w:rFonts w:hAnsi="宋体"/>
              </w:rPr>
            </w:pPr>
            <w:r>
              <w:rPr>
                <w:rFonts w:hint="eastAsia" w:hAnsi="宋体"/>
              </w:rPr>
              <w:t>综合评分法</w:t>
            </w:r>
          </w:p>
        </w:tc>
      </w:tr>
      <w:tr w14:paraId="0CEA14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683AF5D3">
            <w:pPr>
              <w:pStyle w:val="27"/>
              <w:spacing w:line="360" w:lineRule="auto"/>
              <w:jc w:val="center"/>
              <w:rPr>
                <w:rFonts w:hAnsi="宋体"/>
              </w:rPr>
            </w:pPr>
            <w:r>
              <w:rPr>
                <w:rFonts w:hint="eastAsia" w:hAnsi="宋体"/>
              </w:rPr>
              <w:t>15</w:t>
            </w:r>
          </w:p>
        </w:tc>
        <w:tc>
          <w:tcPr>
            <w:tcW w:w="1038" w:type="dxa"/>
            <w:vAlign w:val="center"/>
          </w:tcPr>
          <w:p w14:paraId="1FDC5293">
            <w:pPr>
              <w:pStyle w:val="27"/>
              <w:spacing w:line="360" w:lineRule="auto"/>
              <w:jc w:val="center"/>
              <w:rPr>
                <w:rFonts w:hAnsi="宋体"/>
              </w:rPr>
            </w:pPr>
            <w:r>
              <w:rPr>
                <w:rFonts w:hint="eastAsia" w:hAnsi="宋体"/>
              </w:rPr>
              <w:t>33</w:t>
            </w:r>
            <w:r>
              <w:rPr>
                <w:rFonts w:hAnsi="宋体"/>
              </w:rPr>
              <w:t>.1</w:t>
            </w:r>
          </w:p>
        </w:tc>
        <w:tc>
          <w:tcPr>
            <w:tcW w:w="1843" w:type="dxa"/>
            <w:vAlign w:val="center"/>
          </w:tcPr>
          <w:p w14:paraId="775CC832">
            <w:pPr>
              <w:pStyle w:val="27"/>
              <w:spacing w:line="360" w:lineRule="auto"/>
              <w:jc w:val="center"/>
              <w:rPr>
                <w:snapToGrid w:val="0"/>
                <w:kern w:val="0"/>
              </w:rPr>
            </w:pPr>
            <w:r>
              <w:rPr>
                <w:rFonts w:hint="eastAsia"/>
                <w:snapToGrid w:val="0"/>
                <w:kern w:val="0"/>
              </w:rPr>
              <w:t>履约保证金</w:t>
            </w:r>
          </w:p>
        </w:tc>
        <w:tc>
          <w:tcPr>
            <w:tcW w:w="6520" w:type="dxa"/>
          </w:tcPr>
          <w:p w14:paraId="4A1D0107">
            <w:pPr>
              <w:pStyle w:val="27"/>
              <w:spacing w:line="360" w:lineRule="auto"/>
              <w:rPr>
                <w:rFonts w:hAnsi="宋体"/>
              </w:rPr>
            </w:pPr>
            <w:r>
              <w:rPr>
                <w:rFonts w:hint="eastAsia" w:hAnsi="宋体"/>
              </w:rPr>
              <w:t>无</w:t>
            </w:r>
          </w:p>
        </w:tc>
      </w:tr>
      <w:tr w14:paraId="61873D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66EDA6C3">
            <w:pPr>
              <w:pStyle w:val="27"/>
              <w:spacing w:line="360" w:lineRule="auto"/>
              <w:jc w:val="center"/>
              <w:rPr>
                <w:rFonts w:hAnsi="宋体"/>
              </w:rPr>
            </w:pPr>
            <w:r>
              <w:rPr>
                <w:rFonts w:hint="eastAsia" w:hAnsi="宋体"/>
              </w:rPr>
              <w:t>16</w:t>
            </w:r>
          </w:p>
        </w:tc>
        <w:tc>
          <w:tcPr>
            <w:tcW w:w="1038" w:type="dxa"/>
            <w:vAlign w:val="center"/>
          </w:tcPr>
          <w:p w14:paraId="448E8D66">
            <w:pPr>
              <w:pStyle w:val="27"/>
              <w:spacing w:line="360" w:lineRule="auto"/>
              <w:jc w:val="center"/>
              <w:rPr>
                <w:rFonts w:hAnsi="宋体"/>
              </w:rPr>
            </w:pPr>
            <w:r>
              <w:rPr>
                <w:rFonts w:hint="eastAsia" w:hAnsi="宋体"/>
              </w:rPr>
              <w:t>34</w:t>
            </w:r>
            <w:r>
              <w:rPr>
                <w:rFonts w:hAnsi="宋体"/>
              </w:rPr>
              <w:t>.</w:t>
            </w:r>
            <w:r>
              <w:rPr>
                <w:rFonts w:hint="eastAsia" w:hAnsi="宋体"/>
              </w:rPr>
              <w:t>1</w:t>
            </w:r>
          </w:p>
        </w:tc>
        <w:tc>
          <w:tcPr>
            <w:tcW w:w="1843" w:type="dxa"/>
            <w:vAlign w:val="center"/>
          </w:tcPr>
          <w:p w14:paraId="0F717943">
            <w:pPr>
              <w:pStyle w:val="27"/>
              <w:spacing w:line="360" w:lineRule="auto"/>
              <w:jc w:val="center"/>
              <w:rPr>
                <w:rFonts w:hAnsi="宋体"/>
              </w:rPr>
            </w:pPr>
            <w:r>
              <w:rPr>
                <w:rFonts w:hint="eastAsia" w:hAnsi="宋体"/>
              </w:rPr>
              <w:t>中标服务费</w:t>
            </w:r>
          </w:p>
        </w:tc>
        <w:tc>
          <w:tcPr>
            <w:tcW w:w="6520" w:type="dxa"/>
          </w:tcPr>
          <w:p w14:paraId="0D11F0B6">
            <w:pPr>
              <w:pStyle w:val="27"/>
              <w:spacing w:line="360" w:lineRule="auto"/>
              <w:rPr>
                <w:rFonts w:hAnsi="宋体"/>
              </w:rPr>
            </w:pPr>
            <w:r>
              <w:rPr>
                <w:rFonts w:hint="eastAsia" w:hAnsi="宋体" w:cs="MS Mincho"/>
                <w:sz w:val="24"/>
                <w:szCs w:val="24"/>
              </w:rPr>
              <w:t>☑</w:t>
            </w:r>
            <w:r>
              <w:rPr>
                <w:rFonts w:hint="eastAsia" w:hAnsi="宋体"/>
                <w:szCs w:val="21"/>
              </w:rPr>
              <w:t>以中标金额作为计算依据</w:t>
            </w:r>
            <w:r>
              <w:rPr>
                <w:rFonts w:hint="eastAsia" w:hAnsi="宋体"/>
              </w:rPr>
              <w:t>，向中标供应商收取中标服务费。</w:t>
            </w:r>
          </w:p>
          <w:p w14:paraId="0C9A0E8E">
            <w:pPr>
              <w:pStyle w:val="27"/>
              <w:spacing w:line="360" w:lineRule="auto"/>
              <w:rPr>
                <w:rFonts w:hAnsi="宋体"/>
              </w:rPr>
            </w:pPr>
            <w:r>
              <w:rPr>
                <w:rFonts w:hint="eastAsia" w:hAnsi="宋体"/>
              </w:rPr>
              <w:t>□</w:t>
            </w:r>
            <w:r>
              <w:rPr>
                <w:rFonts w:hint="eastAsia" w:hAnsi="宋体"/>
                <w:szCs w:val="21"/>
              </w:rPr>
              <w:t>以预算金额（支付上限）作为计算依据</w:t>
            </w:r>
            <w:r>
              <w:rPr>
                <w:rFonts w:hint="eastAsia" w:hAnsi="宋体"/>
              </w:rPr>
              <w:t>，收取中标服务费：人民币元。</w:t>
            </w:r>
          </w:p>
        </w:tc>
      </w:tr>
    </w:tbl>
    <w:p w14:paraId="46EE2091">
      <w:pPr>
        <w:pStyle w:val="3"/>
        <w:ind w:firstLine="2650" w:firstLineChars="600"/>
        <w:jc w:val="both"/>
      </w:pPr>
      <w:bookmarkStart w:id="21" w:name="_Toc171350586"/>
    </w:p>
    <w:p w14:paraId="025B8C57">
      <w:pPr>
        <w:pStyle w:val="3"/>
        <w:ind w:firstLine="2650" w:firstLineChars="600"/>
        <w:jc w:val="both"/>
      </w:pPr>
      <w:r>
        <w:rPr>
          <w:rFonts w:hint="eastAsia"/>
        </w:rPr>
        <w:t>第六章  投标人须知</w:t>
      </w:r>
      <w:bookmarkEnd w:id="21"/>
    </w:p>
    <w:p w14:paraId="3D9419A2">
      <w:pPr>
        <w:pStyle w:val="2"/>
        <w:spacing w:before="0" w:after="0"/>
      </w:pPr>
      <w:bookmarkStart w:id="22" w:name="_Toc171350587"/>
      <w:r>
        <w:rPr>
          <w:rFonts w:hint="eastAsia"/>
        </w:rPr>
        <w:t>一、说明</w:t>
      </w:r>
      <w:bookmarkEnd w:id="22"/>
    </w:p>
    <w:p w14:paraId="7046D10D">
      <w:pPr>
        <w:adjustRightInd w:val="0"/>
        <w:spacing w:line="360" w:lineRule="auto"/>
        <w:rPr>
          <w:rFonts w:ascii="宋体" w:hAnsi="宋体"/>
          <w:b/>
          <w:snapToGrid w:val="0"/>
          <w:kern w:val="0"/>
        </w:rPr>
      </w:pPr>
      <w:r>
        <w:rPr>
          <w:rFonts w:hint="eastAsia" w:ascii="宋体" w:hAnsi="宋体"/>
          <w:b/>
          <w:snapToGrid w:val="0"/>
          <w:kern w:val="0"/>
        </w:rPr>
        <w:t>1.适用范围</w:t>
      </w:r>
    </w:p>
    <w:p w14:paraId="360A150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.1</w:t>
      </w:r>
      <w:r>
        <w:rPr>
          <w:rFonts w:hint="eastAsia" w:ascii="宋体" w:hAnsi="宋体"/>
          <w:snapToGrid w:val="0"/>
          <w:kern w:val="0"/>
        </w:rPr>
        <w:t xml:space="preserve">  本招标文件仅适用于投标人须知前附表（以下简称“前附表”）第1项所叙述项目的货物、工程及服务采购。</w:t>
      </w:r>
    </w:p>
    <w:p w14:paraId="1A91F886">
      <w:pPr>
        <w:adjustRightInd w:val="0"/>
        <w:spacing w:line="360" w:lineRule="auto"/>
        <w:rPr>
          <w:rFonts w:ascii="宋体" w:hAnsi="宋体"/>
          <w:snapToGrid w:val="0"/>
          <w:kern w:val="0"/>
        </w:rPr>
      </w:pPr>
      <w:r>
        <w:rPr>
          <w:rFonts w:hint="eastAsia" w:ascii="宋体" w:hAnsi="宋体"/>
          <w:snapToGrid w:val="0"/>
          <w:kern w:val="0"/>
        </w:rPr>
        <w:t>1.2  上述采购按照</w:t>
      </w:r>
      <w:r>
        <w:rPr>
          <w:rFonts w:hint="eastAsia" w:ascii="宋体" w:hAnsi="宋体"/>
          <w:szCs w:val="21"/>
        </w:rPr>
        <w:t>《中华人民共和国政府采购法》</w:t>
      </w:r>
      <w:r>
        <w:rPr>
          <w:rFonts w:hint="eastAsia" w:ascii="宋体" w:hAnsi="宋体"/>
          <w:snapToGrid w:val="0"/>
          <w:kern w:val="0"/>
        </w:rPr>
        <w:t>及有关招投标法规、规章、规定，通过招标来择优选定供应商。</w:t>
      </w:r>
    </w:p>
    <w:p w14:paraId="4B3924B1">
      <w:pPr>
        <w:adjustRightInd w:val="0"/>
        <w:spacing w:line="360" w:lineRule="auto"/>
        <w:rPr>
          <w:rFonts w:ascii="宋体" w:hAnsi="宋体"/>
          <w:b/>
          <w:snapToGrid w:val="0"/>
          <w:kern w:val="0"/>
        </w:rPr>
      </w:pPr>
      <w:r>
        <w:rPr>
          <w:rFonts w:ascii="宋体" w:hAnsi="宋体"/>
          <w:b/>
          <w:snapToGrid w:val="0"/>
          <w:kern w:val="0"/>
        </w:rPr>
        <w:t xml:space="preserve">2. </w:t>
      </w:r>
      <w:r>
        <w:rPr>
          <w:rFonts w:hint="eastAsia" w:ascii="宋体" w:hAnsi="宋体"/>
          <w:b/>
          <w:snapToGrid w:val="0"/>
          <w:kern w:val="0"/>
        </w:rPr>
        <w:t>定义</w:t>
      </w:r>
    </w:p>
    <w:p w14:paraId="3C724B14">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w:t>
      </w:r>
      <w:r>
        <w:rPr>
          <w:rFonts w:hint="eastAsia" w:ascii="宋体" w:hAnsi="宋体"/>
          <w:snapToGrid w:val="0"/>
          <w:kern w:val="0"/>
        </w:rPr>
        <w:t>1  “</w:t>
      </w:r>
      <w:r>
        <w:rPr>
          <w:rFonts w:hint="eastAsia" w:ascii="宋体" w:hAnsi="宋体"/>
          <w:bCs/>
          <w:snapToGrid w:val="0"/>
          <w:kern w:val="0"/>
        </w:rPr>
        <w:t>采购人</w:t>
      </w:r>
      <w:r>
        <w:rPr>
          <w:rFonts w:hint="eastAsia" w:ascii="宋体" w:hAnsi="宋体"/>
          <w:snapToGrid w:val="0"/>
          <w:kern w:val="0"/>
        </w:rPr>
        <w:t>”是指前附表第2项所述。</w:t>
      </w:r>
    </w:p>
    <w:p w14:paraId="7BD4B933">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2“</w:t>
      </w:r>
      <w:r>
        <w:rPr>
          <w:rFonts w:hint="eastAsia" w:ascii="宋体" w:hAnsi="宋体" w:cs="宋体"/>
          <w:bCs/>
          <w:snapToGrid w:val="0"/>
          <w:kern w:val="0"/>
        </w:rPr>
        <w:t>采购代理机构</w:t>
      </w:r>
      <w:r>
        <w:rPr>
          <w:rFonts w:hint="eastAsia" w:ascii="宋体" w:hAnsi="宋体"/>
          <w:snapToGrid w:val="0"/>
          <w:kern w:val="0"/>
        </w:rPr>
        <w:t>”是提前附表第3项所述。</w:t>
      </w:r>
    </w:p>
    <w:p w14:paraId="650FCFA1">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3 “投标人”是指向</w:t>
      </w:r>
      <w:r>
        <w:rPr>
          <w:rFonts w:hint="eastAsia" w:ascii="宋体" w:hAnsi="宋体" w:cs="宋体"/>
          <w:bCs/>
          <w:snapToGrid w:val="0"/>
          <w:kern w:val="0"/>
        </w:rPr>
        <w:t>采购代理机构</w:t>
      </w:r>
      <w:r>
        <w:rPr>
          <w:rFonts w:hint="eastAsia" w:ascii="宋体" w:hAnsi="宋体"/>
          <w:snapToGrid w:val="0"/>
          <w:kern w:val="0"/>
        </w:rPr>
        <w:t>提交投标文件的供应商。</w:t>
      </w:r>
    </w:p>
    <w:p w14:paraId="3230EFEA">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4“货物”是指各种形态和种类的物品，包括原材料、燃料、设备、产品等。</w:t>
      </w:r>
    </w:p>
    <w:p w14:paraId="31BE79D5">
      <w:pPr>
        <w:adjustRightInd w:val="0"/>
        <w:spacing w:line="360" w:lineRule="auto"/>
        <w:rPr>
          <w:rFonts w:ascii="宋体" w:hAnsi="宋体"/>
          <w:snapToGrid w:val="0"/>
          <w:kern w:val="0"/>
        </w:rPr>
      </w:pPr>
      <w:r>
        <w:rPr>
          <w:rFonts w:hint="eastAsia" w:ascii="宋体" w:hAnsi="宋体"/>
          <w:snapToGrid w:val="0"/>
          <w:kern w:val="0"/>
        </w:rPr>
        <w:t>2.5  “工程”是指建设工程，包括建筑物和构筑物的新建、改建、扩建、装修、拆除、修缮等。</w:t>
      </w:r>
    </w:p>
    <w:p w14:paraId="3266D6AD">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6  “服务”是指除货物和工程以外的其他政府采购对象，包括政府自身需要的服务和政府向社会公众提供的公共服务。</w:t>
      </w:r>
    </w:p>
    <w:p w14:paraId="32B3E078">
      <w:pPr>
        <w:adjustRightInd w:val="0"/>
        <w:spacing w:line="360" w:lineRule="auto"/>
        <w:rPr>
          <w:rFonts w:ascii="宋体" w:hAnsi="宋体"/>
          <w:b/>
          <w:snapToGrid w:val="0"/>
          <w:kern w:val="0"/>
        </w:rPr>
      </w:pPr>
      <w:r>
        <w:rPr>
          <w:rFonts w:hint="eastAsia" w:ascii="宋体" w:hAnsi="宋体"/>
          <w:b/>
          <w:snapToGrid w:val="0"/>
          <w:kern w:val="0"/>
        </w:rPr>
        <w:t>3. 资金来源</w:t>
      </w:r>
    </w:p>
    <w:p w14:paraId="13EE4FFF">
      <w:pPr>
        <w:adjustRightInd w:val="0"/>
        <w:spacing w:line="360" w:lineRule="auto"/>
        <w:rPr>
          <w:rFonts w:ascii="宋体" w:hAnsi="宋体"/>
          <w:snapToGrid w:val="0"/>
          <w:kern w:val="0"/>
        </w:rPr>
      </w:pPr>
      <w:r>
        <w:rPr>
          <w:rFonts w:hint="eastAsia" w:ascii="宋体" w:hAnsi="宋体"/>
          <w:snapToGrid w:val="0"/>
          <w:kern w:val="0"/>
        </w:rPr>
        <w:t>3.1  采购资金通过前附表第4 项的方式获得，并用于采购合同下的合格支付。</w:t>
      </w:r>
    </w:p>
    <w:p w14:paraId="1AF56CAA">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合格的投标人</w:t>
      </w:r>
    </w:p>
    <w:p w14:paraId="54B61107">
      <w:pPr>
        <w:adjustRightInd w:val="0"/>
        <w:spacing w:line="360" w:lineRule="auto"/>
        <w:rPr>
          <w:rFonts w:ascii="宋体" w:hAnsi="宋体"/>
          <w:snapToGrid w:val="0"/>
          <w:kern w:val="0"/>
        </w:rPr>
      </w:pPr>
      <w:r>
        <w:rPr>
          <w:rFonts w:ascii="宋体" w:hAnsi="宋体"/>
          <w:snapToGrid w:val="0"/>
          <w:kern w:val="0"/>
        </w:rPr>
        <w:t xml:space="preserve">4.1  </w:t>
      </w:r>
      <w:r>
        <w:rPr>
          <w:rFonts w:hint="eastAsia" w:ascii="宋体" w:hAnsi="宋体"/>
          <w:snapToGrid w:val="0"/>
          <w:kern w:val="0"/>
        </w:rPr>
        <w:t>具有独立承担民事责任的能力。</w:t>
      </w:r>
    </w:p>
    <w:p w14:paraId="3D194280">
      <w:pPr>
        <w:adjustRightInd w:val="0"/>
        <w:spacing w:line="360" w:lineRule="auto"/>
        <w:rPr>
          <w:rFonts w:ascii="宋体" w:hAnsi="宋体"/>
          <w:snapToGrid w:val="0"/>
          <w:kern w:val="0"/>
        </w:rPr>
      </w:pPr>
      <w:r>
        <w:rPr>
          <w:rFonts w:ascii="宋体" w:hAnsi="宋体"/>
          <w:snapToGrid w:val="0"/>
          <w:kern w:val="0"/>
        </w:rPr>
        <w:t xml:space="preserve">4.2  </w:t>
      </w:r>
      <w:r>
        <w:rPr>
          <w:rFonts w:hint="eastAsia" w:ascii="宋体" w:hAnsi="宋体"/>
          <w:snapToGrid w:val="0"/>
          <w:kern w:val="0"/>
        </w:rPr>
        <w:t>具有良好的商业信誉和健全的财务会计制度。</w:t>
      </w:r>
    </w:p>
    <w:p w14:paraId="57C5E963">
      <w:pPr>
        <w:adjustRightInd w:val="0"/>
        <w:spacing w:line="360" w:lineRule="auto"/>
        <w:rPr>
          <w:rFonts w:ascii="宋体" w:hAnsi="宋体"/>
          <w:snapToGrid w:val="0"/>
          <w:kern w:val="0"/>
        </w:rPr>
      </w:pPr>
      <w:r>
        <w:rPr>
          <w:rFonts w:hint="eastAsia" w:ascii="宋体" w:hAnsi="宋体"/>
          <w:snapToGrid w:val="0"/>
          <w:kern w:val="0"/>
        </w:rPr>
        <w:t>4.3  具有履行合同所必需的设备和专业技术能力。</w:t>
      </w:r>
    </w:p>
    <w:p w14:paraId="1FED3B52">
      <w:pPr>
        <w:adjustRightInd w:val="0"/>
        <w:spacing w:line="360" w:lineRule="auto"/>
        <w:rPr>
          <w:rFonts w:ascii="宋体" w:hAnsi="宋体"/>
          <w:snapToGrid w:val="0"/>
          <w:kern w:val="0"/>
        </w:rPr>
      </w:pPr>
      <w:r>
        <w:rPr>
          <w:rFonts w:hint="eastAsia" w:ascii="宋体" w:hAnsi="宋体"/>
          <w:snapToGrid w:val="0"/>
          <w:kern w:val="0"/>
        </w:rPr>
        <w:t>4.4  有依法缴纳税收和社会保障资金的良好记录。</w:t>
      </w:r>
    </w:p>
    <w:p w14:paraId="128E5D3B">
      <w:pPr>
        <w:adjustRightInd w:val="0"/>
        <w:spacing w:line="360" w:lineRule="auto"/>
        <w:rPr>
          <w:rFonts w:ascii="宋体" w:hAnsi="宋体"/>
          <w:snapToGrid w:val="0"/>
          <w:kern w:val="0"/>
        </w:rPr>
      </w:pPr>
      <w:r>
        <w:rPr>
          <w:rFonts w:hint="eastAsia" w:ascii="宋体" w:hAnsi="宋体"/>
          <w:snapToGrid w:val="0"/>
          <w:kern w:val="0"/>
        </w:rPr>
        <w:t>4.5  参加政府采购活动近三年内，在经营活动中没有重大违法记录。</w:t>
      </w:r>
    </w:p>
    <w:p w14:paraId="0B44B049">
      <w:pPr>
        <w:adjustRightInd w:val="0"/>
        <w:spacing w:line="360" w:lineRule="auto"/>
        <w:rPr>
          <w:rFonts w:ascii="宋体" w:hAnsi="宋体"/>
          <w:snapToGrid w:val="0"/>
          <w:kern w:val="0"/>
        </w:rPr>
      </w:pPr>
      <w:r>
        <w:rPr>
          <w:rFonts w:hint="eastAsia" w:ascii="宋体" w:hAnsi="宋体"/>
          <w:snapToGrid w:val="0"/>
          <w:kern w:val="0"/>
        </w:rPr>
        <w:t>4.6  法律、行政法规规定的其他条件。</w:t>
      </w:r>
    </w:p>
    <w:p w14:paraId="38369422">
      <w:pPr>
        <w:adjustRightInd w:val="0"/>
        <w:spacing w:line="360" w:lineRule="auto"/>
        <w:rPr>
          <w:rFonts w:ascii="宋体" w:hAnsi="宋体"/>
          <w:snapToGrid w:val="0"/>
          <w:kern w:val="0"/>
        </w:rPr>
      </w:pPr>
      <w:r>
        <w:rPr>
          <w:rFonts w:hint="eastAsia" w:ascii="宋体" w:hAnsi="宋体"/>
          <w:snapToGrid w:val="0"/>
          <w:kern w:val="0"/>
        </w:rPr>
        <w:t>4.7  符合前附表第5项规定的条件。</w:t>
      </w:r>
    </w:p>
    <w:p w14:paraId="64FE1C54">
      <w:pPr>
        <w:adjustRightInd w:val="0"/>
        <w:spacing w:line="360" w:lineRule="auto"/>
        <w:rPr>
          <w:rFonts w:ascii="宋体" w:hAnsi="宋体"/>
          <w:b/>
          <w:bCs/>
          <w:snapToGrid w:val="0"/>
          <w:kern w:val="0"/>
        </w:rPr>
      </w:pPr>
      <w:r>
        <w:rPr>
          <w:rFonts w:hint="eastAsia" w:ascii="宋体" w:hAnsi="宋体"/>
          <w:b/>
          <w:bCs/>
          <w:snapToGrid w:val="0"/>
          <w:kern w:val="0"/>
        </w:rPr>
        <w:t>4.8  联合体投标</w:t>
      </w:r>
    </w:p>
    <w:p w14:paraId="736D741C">
      <w:pPr>
        <w:adjustRightInd w:val="0"/>
        <w:spacing w:line="360" w:lineRule="auto"/>
        <w:rPr>
          <w:rFonts w:ascii="宋体" w:hAnsi="宋体"/>
          <w:snapToGrid w:val="0"/>
          <w:kern w:val="0"/>
        </w:rPr>
      </w:pPr>
      <w:r>
        <w:rPr>
          <w:rFonts w:hint="eastAsia" w:ascii="宋体" w:hAnsi="宋体"/>
          <w:snapToGrid w:val="0"/>
          <w:kern w:val="0"/>
        </w:rPr>
        <w:t>4.8.1　以下有关联合体投标的条款仅适用于允许投标人组成联合体投标的项目。是否允许联合体投标以《投标人须知前附表》中第6项的规定或说明为准。</w:t>
      </w:r>
    </w:p>
    <w:p w14:paraId="2F9F2FF8">
      <w:pPr>
        <w:adjustRightInd w:val="0"/>
        <w:spacing w:line="360" w:lineRule="auto"/>
        <w:rPr>
          <w:rFonts w:ascii="宋体" w:hAnsi="宋体"/>
          <w:snapToGrid w:val="0"/>
          <w:kern w:val="0"/>
        </w:rPr>
      </w:pPr>
      <w:r>
        <w:rPr>
          <w:rFonts w:hint="eastAsia" w:ascii="宋体" w:hAnsi="宋体"/>
          <w:snapToGrid w:val="0"/>
          <w:kern w:val="0"/>
        </w:rPr>
        <w:t>4.8.2  由两个或两个以上的自然人、法人或者其他组织可以组成一个联合体，以一个供应商的身份共同投标时，应符合以下原则：</w:t>
      </w:r>
    </w:p>
    <w:p w14:paraId="0768848F">
      <w:pPr>
        <w:adjustRightInd w:val="0"/>
        <w:spacing w:line="360" w:lineRule="auto"/>
        <w:rPr>
          <w:rFonts w:ascii="宋体" w:hAnsi="宋体"/>
          <w:snapToGrid w:val="0"/>
          <w:kern w:val="0"/>
        </w:rPr>
      </w:pPr>
      <w:r>
        <w:rPr>
          <w:rFonts w:hint="eastAsia" w:ascii="宋体" w:hAnsi="宋体"/>
          <w:snapToGrid w:val="0"/>
          <w:kern w:val="0"/>
        </w:rPr>
        <w:t>（1）投标联合体各方参加政府采购活动应当具备下列条件：</w:t>
      </w:r>
    </w:p>
    <w:p w14:paraId="43FDC61A">
      <w:pPr>
        <w:adjustRightInd w:val="0"/>
        <w:spacing w:line="360" w:lineRule="auto"/>
        <w:ind w:firstLine="567" w:firstLineChars="270"/>
        <w:rPr>
          <w:rFonts w:ascii="宋体" w:hAnsi="宋体"/>
          <w:snapToGrid w:val="0"/>
          <w:kern w:val="0"/>
        </w:rPr>
      </w:pPr>
      <w:r>
        <w:rPr>
          <w:rFonts w:hint="eastAsia" w:ascii="宋体" w:hAnsi="宋体"/>
          <w:snapToGrid w:val="0"/>
          <w:kern w:val="0"/>
        </w:rPr>
        <w:t>1、具有独立承担民事责任的能力；</w:t>
      </w:r>
    </w:p>
    <w:p w14:paraId="27BBC05A">
      <w:pPr>
        <w:adjustRightInd w:val="0"/>
        <w:spacing w:line="360" w:lineRule="auto"/>
        <w:ind w:firstLine="567" w:firstLineChars="270"/>
        <w:rPr>
          <w:rFonts w:ascii="宋体" w:hAnsi="宋体"/>
          <w:snapToGrid w:val="0"/>
          <w:kern w:val="0"/>
        </w:rPr>
      </w:pPr>
      <w:r>
        <w:rPr>
          <w:rFonts w:hint="eastAsia" w:ascii="宋体" w:hAnsi="宋体"/>
          <w:snapToGrid w:val="0"/>
          <w:kern w:val="0"/>
        </w:rPr>
        <w:t>2、具有良好的商业信誉和健全的财务会计制度；</w:t>
      </w:r>
    </w:p>
    <w:p w14:paraId="5F165401">
      <w:pPr>
        <w:adjustRightInd w:val="0"/>
        <w:spacing w:line="360" w:lineRule="auto"/>
        <w:ind w:firstLine="567" w:firstLineChars="270"/>
        <w:rPr>
          <w:rFonts w:ascii="宋体" w:hAnsi="宋体"/>
          <w:snapToGrid w:val="0"/>
          <w:kern w:val="0"/>
        </w:rPr>
      </w:pPr>
      <w:r>
        <w:rPr>
          <w:rFonts w:hint="eastAsia" w:ascii="宋体" w:hAnsi="宋体"/>
          <w:snapToGrid w:val="0"/>
          <w:kern w:val="0"/>
        </w:rPr>
        <w:t>3、具有履行合同所必需的设备和专业技术能力；</w:t>
      </w:r>
    </w:p>
    <w:p w14:paraId="2DF63055">
      <w:pPr>
        <w:adjustRightInd w:val="0"/>
        <w:spacing w:line="360" w:lineRule="auto"/>
        <w:ind w:firstLine="567" w:firstLineChars="270"/>
        <w:rPr>
          <w:rFonts w:ascii="宋体" w:hAnsi="宋体"/>
          <w:snapToGrid w:val="0"/>
          <w:kern w:val="0"/>
        </w:rPr>
      </w:pPr>
      <w:r>
        <w:rPr>
          <w:rFonts w:hint="eastAsia" w:ascii="宋体" w:hAnsi="宋体"/>
          <w:snapToGrid w:val="0"/>
          <w:kern w:val="0"/>
        </w:rPr>
        <w:t>4、有依法缴纳税收和社会保障资金的良好记录；</w:t>
      </w:r>
    </w:p>
    <w:p w14:paraId="08987AFC">
      <w:pPr>
        <w:adjustRightInd w:val="0"/>
        <w:spacing w:line="360" w:lineRule="auto"/>
        <w:ind w:firstLine="567" w:firstLineChars="270"/>
        <w:rPr>
          <w:rFonts w:ascii="宋体" w:hAnsi="宋体"/>
          <w:snapToGrid w:val="0"/>
          <w:kern w:val="0"/>
        </w:rPr>
      </w:pPr>
      <w:r>
        <w:rPr>
          <w:rFonts w:hint="eastAsia" w:ascii="宋体" w:hAnsi="宋体"/>
          <w:snapToGrid w:val="0"/>
          <w:kern w:val="0"/>
        </w:rPr>
        <w:t>5、参加政府采购活动前三年内，在经营活动中没有重大违法记录；</w:t>
      </w:r>
    </w:p>
    <w:p w14:paraId="384155B2">
      <w:pPr>
        <w:adjustRightInd w:val="0"/>
        <w:spacing w:line="360" w:lineRule="auto"/>
        <w:ind w:firstLine="567" w:firstLineChars="270"/>
        <w:rPr>
          <w:rFonts w:ascii="宋体" w:hAnsi="宋体"/>
          <w:snapToGrid w:val="0"/>
          <w:kern w:val="0"/>
        </w:rPr>
      </w:pPr>
      <w:r>
        <w:rPr>
          <w:rFonts w:hint="eastAsia" w:ascii="宋体" w:hAnsi="宋体"/>
          <w:snapToGrid w:val="0"/>
          <w:kern w:val="0"/>
        </w:rPr>
        <w:t>6、法律、行政法规规定的其他条件。</w:t>
      </w:r>
    </w:p>
    <w:p w14:paraId="129EC9A9">
      <w:pPr>
        <w:adjustRightInd w:val="0"/>
        <w:spacing w:line="360" w:lineRule="auto"/>
        <w:rPr>
          <w:rFonts w:ascii="宋体" w:hAnsi="宋体"/>
          <w:snapToGrid w:val="0"/>
          <w:kern w:val="0"/>
        </w:rPr>
      </w:pPr>
      <w:r>
        <w:rPr>
          <w:rFonts w:hint="eastAsia" w:ascii="宋体" w:hAnsi="宋体"/>
          <w:snapToGrid w:val="0"/>
          <w:kern w:val="0"/>
        </w:rPr>
        <w:t>（2）联合体中有同类资质的供应商按照联合体分工承担相同工作的，应当按照资质等级较低的供应商确定资质等级。</w:t>
      </w:r>
    </w:p>
    <w:p w14:paraId="040A9A2E">
      <w:pPr>
        <w:adjustRightInd w:val="0"/>
        <w:spacing w:line="360" w:lineRule="auto"/>
        <w:rPr>
          <w:rFonts w:ascii="宋体" w:hAnsi="宋体"/>
          <w:snapToGrid w:val="0"/>
          <w:kern w:val="0"/>
        </w:rPr>
      </w:pPr>
      <w:r>
        <w:rPr>
          <w:rFonts w:hint="eastAsia" w:ascii="宋体" w:hAnsi="宋体"/>
          <w:snapToGrid w:val="0"/>
          <w:kern w:val="0"/>
        </w:rPr>
        <w:t>（3）是否允许联合体参加投标，应当由采购人和采购代理机构根据项目的实际情况和潜在供应商的数量自主决定，如果决定接受联合体投标则应当在采购公告中明示。</w:t>
      </w:r>
    </w:p>
    <w:p w14:paraId="272FFB82">
      <w:pPr>
        <w:adjustRightInd w:val="0"/>
        <w:spacing w:line="360" w:lineRule="auto"/>
        <w:rPr>
          <w:rFonts w:ascii="宋体" w:hAnsi="宋体"/>
          <w:snapToGrid w:val="0"/>
          <w:kern w:val="0"/>
        </w:rPr>
      </w:pPr>
      <w:r>
        <w:rPr>
          <w:rFonts w:hint="eastAsia" w:ascii="宋体" w:hAnsi="宋体"/>
          <w:snapToGrid w:val="0"/>
          <w:kern w:val="0"/>
        </w:rPr>
        <w:t>（4）采购人根据采购项目的特殊要求规定投标人特定条件的，联合体各方中至少应当有一方符合采购人规定的特定条件。对于招标公告</w:t>
      </w:r>
      <w:r>
        <w:rPr>
          <w:rFonts w:ascii="宋体" w:hAnsi="宋体"/>
          <w:snapToGrid w:val="0"/>
          <w:kern w:val="0"/>
        </w:rPr>
        <w:t>对投标人</w:t>
      </w:r>
      <w:r>
        <w:rPr>
          <w:rFonts w:hint="eastAsia" w:ascii="宋体" w:hAnsi="宋体"/>
          <w:snapToGrid w:val="0"/>
          <w:kern w:val="0"/>
        </w:rPr>
        <w:t>某一资格</w:t>
      </w:r>
      <w:r>
        <w:rPr>
          <w:rFonts w:ascii="宋体" w:hAnsi="宋体"/>
          <w:snapToGrid w:val="0"/>
          <w:kern w:val="0"/>
        </w:rPr>
        <w:t>有</w:t>
      </w:r>
      <w:r>
        <w:rPr>
          <w:rFonts w:hint="eastAsia" w:ascii="宋体" w:hAnsi="宋体"/>
          <w:snapToGrid w:val="0"/>
          <w:kern w:val="0"/>
        </w:rPr>
        <w:t>要求</w:t>
      </w:r>
      <w:r>
        <w:rPr>
          <w:rFonts w:ascii="宋体" w:hAnsi="宋体"/>
          <w:snapToGrid w:val="0"/>
          <w:kern w:val="0"/>
        </w:rPr>
        <w:t>的，</w:t>
      </w:r>
      <w:r>
        <w:rPr>
          <w:rFonts w:hint="eastAsia" w:ascii="宋体" w:hAnsi="宋体"/>
          <w:snapToGrid w:val="0"/>
          <w:kern w:val="0"/>
        </w:rPr>
        <w:t>按照联合体各方中最低资质等级确定联合体的资质等级；联合体各方的不同资质可优势互补。</w:t>
      </w:r>
    </w:p>
    <w:p w14:paraId="3DED429C">
      <w:pPr>
        <w:adjustRightInd w:val="0"/>
        <w:spacing w:line="360" w:lineRule="auto"/>
        <w:rPr>
          <w:rFonts w:ascii="宋体" w:hAnsi="宋体"/>
          <w:snapToGrid w:val="0"/>
          <w:kern w:val="0"/>
        </w:rPr>
      </w:pPr>
      <w:r>
        <w:rPr>
          <w:rFonts w:hint="eastAsia" w:ascii="宋体" w:hAnsi="宋体"/>
          <w:snapToGrid w:val="0"/>
          <w:kern w:val="0"/>
        </w:rPr>
        <w:t>（5）投标人的投标文件及中标后签署的合同协议对联合体各方均具法律约束力。</w:t>
      </w:r>
    </w:p>
    <w:p w14:paraId="4D870850">
      <w:pPr>
        <w:adjustRightInd w:val="0"/>
        <w:spacing w:line="360" w:lineRule="auto"/>
        <w:rPr>
          <w:rFonts w:ascii="宋体" w:hAnsi="宋体"/>
          <w:snapToGrid w:val="0"/>
          <w:kern w:val="0"/>
        </w:rPr>
      </w:pPr>
      <w:r>
        <w:rPr>
          <w:rFonts w:hint="eastAsia" w:ascii="宋体" w:hAnsi="宋体"/>
          <w:snapToGrid w:val="0"/>
          <w:kern w:val="0"/>
        </w:rPr>
        <w:t>（6）联合体各方应当签订共同投标协议，明确约定各方拟承担的工作和责任，该共同投标协议应作为投标文件不可缺的组成部分。</w:t>
      </w:r>
    </w:p>
    <w:p w14:paraId="51F067C4">
      <w:pPr>
        <w:adjustRightInd w:val="0"/>
        <w:spacing w:line="360" w:lineRule="auto"/>
        <w:rPr>
          <w:rFonts w:ascii="宋体" w:hAnsi="宋体"/>
          <w:snapToGrid w:val="0"/>
          <w:kern w:val="0"/>
        </w:rPr>
      </w:pPr>
      <w:r>
        <w:rPr>
          <w:rFonts w:hint="eastAsia" w:ascii="宋体" w:hAnsi="宋体"/>
          <w:snapToGrid w:val="0"/>
          <w:kern w:val="0"/>
        </w:rPr>
        <w:t>（7）联合体中标后，联合体各方应当共同与采购人签订合同，就中标项目向采购人承担连带责任。</w:t>
      </w:r>
    </w:p>
    <w:p w14:paraId="6624745A">
      <w:pPr>
        <w:adjustRightInd w:val="0"/>
        <w:spacing w:line="360" w:lineRule="auto"/>
        <w:rPr>
          <w:rFonts w:ascii="宋体" w:hAnsi="宋体"/>
          <w:snapToGrid w:val="0"/>
          <w:kern w:val="0"/>
        </w:rPr>
      </w:pPr>
      <w:r>
        <w:rPr>
          <w:rFonts w:hint="eastAsia" w:ascii="宋体" w:hAnsi="宋体"/>
          <w:snapToGrid w:val="0"/>
          <w:kern w:val="0"/>
        </w:rPr>
        <w:t>（8）联合体的各方应当共同推荐一联合体投标授权代表，由联合体各方提交一份授权书，证明其有资格代表联合体各方签署投标文件，该授权书应作为投标文件不可缺的组成部分。</w:t>
      </w:r>
    </w:p>
    <w:p w14:paraId="2D995331">
      <w:pPr>
        <w:adjustRightInd w:val="0"/>
        <w:spacing w:line="360" w:lineRule="auto"/>
        <w:rPr>
          <w:rFonts w:ascii="宋体" w:hAnsi="宋体"/>
          <w:snapToGrid w:val="0"/>
          <w:kern w:val="0"/>
        </w:rPr>
      </w:pPr>
      <w:r>
        <w:rPr>
          <w:rFonts w:hint="eastAsia" w:ascii="宋体" w:hAnsi="宋体"/>
          <w:snapToGrid w:val="0"/>
          <w:kern w:val="0"/>
        </w:rPr>
        <w:t>（9）以联合体形式参加政府采购活动的，联合体各方不得再单独参加或者与其他供应商另外组成联合体参加同一合同项下的政府采购活动，出现上述情况者，其投标和与此有关的联合体、总包单位的投标将被拒绝。</w:t>
      </w:r>
    </w:p>
    <w:p w14:paraId="1C01131F">
      <w:pPr>
        <w:adjustRightInd w:val="0"/>
        <w:spacing w:line="360" w:lineRule="auto"/>
        <w:rPr>
          <w:rFonts w:ascii="宋体" w:hAnsi="宋体"/>
          <w:snapToGrid w:val="0"/>
          <w:kern w:val="0"/>
        </w:rPr>
      </w:pPr>
      <w:r>
        <w:rPr>
          <w:rFonts w:hint="eastAsia" w:ascii="宋体" w:hAnsi="宋体"/>
          <w:snapToGrid w:val="0"/>
          <w:kern w:val="0"/>
        </w:rPr>
        <w:t>（10）本次招标中“投标人”一词亦指联合体各方，《投标人须知前附表》另有规定或说明的除外。</w:t>
      </w:r>
    </w:p>
    <w:p w14:paraId="18F58B19">
      <w:pPr>
        <w:adjustRightInd w:val="0"/>
        <w:spacing w:line="360" w:lineRule="auto"/>
        <w:rPr>
          <w:rFonts w:ascii="宋体" w:hAnsi="宋体"/>
          <w:b/>
          <w:snapToGrid w:val="0"/>
          <w:kern w:val="0"/>
        </w:rPr>
      </w:pPr>
      <w:r>
        <w:rPr>
          <w:rFonts w:hint="eastAsia" w:ascii="宋体" w:hAnsi="宋体"/>
          <w:b/>
          <w:snapToGrid w:val="0"/>
          <w:kern w:val="0"/>
        </w:rPr>
        <w:t>5</w:t>
      </w:r>
      <w:r>
        <w:rPr>
          <w:rFonts w:ascii="宋体" w:hAnsi="宋体"/>
          <w:b/>
          <w:snapToGrid w:val="0"/>
          <w:kern w:val="0"/>
        </w:rPr>
        <w:t xml:space="preserve">. </w:t>
      </w:r>
      <w:r>
        <w:rPr>
          <w:rFonts w:hint="eastAsia" w:ascii="宋体" w:hAnsi="宋体"/>
          <w:b/>
          <w:snapToGrid w:val="0"/>
          <w:kern w:val="0"/>
        </w:rPr>
        <w:t>投标费用的承担</w:t>
      </w:r>
    </w:p>
    <w:p w14:paraId="3A4A8BAA">
      <w:pPr>
        <w:adjustRightInd w:val="0"/>
        <w:spacing w:line="360" w:lineRule="auto"/>
        <w:rPr>
          <w:rFonts w:ascii="宋体" w:hAnsi="宋体"/>
          <w:snapToGrid w:val="0"/>
          <w:kern w:val="0"/>
        </w:rPr>
      </w:pPr>
      <w:r>
        <w:rPr>
          <w:rFonts w:hint="eastAsia" w:ascii="宋体" w:hAnsi="宋体"/>
          <w:snapToGrid w:val="0"/>
          <w:kern w:val="0"/>
        </w:rPr>
        <w:t>5</w:t>
      </w:r>
      <w:r>
        <w:rPr>
          <w:rFonts w:ascii="宋体" w:hAnsi="宋体"/>
          <w:snapToGrid w:val="0"/>
          <w:kern w:val="0"/>
        </w:rPr>
        <w:t xml:space="preserve">.1  </w:t>
      </w:r>
      <w:r>
        <w:rPr>
          <w:rFonts w:hint="eastAsia" w:ascii="宋体" w:hAnsi="宋体"/>
          <w:snapToGrid w:val="0"/>
          <w:kern w:val="0"/>
        </w:rPr>
        <w:t>无论招标投标过程中的做法和结果如何，投标人自行承担所有与参加投标有关的全部费用。</w:t>
      </w:r>
    </w:p>
    <w:p w14:paraId="60895C09">
      <w:pPr>
        <w:spacing w:line="360" w:lineRule="auto"/>
        <w:rPr>
          <w:rFonts w:ascii="宋体" w:hAnsi="宋体"/>
          <w:b/>
          <w:snapToGrid w:val="0"/>
          <w:kern w:val="0"/>
        </w:rPr>
      </w:pPr>
      <w:r>
        <w:rPr>
          <w:rFonts w:hint="eastAsia" w:ascii="宋体" w:hAnsi="宋体"/>
          <w:b/>
          <w:snapToGrid w:val="0"/>
          <w:kern w:val="0"/>
        </w:rPr>
        <w:t>6.  踏勘现场</w:t>
      </w:r>
    </w:p>
    <w:p w14:paraId="497596CC">
      <w:pPr>
        <w:spacing w:line="360" w:lineRule="auto"/>
        <w:rPr>
          <w:rFonts w:ascii="宋体" w:hAnsi="宋体"/>
        </w:rPr>
      </w:pPr>
      <w:r>
        <w:rPr>
          <w:rFonts w:hint="eastAsia" w:ascii="宋体" w:hAnsi="宋体"/>
        </w:rPr>
        <w:t>6.1  本项目按前附表第7项的规定安排现场踏勘，以便投标人获取须自己负责的有关编制投标文件和签署合同所需的所有资料。踏勘现场所发生的费用由投标人自己承担。</w:t>
      </w:r>
    </w:p>
    <w:p w14:paraId="151BFDDC">
      <w:pPr>
        <w:spacing w:line="360" w:lineRule="auto"/>
        <w:rPr>
          <w:rFonts w:ascii="宋体" w:hAnsi="宋体"/>
        </w:rPr>
      </w:pPr>
      <w:r>
        <w:rPr>
          <w:rFonts w:hint="eastAsia" w:ascii="宋体" w:hAnsi="宋体"/>
        </w:rPr>
        <w:t xml:space="preserve">6.2 </w:t>
      </w:r>
      <w:r>
        <w:rPr>
          <w:rFonts w:hint="eastAsia" w:ascii="宋体" w:hAnsi="宋体"/>
          <w:bCs/>
        </w:rPr>
        <w:t xml:space="preserve"> 采购人</w:t>
      </w:r>
      <w:r>
        <w:rPr>
          <w:rFonts w:hint="eastAsia" w:ascii="宋体" w:hAnsi="宋体"/>
        </w:rPr>
        <w:t>和</w:t>
      </w:r>
      <w:r>
        <w:rPr>
          <w:rFonts w:hint="eastAsia" w:ascii="宋体" w:hAnsi="宋体" w:cs="宋体"/>
          <w:bCs/>
          <w:snapToGrid w:val="0"/>
          <w:kern w:val="0"/>
        </w:rPr>
        <w:t>采购代理机构</w:t>
      </w:r>
      <w:r>
        <w:rPr>
          <w:rFonts w:hint="eastAsia" w:ascii="宋体" w:hAnsi="宋体"/>
        </w:rPr>
        <w:t>向投标人提供的有关现场的资料和数据，是</w:t>
      </w:r>
      <w:r>
        <w:rPr>
          <w:rFonts w:hint="eastAsia" w:ascii="宋体" w:hAnsi="宋体"/>
          <w:bCs/>
        </w:rPr>
        <w:t>采购人</w:t>
      </w:r>
      <w:r>
        <w:rPr>
          <w:rFonts w:hint="eastAsia" w:ascii="宋体" w:hAnsi="宋体"/>
        </w:rPr>
        <w:t>和</w:t>
      </w:r>
      <w:r>
        <w:rPr>
          <w:rFonts w:hint="eastAsia" w:ascii="宋体" w:hAnsi="宋体" w:cs="宋体"/>
          <w:bCs/>
          <w:snapToGrid w:val="0"/>
          <w:kern w:val="0"/>
        </w:rPr>
        <w:t>采购代理机构</w:t>
      </w:r>
      <w:r>
        <w:rPr>
          <w:rFonts w:hint="eastAsia" w:ascii="宋体" w:hAnsi="宋体"/>
        </w:rPr>
        <w:t>现有的能使投标人利用的资料。</w:t>
      </w:r>
      <w:r>
        <w:rPr>
          <w:rFonts w:hint="eastAsia" w:ascii="宋体" w:hAnsi="宋体"/>
          <w:bCs/>
        </w:rPr>
        <w:t>采购人</w:t>
      </w:r>
      <w:r>
        <w:rPr>
          <w:rFonts w:hint="eastAsia" w:ascii="宋体" w:hAnsi="宋体"/>
        </w:rPr>
        <w:t>和</w:t>
      </w:r>
      <w:r>
        <w:rPr>
          <w:rFonts w:hint="eastAsia" w:ascii="宋体" w:hAnsi="宋体" w:cs="宋体"/>
          <w:bCs/>
          <w:snapToGrid w:val="0"/>
          <w:kern w:val="0"/>
        </w:rPr>
        <w:t>采购代理机构</w:t>
      </w:r>
      <w:r>
        <w:rPr>
          <w:rFonts w:hint="eastAsia" w:ascii="宋体" w:hAnsi="宋体"/>
        </w:rPr>
        <w:t>对投标人由此而做出的推论、理解和结论概不负责。</w:t>
      </w:r>
    </w:p>
    <w:p w14:paraId="1E12EF3D">
      <w:pPr>
        <w:spacing w:line="360" w:lineRule="auto"/>
        <w:rPr>
          <w:rFonts w:ascii="宋体" w:hAnsi="宋体"/>
        </w:rPr>
      </w:pPr>
      <w:r>
        <w:rPr>
          <w:rFonts w:hint="eastAsia" w:ascii="宋体" w:hAnsi="宋体"/>
        </w:rPr>
        <w:t>6.3  投标人及其人员经过</w:t>
      </w:r>
      <w:r>
        <w:rPr>
          <w:rFonts w:hint="eastAsia" w:ascii="宋体" w:hAnsi="宋体"/>
          <w:bCs/>
        </w:rPr>
        <w:t>采购人</w:t>
      </w:r>
      <w:r>
        <w:rPr>
          <w:rFonts w:hint="eastAsia" w:ascii="宋体" w:hAnsi="宋体"/>
        </w:rPr>
        <w:t>和</w:t>
      </w:r>
      <w:r>
        <w:rPr>
          <w:rFonts w:hint="eastAsia" w:ascii="宋体" w:hAnsi="宋体" w:cs="宋体"/>
          <w:bCs/>
          <w:snapToGrid w:val="0"/>
          <w:kern w:val="0"/>
        </w:rPr>
        <w:t>采购代理机构</w:t>
      </w:r>
      <w:r>
        <w:rPr>
          <w:rFonts w:hint="eastAsia" w:ascii="宋体" w:hAnsi="宋体"/>
        </w:rPr>
        <w:t>的允许，可为踏勘目的进入</w:t>
      </w:r>
      <w:r>
        <w:rPr>
          <w:rFonts w:hint="eastAsia" w:ascii="宋体" w:hAnsi="宋体"/>
          <w:bCs/>
          <w:snapToGrid w:val="0"/>
          <w:kern w:val="0"/>
        </w:rPr>
        <w:t>采购人</w:t>
      </w:r>
      <w:r>
        <w:rPr>
          <w:rFonts w:hint="eastAsia" w:ascii="宋体" w:hAnsi="宋体"/>
        </w:rPr>
        <w:t>的现场，但投标人及其人员不得因此使</w:t>
      </w:r>
      <w:r>
        <w:rPr>
          <w:rFonts w:hint="eastAsia" w:ascii="宋体" w:hAnsi="宋体"/>
          <w:bCs/>
        </w:rPr>
        <w:t>采购人</w:t>
      </w:r>
      <w:r>
        <w:rPr>
          <w:rFonts w:hint="eastAsia" w:ascii="宋体" w:hAnsi="宋体"/>
        </w:rPr>
        <w:t>及其人员承担有关的责任和蒙受损失。投标人并应对由此次踏勘现场造成的死亡、人身伤害、财产损失、损害以及任何其它损失、损害和引起的费用和开支承担责任。</w:t>
      </w:r>
    </w:p>
    <w:p w14:paraId="000EC82F">
      <w:pPr>
        <w:spacing w:line="360" w:lineRule="auto"/>
        <w:rPr>
          <w:rFonts w:ascii="宋体" w:hAnsi="宋体"/>
        </w:rPr>
      </w:pPr>
      <w:r>
        <w:rPr>
          <w:rFonts w:hint="eastAsia" w:ascii="宋体" w:hAnsi="宋体"/>
        </w:rPr>
        <w:t>6.4   如果投标人认为需要再次进行现场踏勘，</w:t>
      </w:r>
      <w:r>
        <w:rPr>
          <w:rFonts w:hint="eastAsia" w:ascii="宋体" w:hAnsi="宋体"/>
          <w:bCs/>
        </w:rPr>
        <w:t>采购人</w:t>
      </w:r>
      <w:r>
        <w:rPr>
          <w:rFonts w:hint="eastAsia" w:ascii="宋体" w:hAnsi="宋体"/>
        </w:rPr>
        <w:t>将予以支持，费用自理。</w:t>
      </w:r>
    </w:p>
    <w:p w14:paraId="4B0B5239">
      <w:pPr>
        <w:adjustRightInd w:val="0"/>
        <w:spacing w:line="360" w:lineRule="auto"/>
        <w:jc w:val="center"/>
        <w:rPr>
          <w:rFonts w:ascii="宋体" w:hAnsi="宋体"/>
          <w:b/>
          <w:snapToGrid w:val="0"/>
          <w:kern w:val="0"/>
        </w:rPr>
      </w:pPr>
      <w:bookmarkStart w:id="23" w:name="q5"/>
      <w:bookmarkEnd w:id="23"/>
    </w:p>
    <w:p w14:paraId="29728A4B">
      <w:pPr>
        <w:pStyle w:val="2"/>
        <w:spacing w:before="0" w:after="0"/>
      </w:pPr>
      <w:bookmarkStart w:id="24" w:name="_Toc171350588"/>
      <w:r>
        <w:rPr>
          <w:rFonts w:hint="eastAsia"/>
        </w:rPr>
        <w:t>二、招标文件说明</w:t>
      </w:r>
      <w:bookmarkEnd w:id="24"/>
    </w:p>
    <w:p w14:paraId="6B7FBAD0">
      <w:pPr>
        <w:adjustRightInd w:val="0"/>
        <w:spacing w:line="360" w:lineRule="auto"/>
        <w:rPr>
          <w:rFonts w:ascii="宋体" w:hAnsi="宋体"/>
          <w:b/>
          <w:snapToGrid w:val="0"/>
          <w:kern w:val="0"/>
        </w:rPr>
      </w:pPr>
      <w:r>
        <w:rPr>
          <w:rFonts w:hint="eastAsia" w:ascii="宋体" w:hAnsi="宋体"/>
          <w:b/>
          <w:snapToGrid w:val="0"/>
          <w:kern w:val="0"/>
        </w:rPr>
        <w:t>7</w:t>
      </w:r>
      <w:r>
        <w:rPr>
          <w:rFonts w:ascii="宋体" w:hAnsi="宋体"/>
          <w:b/>
          <w:snapToGrid w:val="0"/>
          <w:kern w:val="0"/>
        </w:rPr>
        <w:t xml:space="preserve">. </w:t>
      </w:r>
      <w:r>
        <w:rPr>
          <w:rFonts w:hint="eastAsia" w:ascii="宋体" w:hAnsi="宋体"/>
          <w:b/>
          <w:snapToGrid w:val="0"/>
          <w:kern w:val="0"/>
        </w:rPr>
        <w:t>招标文件的构成</w:t>
      </w:r>
    </w:p>
    <w:p w14:paraId="2366D5B7">
      <w:pPr>
        <w:adjustRightInd w:val="0"/>
        <w:spacing w:line="360" w:lineRule="auto"/>
        <w:rPr>
          <w:rFonts w:ascii="宋体" w:hAnsi="宋体"/>
          <w:snapToGrid w:val="0"/>
          <w:kern w:val="0"/>
        </w:rPr>
      </w:pPr>
      <w:r>
        <w:rPr>
          <w:rFonts w:hint="eastAsia" w:ascii="宋体" w:hAnsi="宋体"/>
          <w:snapToGrid w:val="0"/>
          <w:kern w:val="0"/>
        </w:rPr>
        <w:t>7</w:t>
      </w:r>
      <w:r>
        <w:rPr>
          <w:rFonts w:ascii="宋体" w:hAnsi="宋体"/>
          <w:snapToGrid w:val="0"/>
          <w:kern w:val="0"/>
        </w:rPr>
        <w:t xml:space="preserve">.1  </w:t>
      </w:r>
      <w:r>
        <w:rPr>
          <w:rFonts w:hint="eastAsia" w:ascii="宋体" w:hAnsi="宋体"/>
          <w:snapToGrid w:val="0"/>
          <w:kern w:val="0"/>
        </w:rPr>
        <w:t>招标文件是用以阐明所需设备及服务的情况，以及招标、投标程序和相应的合同条款。招标文件由下述部分组成：</w:t>
      </w:r>
    </w:p>
    <w:p w14:paraId="3A5E8E6A">
      <w:pPr>
        <w:adjustRightInd w:val="0"/>
        <w:spacing w:line="360" w:lineRule="auto"/>
        <w:ind w:firstLine="424" w:firstLineChars="202"/>
        <w:rPr>
          <w:rFonts w:ascii="宋体" w:hAnsi="宋体"/>
          <w:snapToGrid w:val="0"/>
          <w:kern w:val="0"/>
        </w:rPr>
      </w:pPr>
      <w:r>
        <w:rPr>
          <w:rFonts w:hint="eastAsia" w:ascii="宋体" w:hAnsi="宋体"/>
          <w:snapToGrid w:val="0"/>
          <w:kern w:val="0"/>
        </w:rPr>
        <w:t>第一章 投标邀请；</w:t>
      </w:r>
    </w:p>
    <w:p w14:paraId="6E65B5E8">
      <w:pPr>
        <w:adjustRightInd w:val="0"/>
        <w:spacing w:line="360" w:lineRule="auto"/>
        <w:ind w:firstLine="424" w:firstLineChars="202"/>
        <w:rPr>
          <w:rFonts w:ascii="宋体" w:hAnsi="宋体"/>
          <w:snapToGrid w:val="0"/>
          <w:kern w:val="0"/>
        </w:rPr>
      </w:pPr>
      <w:r>
        <w:rPr>
          <w:rFonts w:hint="eastAsia" w:ascii="宋体" w:hAnsi="宋体"/>
          <w:snapToGrid w:val="0"/>
          <w:kern w:val="0"/>
        </w:rPr>
        <w:t>第二章 项目需求；</w:t>
      </w:r>
    </w:p>
    <w:p w14:paraId="1A7635C4">
      <w:pPr>
        <w:adjustRightInd w:val="0"/>
        <w:spacing w:line="360" w:lineRule="auto"/>
        <w:ind w:firstLine="424" w:firstLineChars="202"/>
        <w:rPr>
          <w:rFonts w:ascii="宋体" w:hAnsi="宋体"/>
          <w:snapToGrid w:val="0"/>
          <w:kern w:val="0"/>
        </w:rPr>
      </w:pPr>
      <w:r>
        <w:rPr>
          <w:rFonts w:hint="eastAsia" w:ascii="宋体" w:hAnsi="宋体"/>
          <w:snapToGrid w:val="0"/>
          <w:kern w:val="0"/>
        </w:rPr>
        <w:t>第三章 投标文件初审；</w:t>
      </w:r>
    </w:p>
    <w:p w14:paraId="4B131D61">
      <w:pPr>
        <w:adjustRightInd w:val="0"/>
        <w:spacing w:line="360" w:lineRule="auto"/>
        <w:ind w:firstLine="424" w:firstLineChars="202"/>
        <w:rPr>
          <w:rFonts w:ascii="宋体" w:hAnsi="宋体"/>
          <w:snapToGrid w:val="0"/>
          <w:kern w:val="0"/>
        </w:rPr>
      </w:pPr>
      <w:r>
        <w:rPr>
          <w:rFonts w:hint="eastAsia" w:ascii="宋体" w:hAnsi="宋体"/>
          <w:snapToGrid w:val="0"/>
          <w:kern w:val="0"/>
        </w:rPr>
        <w:t>第四章 评标方法和标准；</w:t>
      </w:r>
    </w:p>
    <w:p w14:paraId="30F79CA3">
      <w:pPr>
        <w:adjustRightInd w:val="0"/>
        <w:spacing w:line="360" w:lineRule="auto"/>
        <w:ind w:firstLine="424" w:firstLineChars="202"/>
        <w:rPr>
          <w:rFonts w:ascii="宋体" w:hAnsi="宋体"/>
          <w:snapToGrid w:val="0"/>
          <w:kern w:val="0"/>
        </w:rPr>
      </w:pPr>
      <w:r>
        <w:rPr>
          <w:rFonts w:hint="eastAsia" w:ascii="宋体" w:hAnsi="宋体"/>
          <w:snapToGrid w:val="0"/>
          <w:kern w:val="0"/>
        </w:rPr>
        <w:t>第五章 投标人须知前附表；</w:t>
      </w:r>
    </w:p>
    <w:p w14:paraId="5B274F40">
      <w:pPr>
        <w:adjustRightInd w:val="0"/>
        <w:spacing w:line="360" w:lineRule="auto"/>
        <w:ind w:firstLine="424" w:firstLineChars="202"/>
        <w:rPr>
          <w:rFonts w:ascii="宋体" w:hAnsi="宋体"/>
          <w:snapToGrid w:val="0"/>
          <w:kern w:val="0"/>
        </w:rPr>
      </w:pPr>
      <w:r>
        <w:rPr>
          <w:rFonts w:hint="eastAsia" w:ascii="宋体" w:hAnsi="宋体"/>
          <w:snapToGrid w:val="0"/>
          <w:kern w:val="0"/>
        </w:rPr>
        <w:t>第六章 投标人须知；</w:t>
      </w:r>
    </w:p>
    <w:p w14:paraId="4A11F22F">
      <w:pPr>
        <w:adjustRightInd w:val="0"/>
        <w:spacing w:line="360" w:lineRule="auto"/>
        <w:ind w:firstLine="424" w:firstLineChars="202"/>
        <w:rPr>
          <w:rFonts w:ascii="宋体" w:hAnsi="宋体"/>
          <w:snapToGrid w:val="0"/>
          <w:kern w:val="0"/>
        </w:rPr>
      </w:pPr>
      <w:r>
        <w:rPr>
          <w:rFonts w:hint="eastAsia" w:ascii="宋体" w:hAnsi="宋体"/>
          <w:snapToGrid w:val="0"/>
          <w:kern w:val="0"/>
        </w:rPr>
        <w:t>第七章 投标文件格式；</w:t>
      </w:r>
    </w:p>
    <w:p w14:paraId="3464ECF9">
      <w:pPr>
        <w:adjustRightInd w:val="0"/>
        <w:spacing w:line="360" w:lineRule="auto"/>
        <w:ind w:firstLine="424" w:firstLineChars="202"/>
        <w:rPr>
          <w:rFonts w:ascii="宋体" w:hAnsi="宋体"/>
          <w:snapToGrid w:val="0"/>
          <w:kern w:val="0"/>
        </w:rPr>
      </w:pPr>
      <w:r>
        <w:rPr>
          <w:rFonts w:hint="eastAsia" w:ascii="宋体" w:hAnsi="宋体"/>
          <w:snapToGrid w:val="0"/>
          <w:kern w:val="0"/>
        </w:rPr>
        <w:t>第八章 合同条款；</w:t>
      </w:r>
    </w:p>
    <w:p w14:paraId="5713E6E0">
      <w:pPr>
        <w:adjustRightInd w:val="0"/>
        <w:spacing w:line="360" w:lineRule="auto"/>
        <w:ind w:firstLine="424" w:firstLineChars="202"/>
        <w:rPr>
          <w:rFonts w:ascii="宋体" w:hAnsi="宋体"/>
          <w:snapToGrid w:val="0"/>
          <w:kern w:val="0"/>
        </w:rPr>
      </w:pPr>
      <w:r>
        <w:rPr>
          <w:rFonts w:hint="eastAsia" w:ascii="宋体" w:hAnsi="宋体"/>
          <w:snapToGrid w:val="0"/>
          <w:kern w:val="0"/>
        </w:rPr>
        <w:t>第九章 附件。</w:t>
      </w:r>
    </w:p>
    <w:p w14:paraId="1D005AA3">
      <w:pPr>
        <w:adjustRightInd w:val="0"/>
        <w:spacing w:line="360" w:lineRule="auto"/>
        <w:rPr>
          <w:rFonts w:ascii="宋体" w:hAnsi="宋体"/>
          <w:b/>
          <w:snapToGrid w:val="0"/>
          <w:kern w:val="0"/>
        </w:rPr>
      </w:pPr>
      <w:r>
        <w:rPr>
          <w:rFonts w:hint="eastAsia" w:ascii="宋体" w:hAnsi="宋体"/>
          <w:b/>
          <w:snapToGrid w:val="0"/>
          <w:kern w:val="0"/>
        </w:rPr>
        <w:t>8</w:t>
      </w:r>
      <w:r>
        <w:rPr>
          <w:rFonts w:ascii="宋体" w:hAnsi="宋体"/>
          <w:b/>
          <w:snapToGrid w:val="0"/>
          <w:kern w:val="0"/>
        </w:rPr>
        <w:t xml:space="preserve">.  </w:t>
      </w:r>
      <w:r>
        <w:rPr>
          <w:rFonts w:hint="eastAsia" w:ascii="宋体" w:hAnsi="宋体"/>
          <w:b/>
          <w:snapToGrid w:val="0"/>
          <w:kern w:val="0"/>
        </w:rPr>
        <w:t>招标文件的澄清及修改</w:t>
      </w:r>
    </w:p>
    <w:p w14:paraId="2C169A3C">
      <w:pPr>
        <w:adjustRightInd w:val="0"/>
        <w:spacing w:line="360" w:lineRule="auto"/>
        <w:rPr>
          <w:snapToGrid w:val="0"/>
          <w:kern w:val="0"/>
        </w:rPr>
      </w:pPr>
      <w:r>
        <w:rPr>
          <w:rFonts w:hint="eastAsia"/>
          <w:snapToGrid w:val="0"/>
          <w:kern w:val="0"/>
        </w:rPr>
        <w:t>8</w:t>
      </w:r>
      <w:r>
        <w:rPr>
          <w:snapToGrid w:val="0"/>
          <w:kern w:val="0"/>
        </w:rPr>
        <w:t>.1</w:t>
      </w:r>
      <w:r>
        <w:rPr>
          <w:rFonts w:hint="eastAsia"/>
          <w:snapToGrid w:val="0"/>
          <w:kern w:val="0"/>
        </w:rPr>
        <w:t>投标人对招标文件如有疑点，可要求澄清，应在投标截止日10日前按投标邀请中载明的地址以书面形式（包括信函、传真，下同）通知到</w:t>
      </w:r>
      <w:r>
        <w:rPr>
          <w:rFonts w:hint="eastAsia" w:ascii="宋体" w:hAnsi="宋体" w:cs="宋体"/>
          <w:bCs/>
          <w:snapToGrid w:val="0"/>
          <w:kern w:val="0"/>
        </w:rPr>
        <w:t>招标代理机构</w:t>
      </w:r>
      <w:r>
        <w:rPr>
          <w:rFonts w:hint="eastAsia"/>
          <w:snapToGrid w:val="0"/>
          <w:kern w:val="0"/>
        </w:rPr>
        <w:t>。</w:t>
      </w:r>
      <w:r>
        <w:rPr>
          <w:rFonts w:hint="eastAsia" w:ascii="宋体" w:hAnsi="宋体" w:cs="宋体"/>
          <w:bCs/>
          <w:snapToGrid w:val="0"/>
          <w:kern w:val="0"/>
        </w:rPr>
        <w:t>招标代理机构</w:t>
      </w:r>
      <w:r>
        <w:rPr>
          <w:rFonts w:hint="eastAsia"/>
          <w:snapToGrid w:val="0"/>
          <w:kern w:val="0"/>
        </w:rPr>
        <w:t>将视情况确定采用适当方式予以澄清或以书面形式予以答复，并在其认为必要时，将不标明查询来源的书面答复发给已购买招标文件的每一投标人。</w:t>
      </w:r>
    </w:p>
    <w:p w14:paraId="005F462F">
      <w:pPr>
        <w:adjustRightInd w:val="0"/>
        <w:spacing w:line="360" w:lineRule="auto"/>
        <w:rPr>
          <w:snapToGrid w:val="0"/>
          <w:kern w:val="0"/>
        </w:rPr>
      </w:pPr>
      <w:r>
        <w:rPr>
          <w:rFonts w:hint="eastAsia"/>
          <w:snapToGrid w:val="0"/>
          <w:kern w:val="0"/>
        </w:rPr>
        <w:t>8</w:t>
      </w:r>
      <w:r>
        <w:rPr>
          <w:snapToGrid w:val="0"/>
          <w:kern w:val="0"/>
        </w:rPr>
        <w:t>.2</w:t>
      </w:r>
      <w:r>
        <w:rPr>
          <w:rFonts w:hint="eastAsia"/>
          <w:snapToGrid w:val="0"/>
          <w:kern w:val="0"/>
        </w:rPr>
        <w:t xml:space="preserve">  采购人或招标代理机构对已发出的招标文件进行必要澄清或者修改的，应当在投标人须知前附表规定的提交投标文件截止时间</w:t>
      </w:r>
      <w:r>
        <w:rPr>
          <w:snapToGrid w:val="0"/>
          <w:kern w:val="0"/>
        </w:rPr>
        <w:t>15</w:t>
      </w:r>
      <w:r>
        <w:rPr>
          <w:rFonts w:hint="eastAsia"/>
          <w:snapToGrid w:val="0"/>
          <w:kern w:val="0"/>
        </w:rPr>
        <w:t>日前，在原刊登招标公告的媒体上发布更正公告，并以书面形式通知所有招标文件收受人。</w:t>
      </w:r>
    </w:p>
    <w:p w14:paraId="0315D2DE">
      <w:pPr>
        <w:adjustRightInd w:val="0"/>
        <w:spacing w:line="360" w:lineRule="auto"/>
        <w:rPr>
          <w:snapToGrid w:val="0"/>
          <w:kern w:val="0"/>
        </w:rPr>
      </w:pPr>
      <w:r>
        <w:rPr>
          <w:rFonts w:hint="eastAsia"/>
          <w:snapToGrid w:val="0"/>
          <w:kern w:val="0"/>
        </w:rPr>
        <w:t>8</w:t>
      </w:r>
      <w:r>
        <w:rPr>
          <w:snapToGrid w:val="0"/>
          <w:kern w:val="0"/>
        </w:rPr>
        <w:t>.</w:t>
      </w:r>
      <w:r>
        <w:rPr>
          <w:rFonts w:hint="eastAsia"/>
          <w:snapToGrid w:val="0"/>
          <w:kern w:val="0"/>
        </w:rPr>
        <w:t>3招标文件的修改将构成招标文件的一部分，对投标人有约束力。</w:t>
      </w:r>
    </w:p>
    <w:p w14:paraId="31B50765">
      <w:pPr>
        <w:adjustRightInd w:val="0"/>
        <w:spacing w:line="360" w:lineRule="auto"/>
        <w:ind w:firstLine="600"/>
        <w:jc w:val="center"/>
        <w:rPr>
          <w:rFonts w:ascii="宋体" w:hAnsi="宋体"/>
          <w:b/>
          <w:snapToGrid w:val="0"/>
          <w:kern w:val="0"/>
        </w:rPr>
      </w:pPr>
    </w:p>
    <w:p w14:paraId="432618CB">
      <w:pPr>
        <w:pStyle w:val="2"/>
        <w:spacing w:before="0" w:after="0"/>
      </w:pPr>
      <w:bookmarkStart w:id="25" w:name="q6"/>
      <w:bookmarkEnd w:id="25"/>
      <w:bookmarkStart w:id="26" w:name="_Toc171350589"/>
      <w:r>
        <w:rPr>
          <w:rFonts w:hint="eastAsia"/>
        </w:rPr>
        <w:t>三、投标文件的编写</w:t>
      </w:r>
      <w:bookmarkEnd w:id="26"/>
    </w:p>
    <w:p w14:paraId="2780BE3D">
      <w:pPr>
        <w:adjustRightInd w:val="0"/>
        <w:spacing w:line="360" w:lineRule="auto"/>
        <w:rPr>
          <w:rFonts w:ascii="宋体" w:hAnsi="宋体"/>
          <w:b/>
          <w:snapToGrid w:val="0"/>
          <w:kern w:val="0"/>
        </w:rPr>
      </w:pPr>
      <w:r>
        <w:rPr>
          <w:rFonts w:hint="eastAsia" w:ascii="宋体" w:hAnsi="宋体"/>
          <w:b/>
          <w:snapToGrid w:val="0"/>
          <w:kern w:val="0"/>
        </w:rPr>
        <w:t>9</w:t>
      </w:r>
      <w:r>
        <w:rPr>
          <w:rFonts w:ascii="宋体" w:hAnsi="宋体"/>
          <w:b/>
          <w:snapToGrid w:val="0"/>
          <w:kern w:val="0"/>
        </w:rPr>
        <w:t xml:space="preserve">. </w:t>
      </w:r>
      <w:r>
        <w:rPr>
          <w:rFonts w:hint="eastAsia" w:ascii="宋体" w:hAnsi="宋体"/>
          <w:b/>
          <w:snapToGrid w:val="0"/>
          <w:kern w:val="0"/>
        </w:rPr>
        <w:t>投标语言及计量单位</w:t>
      </w:r>
    </w:p>
    <w:p w14:paraId="0A4BDF64">
      <w:pPr>
        <w:adjustRightInd w:val="0"/>
        <w:spacing w:line="360" w:lineRule="auto"/>
        <w:rPr>
          <w:rFonts w:ascii="宋体" w:hAnsi="宋体"/>
          <w:snapToGrid w:val="0"/>
          <w:kern w:val="0"/>
        </w:rPr>
      </w:pPr>
      <w:r>
        <w:rPr>
          <w:rFonts w:hint="eastAsia" w:ascii="宋体" w:hAnsi="宋体"/>
          <w:snapToGrid w:val="0"/>
          <w:kern w:val="0"/>
        </w:rPr>
        <w:t>9</w:t>
      </w:r>
      <w:r>
        <w:rPr>
          <w:rFonts w:ascii="宋体" w:hAnsi="宋体"/>
          <w:snapToGrid w:val="0"/>
          <w:kern w:val="0"/>
        </w:rPr>
        <w:t>.1</w:t>
      </w:r>
      <w:r>
        <w:rPr>
          <w:rFonts w:hint="eastAsia" w:ascii="宋体" w:hAnsi="宋体"/>
          <w:snapToGrid w:val="0"/>
          <w:kern w:val="0"/>
        </w:rPr>
        <w:t>投标文件及投标人和</w:t>
      </w:r>
      <w:r>
        <w:rPr>
          <w:rFonts w:hint="eastAsia" w:ascii="宋体" w:hAnsi="宋体" w:cs="宋体"/>
          <w:bCs/>
          <w:snapToGrid w:val="0"/>
          <w:kern w:val="0"/>
        </w:rPr>
        <w:t>采购代理机构</w:t>
      </w:r>
      <w:r>
        <w:rPr>
          <w:rFonts w:hint="eastAsia" w:ascii="宋体" w:hAnsi="宋体"/>
          <w:snapToGrid w:val="0"/>
          <w:kern w:val="0"/>
        </w:rPr>
        <w:t>就投标交换的文件和往来的信件，应以中文书写。</w:t>
      </w:r>
    </w:p>
    <w:p w14:paraId="2F970877">
      <w:pPr>
        <w:adjustRightInd w:val="0"/>
        <w:spacing w:line="360" w:lineRule="auto"/>
        <w:rPr>
          <w:rFonts w:ascii="宋体" w:hAnsi="宋体"/>
          <w:snapToGrid w:val="0"/>
          <w:kern w:val="0"/>
        </w:rPr>
      </w:pPr>
      <w:r>
        <w:rPr>
          <w:rFonts w:hint="eastAsia" w:ascii="宋体" w:hAnsi="宋体"/>
          <w:snapToGrid w:val="0"/>
          <w:kern w:val="0"/>
        </w:rPr>
        <w:t>9</w:t>
      </w:r>
      <w:r>
        <w:rPr>
          <w:rFonts w:ascii="宋体" w:hAnsi="宋体"/>
          <w:snapToGrid w:val="0"/>
          <w:kern w:val="0"/>
        </w:rPr>
        <w:t>.2</w:t>
      </w:r>
      <w:r>
        <w:rPr>
          <w:rFonts w:hint="eastAsia" w:ascii="宋体" w:hAnsi="宋体"/>
          <w:snapToGrid w:val="0"/>
          <w:kern w:val="0"/>
        </w:rPr>
        <w:t xml:space="preserve">  除在招标文件的设计思路和方案中另有规定外，计量单位应使用中华人民共和国法定计量单位（国际单位制和国家选定的其他计量单位）。</w:t>
      </w:r>
    </w:p>
    <w:p w14:paraId="3977840F">
      <w:pPr>
        <w:adjustRightInd w:val="0"/>
        <w:spacing w:line="360" w:lineRule="auto"/>
        <w:rPr>
          <w:rFonts w:ascii="宋体" w:hAnsi="宋体"/>
          <w:b/>
          <w:snapToGrid w:val="0"/>
          <w:kern w:val="0"/>
        </w:rPr>
      </w:pPr>
      <w:r>
        <w:rPr>
          <w:rFonts w:hint="eastAsia" w:ascii="宋体" w:hAnsi="宋体"/>
          <w:b/>
          <w:snapToGrid w:val="0"/>
          <w:kern w:val="0"/>
        </w:rPr>
        <w:t>10</w:t>
      </w:r>
      <w:r>
        <w:rPr>
          <w:rFonts w:ascii="宋体" w:hAnsi="宋体"/>
          <w:b/>
          <w:snapToGrid w:val="0"/>
          <w:kern w:val="0"/>
        </w:rPr>
        <w:t xml:space="preserve">. </w:t>
      </w:r>
      <w:r>
        <w:rPr>
          <w:rFonts w:hint="eastAsia" w:ascii="宋体" w:hAnsi="宋体"/>
          <w:b/>
          <w:snapToGrid w:val="0"/>
          <w:kern w:val="0"/>
        </w:rPr>
        <w:t>投标文件的组成</w:t>
      </w:r>
    </w:p>
    <w:p w14:paraId="1D2A6B83">
      <w:pPr>
        <w:adjustRightInd w:val="0"/>
        <w:spacing w:line="360" w:lineRule="auto"/>
        <w:rPr>
          <w:rFonts w:ascii="宋体" w:hAnsi="宋体"/>
          <w:snapToGrid w:val="0"/>
          <w:kern w:val="0"/>
        </w:rPr>
      </w:pPr>
      <w:r>
        <w:rPr>
          <w:rFonts w:hint="eastAsia" w:ascii="宋体" w:hAnsi="宋体"/>
          <w:snapToGrid w:val="0"/>
          <w:kern w:val="0"/>
        </w:rPr>
        <w:t>10</w:t>
      </w:r>
      <w:r>
        <w:rPr>
          <w:rFonts w:ascii="宋体" w:hAnsi="宋体"/>
          <w:snapToGrid w:val="0"/>
          <w:kern w:val="0"/>
        </w:rPr>
        <w:t>.1</w:t>
      </w:r>
      <w:r>
        <w:rPr>
          <w:rFonts w:hint="eastAsia" w:ascii="宋体" w:hAnsi="宋体"/>
          <w:snapToGrid w:val="0"/>
          <w:kern w:val="0"/>
        </w:rPr>
        <w:t xml:space="preserve">  投标文件应包括下列部分：</w:t>
      </w:r>
    </w:p>
    <w:p w14:paraId="28B4ABCB">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（1）目录</w:t>
      </w:r>
    </w:p>
    <w:p w14:paraId="4B9583B2">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（2）评标指引表</w:t>
      </w:r>
    </w:p>
    <w:p w14:paraId="4B0D5EBE">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（3）</w:t>
      </w:r>
      <w:r>
        <w:rPr>
          <w:rFonts w:hint="eastAsia" w:ascii="宋体" w:hAnsi="宋体"/>
          <w:snapToGrid w:val="0"/>
          <w:kern w:val="0"/>
          <w:szCs w:val="21"/>
        </w:rPr>
        <w:t>投标人资格证明文件</w:t>
      </w:r>
      <w:r>
        <w:rPr>
          <w:rFonts w:hint="eastAsia" w:ascii="宋体" w:hAnsi="宋体"/>
          <w:snapToGrid w:val="0"/>
          <w:kern w:val="0"/>
        </w:rPr>
        <w:t>（投标文件格式1）</w:t>
      </w:r>
    </w:p>
    <w:p w14:paraId="136E14C2">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（4）法定代表人（负责人）证明书及授权委托书（投标文件格式2）</w:t>
      </w:r>
    </w:p>
    <w:p w14:paraId="6D749B80">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（5）投标函（投标文件格式3）</w:t>
      </w:r>
    </w:p>
    <w:p w14:paraId="3D8A7098">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（6）</w:t>
      </w:r>
      <w:r>
        <w:rPr>
          <w:rFonts w:hint="eastAsia" w:ascii="宋体" w:hAnsi="宋体"/>
          <w:snapToGrid w:val="0"/>
          <w:kern w:val="0"/>
          <w:szCs w:val="21"/>
        </w:rPr>
        <w:t>评分中涉及的承诺及声明函</w:t>
      </w:r>
      <w:r>
        <w:rPr>
          <w:rFonts w:hint="eastAsia" w:ascii="宋体" w:hAnsi="宋体"/>
          <w:snapToGrid w:val="0"/>
          <w:kern w:val="0"/>
        </w:rPr>
        <w:t>（投标文件格式4）</w:t>
      </w:r>
    </w:p>
    <w:p w14:paraId="4C0ADFB7">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（7）报价表（投标文件格式6）</w:t>
      </w:r>
    </w:p>
    <w:p w14:paraId="208C7F00">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（8）</w:t>
      </w:r>
      <w:r>
        <w:rPr>
          <w:rFonts w:hint="eastAsia"/>
          <w:snapToGrid w:val="0"/>
          <w:kern w:val="0"/>
        </w:rPr>
        <w:t>服务方案</w:t>
      </w:r>
      <w:r>
        <w:rPr>
          <w:rFonts w:hint="eastAsia" w:ascii="宋体" w:hAnsi="宋体"/>
          <w:snapToGrid w:val="0"/>
          <w:kern w:val="0"/>
        </w:rPr>
        <w:t>（投标文件格式7）</w:t>
      </w:r>
    </w:p>
    <w:p w14:paraId="76DC37EA">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（9）</w:t>
      </w:r>
      <w:r>
        <w:rPr>
          <w:rFonts w:ascii="宋体" w:hAnsi="宋体"/>
          <w:snapToGrid w:val="0"/>
          <w:kern w:val="0"/>
        </w:rPr>
        <w:t>投标人情况介绍</w:t>
      </w:r>
      <w:r>
        <w:rPr>
          <w:rFonts w:hint="eastAsia" w:ascii="宋体" w:hAnsi="宋体"/>
          <w:snapToGrid w:val="0"/>
          <w:kern w:val="0"/>
        </w:rPr>
        <w:t xml:space="preserve"> （投标文件格式8）</w:t>
      </w:r>
    </w:p>
    <w:p w14:paraId="74EC0E40">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（10）偏离表（投标文件格式9）</w:t>
      </w:r>
    </w:p>
    <w:p w14:paraId="70CE2037">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（11）招标文件要求的其他资料或投标人认为需要补充的资料（投标文件格式10）</w:t>
      </w:r>
    </w:p>
    <w:p w14:paraId="1AB31F67">
      <w:pPr>
        <w:adjustRightInd w:val="0"/>
        <w:spacing w:line="360" w:lineRule="auto"/>
        <w:ind w:left="848" w:leftChars="99" w:hanging="640" w:hangingChars="305"/>
        <w:rPr>
          <w:rFonts w:ascii="宋体" w:hAnsi="宋体"/>
          <w:snapToGrid w:val="0"/>
          <w:kern w:val="0"/>
        </w:rPr>
      </w:pPr>
      <w:r>
        <w:rPr>
          <w:rFonts w:hint="eastAsia" w:ascii="宋体" w:hAnsi="宋体"/>
          <w:snapToGrid w:val="0"/>
          <w:kern w:val="0"/>
        </w:rPr>
        <w:t>（12）装有“法定代表人（负责人）证明书、法定代表人（负责人）授权委托书”和“开标一览表”单独密封的信封</w:t>
      </w:r>
    </w:p>
    <w:p w14:paraId="7B5BFA1D">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（13）装有</w:t>
      </w:r>
      <w:r>
        <w:rPr>
          <w:rFonts w:hint="eastAsia" w:ascii="宋体" w:hAnsi="宋体"/>
        </w:rPr>
        <w:t>电子</w:t>
      </w:r>
      <w:r>
        <w:rPr>
          <w:rFonts w:ascii="宋体" w:hAnsi="宋体"/>
        </w:rPr>
        <w:t>备份光盘（或U盘）</w:t>
      </w:r>
      <w:r>
        <w:rPr>
          <w:rFonts w:hint="eastAsia" w:ascii="宋体" w:hAnsi="宋体"/>
        </w:rPr>
        <w:t>（内容为投标文件正本盖章扫描件）</w:t>
      </w:r>
      <w:r>
        <w:rPr>
          <w:rFonts w:hint="eastAsia" w:ascii="宋体" w:hAnsi="宋体"/>
          <w:snapToGrid w:val="0"/>
          <w:kern w:val="0"/>
        </w:rPr>
        <w:t>单独密封的信封</w:t>
      </w:r>
    </w:p>
    <w:p w14:paraId="75E6C4BC">
      <w:pPr>
        <w:adjustRightInd w:val="0"/>
        <w:spacing w:line="360" w:lineRule="auto"/>
        <w:rPr>
          <w:rFonts w:ascii="宋体" w:hAnsi="宋体"/>
          <w:snapToGrid w:val="0"/>
          <w:kern w:val="0"/>
        </w:rPr>
      </w:pPr>
      <w:r>
        <w:rPr>
          <w:rFonts w:hint="eastAsia" w:ascii="宋体" w:hAnsi="宋体"/>
          <w:b/>
          <w:snapToGrid w:val="0"/>
          <w:kern w:val="0"/>
        </w:rPr>
        <w:t>11</w:t>
      </w:r>
      <w:r>
        <w:rPr>
          <w:rFonts w:ascii="宋体" w:hAnsi="宋体"/>
          <w:b/>
          <w:snapToGrid w:val="0"/>
          <w:kern w:val="0"/>
        </w:rPr>
        <w:t xml:space="preserve">. </w:t>
      </w:r>
      <w:r>
        <w:rPr>
          <w:rFonts w:hint="eastAsia" w:ascii="宋体" w:hAnsi="宋体"/>
          <w:b/>
          <w:snapToGrid w:val="0"/>
          <w:kern w:val="0"/>
        </w:rPr>
        <w:t>投标文件格式</w:t>
      </w:r>
    </w:p>
    <w:p w14:paraId="181AABEA">
      <w:pPr>
        <w:adjustRightInd w:val="0"/>
        <w:spacing w:line="360" w:lineRule="auto"/>
        <w:rPr>
          <w:rFonts w:ascii="宋体" w:hAnsi="宋体"/>
          <w:snapToGrid w:val="0"/>
          <w:kern w:val="0"/>
        </w:rPr>
      </w:pPr>
      <w:r>
        <w:rPr>
          <w:rFonts w:hint="eastAsia" w:ascii="宋体" w:hAnsi="宋体"/>
          <w:snapToGrid w:val="0"/>
          <w:kern w:val="0"/>
        </w:rPr>
        <w:t>11</w:t>
      </w:r>
      <w:r>
        <w:rPr>
          <w:rFonts w:ascii="宋体" w:hAnsi="宋体"/>
          <w:snapToGrid w:val="0"/>
          <w:kern w:val="0"/>
        </w:rPr>
        <w:t xml:space="preserve">.1  </w:t>
      </w:r>
      <w:r>
        <w:rPr>
          <w:rFonts w:hint="eastAsia" w:ascii="宋体" w:hAnsi="宋体"/>
          <w:snapToGrid w:val="0"/>
          <w:kern w:val="0"/>
        </w:rPr>
        <w:t>投标文件必须毫无遗漏地包括本须知第10条规定的内容，投标人提交的投标文件必须毫无例外地使用招标文件所提供投标文件格式（表格可以按同样格式扩展）。</w:t>
      </w:r>
      <w:r>
        <w:rPr>
          <w:rFonts w:hint="eastAsia" w:ascii="宋体" w:hAnsi="宋体"/>
        </w:rPr>
        <w:t>如没有相应格式的，由投标人根据招标要求自行编制。</w:t>
      </w:r>
    </w:p>
    <w:p w14:paraId="5BA62830">
      <w:pPr>
        <w:adjustRightInd w:val="0"/>
        <w:spacing w:line="360" w:lineRule="auto"/>
        <w:rPr>
          <w:rFonts w:ascii="宋体" w:hAnsi="宋体"/>
          <w:b/>
          <w:snapToGrid w:val="0"/>
          <w:kern w:val="0"/>
        </w:rPr>
      </w:pPr>
      <w:r>
        <w:rPr>
          <w:rFonts w:hint="eastAsia" w:ascii="宋体" w:hAnsi="宋体"/>
          <w:b/>
          <w:snapToGrid w:val="0"/>
          <w:kern w:val="0"/>
        </w:rPr>
        <w:t>12</w:t>
      </w:r>
      <w:r>
        <w:rPr>
          <w:rFonts w:ascii="宋体" w:hAnsi="宋体"/>
          <w:b/>
          <w:snapToGrid w:val="0"/>
          <w:kern w:val="0"/>
        </w:rPr>
        <w:t xml:space="preserve">. </w:t>
      </w:r>
      <w:r>
        <w:rPr>
          <w:rFonts w:hint="eastAsia" w:ascii="宋体" w:hAnsi="宋体"/>
          <w:b/>
          <w:snapToGrid w:val="0"/>
          <w:kern w:val="0"/>
        </w:rPr>
        <w:t>投标报价</w:t>
      </w:r>
    </w:p>
    <w:p w14:paraId="5E4A94D8">
      <w:pPr>
        <w:adjustRightInd w:val="0"/>
        <w:spacing w:line="360" w:lineRule="auto"/>
        <w:rPr>
          <w:rFonts w:ascii="宋体" w:hAnsi="宋体"/>
          <w:snapToGrid w:val="0"/>
          <w:kern w:val="0"/>
        </w:rPr>
      </w:pPr>
      <w:r>
        <w:rPr>
          <w:rFonts w:ascii="宋体" w:hAnsi="宋体"/>
          <w:snapToGrid w:val="0"/>
          <w:kern w:val="0"/>
        </w:rPr>
        <w:t>12.1</w:t>
      </w:r>
      <w:r>
        <w:rPr>
          <w:rFonts w:hint="eastAsia" w:ascii="宋体" w:hAnsi="宋体"/>
          <w:snapToGrid w:val="0"/>
          <w:kern w:val="0"/>
        </w:rPr>
        <w:t xml:space="preserve">  投标报价应以人民币为结算单位。</w:t>
      </w:r>
    </w:p>
    <w:p w14:paraId="676EE7E2">
      <w:pPr>
        <w:adjustRightInd w:val="0"/>
        <w:spacing w:line="360" w:lineRule="auto"/>
        <w:rPr>
          <w:rFonts w:ascii="宋体" w:hAnsi="宋体"/>
          <w:snapToGrid w:val="0"/>
          <w:kern w:val="0"/>
        </w:rPr>
      </w:pPr>
      <w:r>
        <w:rPr>
          <w:rFonts w:ascii="宋体" w:hAnsi="宋体"/>
          <w:snapToGrid w:val="0"/>
          <w:kern w:val="0"/>
        </w:rPr>
        <w:t>12.</w:t>
      </w:r>
      <w:r>
        <w:rPr>
          <w:rFonts w:hint="eastAsia" w:ascii="宋体" w:hAnsi="宋体"/>
          <w:snapToGrid w:val="0"/>
          <w:kern w:val="0"/>
        </w:rPr>
        <w:t>2 投标人应分别在招标文件所附的“开标一览表”（投标文件格式5）和“报价表”（投标文件格式6）上写明</w:t>
      </w:r>
      <w:r>
        <w:rPr>
          <w:rFonts w:hint="eastAsia"/>
          <w:snapToGrid w:val="0"/>
          <w:kern w:val="0"/>
        </w:rPr>
        <w:t>投标单价和投标总价</w:t>
      </w:r>
      <w:r>
        <w:rPr>
          <w:rFonts w:hint="eastAsia" w:ascii="宋体" w:hAnsi="宋体"/>
          <w:snapToGrid w:val="0"/>
          <w:kern w:val="0"/>
        </w:rPr>
        <w:t>。投标人对每种项目只允许有一个报价，采购代理机构不接受有任何选择的报价。</w:t>
      </w:r>
    </w:p>
    <w:p w14:paraId="0823FC65">
      <w:pPr>
        <w:adjustRightInd w:val="0"/>
        <w:spacing w:line="360" w:lineRule="auto"/>
        <w:rPr>
          <w:rFonts w:ascii="宋体" w:hAnsi="宋体"/>
          <w:snapToGrid w:val="0"/>
          <w:kern w:val="0"/>
        </w:rPr>
      </w:pPr>
      <w:r>
        <w:rPr>
          <w:rFonts w:ascii="宋体" w:hAnsi="宋体"/>
          <w:snapToGrid w:val="0"/>
          <w:kern w:val="0"/>
        </w:rPr>
        <w:t xml:space="preserve">12.3  </w:t>
      </w:r>
      <w:r>
        <w:rPr>
          <w:rFonts w:hint="eastAsia" w:ascii="宋体" w:hAnsi="宋体"/>
          <w:snapToGrid w:val="0"/>
          <w:kern w:val="0"/>
        </w:rPr>
        <w:t>此报价作为评标委员会评标标准，但不能限制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564771C4">
      <w:pPr>
        <w:adjustRightInd w:val="0"/>
        <w:spacing w:line="360" w:lineRule="auto"/>
        <w:rPr>
          <w:rFonts w:ascii="宋体" w:hAnsi="宋体"/>
          <w:b/>
          <w:snapToGrid w:val="0"/>
          <w:kern w:val="0"/>
        </w:rPr>
      </w:pPr>
      <w:r>
        <w:rPr>
          <w:rFonts w:ascii="宋体" w:hAnsi="宋体"/>
          <w:b/>
          <w:snapToGrid w:val="0"/>
          <w:kern w:val="0"/>
        </w:rPr>
        <w:t>1</w:t>
      </w: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投标人资格的证明文件</w:t>
      </w:r>
    </w:p>
    <w:p w14:paraId="64D1D808">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3</w:t>
      </w:r>
      <w:r>
        <w:rPr>
          <w:rFonts w:ascii="宋体" w:hAnsi="宋体"/>
          <w:snapToGrid w:val="0"/>
          <w:kern w:val="0"/>
        </w:rPr>
        <w:t xml:space="preserve">.1  </w:t>
      </w:r>
      <w:r>
        <w:rPr>
          <w:rFonts w:hint="eastAsia" w:ascii="宋体" w:hAnsi="宋体"/>
          <w:snapToGrid w:val="0"/>
          <w:kern w:val="0"/>
        </w:rPr>
        <w:t>投标人必须提交证明其有资格进行投标，和中标后有能力履行合同的证明文件（投标文件格式1与格式8），作为投标文件的一部分。</w:t>
      </w:r>
    </w:p>
    <w:p w14:paraId="6D9FEC28">
      <w:pPr>
        <w:adjustRightInd w:val="0"/>
        <w:spacing w:line="360" w:lineRule="auto"/>
        <w:rPr>
          <w:rFonts w:ascii="宋体" w:hAnsi="宋体"/>
          <w:b/>
          <w:snapToGrid w:val="0"/>
          <w:kern w:val="0"/>
        </w:rPr>
      </w:pPr>
      <w:r>
        <w:rPr>
          <w:rFonts w:ascii="宋体" w:hAnsi="宋体"/>
          <w:b/>
          <w:snapToGrid w:val="0"/>
          <w:kern w:val="0"/>
        </w:rPr>
        <w:t>1</w:t>
      </w: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投标有效期</w:t>
      </w:r>
    </w:p>
    <w:p w14:paraId="15A7014D">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4</w:t>
      </w:r>
      <w:r>
        <w:rPr>
          <w:rFonts w:ascii="宋体" w:hAnsi="宋体"/>
          <w:snapToGrid w:val="0"/>
          <w:kern w:val="0"/>
        </w:rPr>
        <w:t>.1</w:t>
      </w:r>
      <w:r>
        <w:rPr>
          <w:rFonts w:hint="eastAsia" w:ascii="宋体" w:hAnsi="宋体"/>
          <w:snapToGrid w:val="0"/>
          <w:kern w:val="0"/>
        </w:rPr>
        <w:t xml:space="preserve">  投标文件的有效期按前附表第8项规定。</w:t>
      </w:r>
    </w:p>
    <w:p w14:paraId="3170DD07">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4</w:t>
      </w:r>
      <w:r>
        <w:rPr>
          <w:rFonts w:ascii="宋体" w:hAnsi="宋体"/>
          <w:snapToGrid w:val="0"/>
          <w:kern w:val="0"/>
        </w:rPr>
        <w:t xml:space="preserve">.2  </w:t>
      </w:r>
      <w:r>
        <w:rPr>
          <w:rFonts w:hint="eastAsia" w:ascii="宋体" w:hAnsi="宋体"/>
          <w:snapToGrid w:val="0"/>
          <w:kern w:val="0"/>
        </w:rPr>
        <w:t>特殊情况下，</w:t>
      </w:r>
      <w:r>
        <w:rPr>
          <w:rFonts w:hint="eastAsia" w:ascii="宋体" w:hAnsi="宋体" w:cs="宋体"/>
          <w:bCs/>
          <w:snapToGrid w:val="0"/>
          <w:kern w:val="0"/>
        </w:rPr>
        <w:t>采购代理机构</w:t>
      </w:r>
      <w:r>
        <w:rPr>
          <w:rFonts w:hint="eastAsia" w:ascii="宋体" w:hAnsi="宋体"/>
          <w:snapToGrid w:val="0"/>
          <w:kern w:val="0"/>
        </w:rPr>
        <w:t>可于投标有效期期满之前，要求投标人同意延长投标有效期。投标人可以拒绝或同意上述要求，但要求与答复均须是书面文件。对于同意该要求的投标人，</w:t>
      </w:r>
      <w:r>
        <w:rPr>
          <w:rFonts w:hint="eastAsia" w:ascii="宋体" w:hAnsi="宋体" w:cs="宋体"/>
          <w:bCs/>
          <w:snapToGrid w:val="0"/>
          <w:kern w:val="0"/>
        </w:rPr>
        <w:t>采购代理机构</w:t>
      </w:r>
      <w:r>
        <w:rPr>
          <w:rFonts w:hint="eastAsia" w:ascii="宋体" w:hAnsi="宋体"/>
          <w:snapToGrid w:val="0"/>
          <w:kern w:val="0"/>
        </w:rPr>
        <w:t>既不要求也不允许其修改投标文件。</w:t>
      </w:r>
    </w:p>
    <w:p w14:paraId="3F1A9E77">
      <w:pPr>
        <w:adjustRightInd w:val="0"/>
        <w:spacing w:line="360" w:lineRule="auto"/>
        <w:rPr>
          <w:rFonts w:ascii="宋体" w:hAnsi="宋体"/>
          <w:b/>
          <w:snapToGrid w:val="0"/>
          <w:kern w:val="0"/>
        </w:rPr>
      </w:pPr>
      <w:r>
        <w:rPr>
          <w:rFonts w:ascii="宋体" w:hAnsi="宋体"/>
          <w:b/>
          <w:snapToGrid w:val="0"/>
          <w:kern w:val="0"/>
        </w:rPr>
        <w:t xml:space="preserve">15. </w:t>
      </w:r>
      <w:r>
        <w:rPr>
          <w:rFonts w:hint="eastAsia" w:ascii="宋体" w:hAnsi="宋体"/>
          <w:b/>
          <w:snapToGrid w:val="0"/>
          <w:kern w:val="0"/>
        </w:rPr>
        <w:t>投标保证金（本项目不作要求）</w:t>
      </w:r>
    </w:p>
    <w:p w14:paraId="24F827FD">
      <w:pPr>
        <w:adjustRightInd w:val="0"/>
        <w:spacing w:line="360" w:lineRule="auto"/>
        <w:rPr>
          <w:rFonts w:ascii="宋体" w:hAnsi="宋体"/>
          <w:snapToGrid w:val="0"/>
          <w:kern w:val="0"/>
        </w:rPr>
      </w:pPr>
      <w:r>
        <w:rPr>
          <w:rFonts w:ascii="宋体" w:hAnsi="宋体"/>
          <w:snapToGrid w:val="0"/>
          <w:kern w:val="0"/>
        </w:rPr>
        <w:t>15.1</w:t>
      </w:r>
      <w:r>
        <w:rPr>
          <w:rFonts w:hint="eastAsia"/>
          <w:snapToGrid w:val="0"/>
          <w:kern w:val="0"/>
        </w:rPr>
        <w:t>以下有关投标保证金的条款仅适用于需要缴纳投标保证金的项目。是否需要缴纳投标保证金以《投标人须知前附表》中的规定或说明为准。</w:t>
      </w:r>
    </w:p>
    <w:p w14:paraId="00630452">
      <w:pPr>
        <w:adjustRightInd w:val="0"/>
        <w:spacing w:line="360" w:lineRule="auto"/>
        <w:rPr>
          <w:rFonts w:ascii="宋体" w:hAnsi="宋体"/>
          <w:snapToGrid w:val="0"/>
          <w:kern w:val="0"/>
        </w:rPr>
      </w:pPr>
      <w:r>
        <w:rPr>
          <w:rFonts w:ascii="宋体" w:hAnsi="宋体"/>
          <w:snapToGrid w:val="0"/>
          <w:kern w:val="0"/>
        </w:rPr>
        <w:t xml:space="preserve">15.2 </w:t>
      </w:r>
      <w:r>
        <w:rPr>
          <w:rFonts w:hint="eastAsia" w:ascii="宋体" w:hAnsi="宋体"/>
          <w:snapToGrid w:val="0"/>
          <w:kern w:val="0"/>
        </w:rPr>
        <w:t xml:space="preserve"> 投标人应向</w:t>
      </w:r>
      <w:r>
        <w:rPr>
          <w:rFonts w:hint="eastAsia" w:ascii="宋体" w:hAnsi="宋体" w:cs="宋体"/>
          <w:bCs/>
          <w:snapToGrid w:val="0"/>
          <w:kern w:val="0"/>
        </w:rPr>
        <w:t>采购代理机构</w:t>
      </w:r>
      <w:r>
        <w:rPr>
          <w:rFonts w:hint="eastAsia" w:ascii="宋体" w:hAnsi="宋体"/>
          <w:snapToGrid w:val="0"/>
          <w:kern w:val="0"/>
        </w:rPr>
        <w:t>提交一笔不少于前附表第9项所规定的投标保证金。投标保证金为投标文件的组成部分之一。</w:t>
      </w:r>
    </w:p>
    <w:p w14:paraId="4493D39E">
      <w:pPr>
        <w:adjustRightInd w:val="0"/>
        <w:spacing w:line="360" w:lineRule="auto"/>
        <w:rPr>
          <w:rFonts w:ascii="宋体" w:hAnsi="宋体"/>
          <w:snapToGrid w:val="0"/>
          <w:kern w:val="0"/>
        </w:rPr>
      </w:pPr>
      <w:r>
        <w:rPr>
          <w:rFonts w:ascii="宋体" w:hAnsi="宋体"/>
          <w:snapToGrid w:val="0"/>
          <w:kern w:val="0"/>
        </w:rPr>
        <w:t>15.3</w:t>
      </w:r>
      <w:r>
        <w:rPr>
          <w:rFonts w:hint="eastAsia" w:ascii="宋体" w:hAnsi="宋体"/>
          <w:snapToGrid w:val="0"/>
          <w:kern w:val="0"/>
        </w:rPr>
        <w:t xml:space="preserve">  投标保证金用于保护本次招标免受投标人的行为而引起的风险。</w:t>
      </w:r>
    </w:p>
    <w:p w14:paraId="0C0975F3">
      <w:pPr>
        <w:adjustRightInd w:val="0"/>
        <w:spacing w:line="360" w:lineRule="auto"/>
        <w:rPr>
          <w:rFonts w:ascii="宋体" w:hAnsi="宋体"/>
          <w:snapToGrid w:val="0"/>
          <w:kern w:val="0"/>
        </w:rPr>
      </w:pPr>
      <w:r>
        <w:rPr>
          <w:rFonts w:ascii="宋体" w:hAnsi="宋体"/>
          <w:snapToGrid w:val="0"/>
          <w:kern w:val="0"/>
        </w:rPr>
        <w:t>15.</w:t>
      </w:r>
      <w:r>
        <w:rPr>
          <w:rFonts w:hint="eastAsia" w:ascii="宋体" w:hAnsi="宋体"/>
          <w:snapToGrid w:val="0"/>
          <w:kern w:val="0"/>
        </w:rPr>
        <w:t>4投标保证金应以支票、银行转账或招标机构能够接受的其它非现金形式提交。（注：投标保证金必须从投标供应商基本账户转出，否则属于隐瞒真实情况，提供虚假资料。）</w:t>
      </w:r>
    </w:p>
    <w:p w14:paraId="4A20D1CA">
      <w:pPr>
        <w:adjustRightInd w:val="0"/>
        <w:spacing w:line="360" w:lineRule="auto"/>
        <w:rPr>
          <w:rFonts w:ascii="宋体" w:hAnsi="宋体"/>
          <w:snapToGrid w:val="0"/>
          <w:kern w:val="0"/>
        </w:rPr>
      </w:pPr>
      <w:r>
        <w:rPr>
          <w:rFonts w:ascii="宋体" w:hAnsi="宋体"/>
          <w:snapToGrid w:val="0"/>
          <w:kern w:val="0"/>
        </w:rPr>
        <w:t xml:space="preserve">15.5  </w:t>
      </w:r>
      <w:r>
        <w:rPr>
          <w:rFonts w:hint="eastAsia" w:ascii="宋体" w:hAnsi="宋体"/>
          <w:snapToGrid w:val="0"/>
          <w:kern w:val="0"/>
        </w:rPr>
        <w:t>未按规定提交投标保证金的投标，将被视为无效投标。</w:t>
      </w:r>
    </w:p>
    <w:p w14:paraId="69500C4D">
      <w:pPr>
        <w:adjustRightInd w:val="0"/>
        <w:spacing w:line="360" w:lineRule="auto"/>
        <w:rPr>
          <w:rFonts w:ascii="宋体" w:hAnsi="宋体"/>
          <w:snapToGrid w:val="0"/>
          <w:kern w:val="0"/>
        </w:rPr>
      </w:pPr>
      <w:r>
        <w:rPr>
          <w:rFonts w:ascii="宋体" w:hAnsi="宋体"/>
          <w:snapToGrid w:val="0"/>
          <w:kern w:val="0"/>
        </w:rPr>
        <w:t xml:space="preserve">15.6 </w:t>
      </w:r>
      <w:r>
        <w:rPr>
          <w:rFonts w:hint="eastAsia" w:ascii="宋体" w:hAnsi="宋体"/>
          <w:snapToGrid w:val="0"/>
          <w:kern w:val="0"/>
        </w:rPr>
        <w:t xml:space="preserve"> 未中标的投标人的投标保证金，采购代理机构将在中标通知书发出且收到投标人的《投标保证金退还申请表》后5个工作日内退还。</w:t>
      </w:r>
    </w:p>
    <w:p w14:paraId="5BEC3F15">
      <w:pPr>
        <w:adjustRightInd w:val="0"/>
        <w:spacing w:line="360" w:lineRule="auto"/>
        <w:rPr>
          <w:rFonts w:ascii="宋体" w:hAnsi="宋体"/>
          <w:snapToGrid w:val="0"/>
          <w:kern w:val="0"/>
        </w:rPr>
      </w:pPr>
      <w:r>
        <w:rPr>
          <w:rFonts w:ascii="宋体" w:hAnsi="宋体"/>
          <w:snapToGrid w:val="0"/>
          <w:kern w:val="0"/>
        </w:rPr>
        <w:t xml:space="preserve">15.7 </w:t>
      </w:r>
      <w:r>
        <w:rPr>
          <w:rFonts w:hint="eastAsia" w:ascii="宋体" w:hAnsi="宋体"/>
          <w:snapToGrid w:val="0"/>
          <w:kern w:val="0"/>
        </w:rPr>
        <w:t xml:space="preserve"> 中标方的投标保证金，采购代理机构将在中标方签订合同并支付中标服务费后5个工作日内退还。</w:t>
      </w:r>
    </w:p>
    <w:p w14:paraId="7827AE2E">
      <w:pPr>
        <w:adjustRightInd w:val="0"/>
        <w:spacing w:line="360" w:lineRule="auto"/>
        <w:rPr>
          <w:rFonts w:ascii="宋体" w:hAnsi="宋体"/>
          <w:snapToGrid w:val="0"/>
          <w:kern w:val="0"/>
        </w:rPr>
      </w:pPr>
      <w:r>
        <w:rPr>
          <w:rFonts w:hint="eastAsia" w:ascii="宋体" w:hAnsi="宋体"/>
          <w:snapToGrid w:val="0"/>
          <w:kern w:val="0"/>
        </w:rPr>
        <w:t>15.</w:t>
      </w:r>
      <w:r>
        <w:rPr>
          <w:rFonts w:ascii="宋体" w:hAnsi="宋体"/>
          <w:snapToGrid w:val="0"/>
          <w:kern w:val="0"/>
        </w:rPr>
        <w:t>8</w:t>
      </w:r>
      <w:r>
        <w:rPr>
          <w:rFonts w:hint="eastAsia" w:ascii="宋体" w:hAnsi="宋体"/>
          <w:snapToGrid w:val="0"/>
          <w:kern w:val="0"/>
        </w:rPr>
        <w:t xml:space="preserve">  发生以下情况投标保证金将被没收：</w:t>
      </w:r>
    </w:p>
    <w:p w14:paraId="2AAAD185">
      <w:pPr>
        <w:adjustRightInd w:val="0"/>
        <w:spacing w:line="360" w:lineRule="auto"/>
        <w:ind w:left="630" w:hanging="630" w:hangingChars="300"/>
        <w:rPr>
          <w:rFonts w:ascii="宋体" w:hAnsi="宋体"/>
          <w:snapToGrid w:val="0"/>
          <w:kern w:val="0"/>
        </w:rPr>
      </w:pPr>
      <w:r>
        <w:rPr>
          <w:rFonts w:hint="eastAsia" w:ascii="宋体" w:hAnsi="宋体"/>
          <w:snapToGrid w:val="0"/>
          <w:kern w:val="0"/>
        </w:rPr>
        <w:t>（1） 已递交了投标保证金的投标人放弃投标，而没有在投标保证金递交截止时间前书面通知采购代理机构的；</w:t>
      </w:r>
    </w:p>
    <w:p w14:paraId="118F435E">
      <w:pPr>
        <w:adjustRightInd w:val="0"/>
        <w:spacing w:line="360" w:lineRule="auto"/>
        <w:rPr>
          <w:rFonts w:ascii="宋体" w:hAnsi="宋体"/>
          <w:snapToGrid w:val="0"/>
          <w:kern w:val="0"/>
        </w:rPr>
      </w:pPr>
      <w:r>
        <w:rPr>
          <w:rFonts w:hint="eastAsia" w:ascii="宋体" w:hAnsi="宋体"/>
          <w:snapToGrid w:val="0"/>
          <w:kern w:val="0"/>
        </w:rPr>
        <w:t>（2） 开标后投标人在投标有效期内撤回投标；</w:t>
      </w:r>
    </w:p>
    <w:p w14:paraId="603D906B">
      <w:pPr>
        <w:adjustRightInd w:val="0"/>
        <w:spacing w:line="360" w:lineRule="auto"/>
        <w:rPr>
          <w:rFonts w:ascii="宋体" w:hAnsi="宋体"/>
          <w:snapToGrid w:val="0"/>
          <w:kern w:val="0"/>
        </w:rPr>
      </w:pPr>
      <w:r>
        <w:rPr>
          <w:rFonts w:hint="eastAsia" w:ascii="宋体" w:hAnsi="宋体"/>
          <w:snapToGrid w:val="0"/>
          <w:kern w:val="0"/>
        </w:rPr>
        <w:t>（3） 投标人串通投标或者以其他弄虚作假方式投标；</w:t>
      </w:r>
    </w:p>
    <w:p w14:paraId="39E2B969">
      <w:pPr>
        <w:adjustRightInd w:val="0"/>
        <w:spacing w:line="360" w:lineRule="auto"/>
        <w:rPr>
          <w:rFonts w:ascii="宋体" w:hAnsi="宋体"/>
          <w:snapToGrid w:val="0"/>
          <w:kern w:val="0"/>
        </w:rPr>
      </w:pPr>
      <w:r>
        <w:rPr>
          <w:rFonts w:hint="eastAsia" w:ascii="宋体" w:hAnsi="宋体"/>
          <w:snapToGrid w:val="0"/>
          <w:kern w:val="0"/>
        </w:rPr>
        <w:t>（4） 如果中标方未能做到：</w:t>
      </w:r>
    </w:p>
    <w:p w14:paraId="4E99B716">
      <w:pPr>
        <w:adjustRightInd w:val="0"/>
        <w:spacing w:line="360" w:lineRule="auto"/>
        <w:ind w:firstLine="630" w:firstLineChars="300"/>
        <w:rPr>
          <w:rFonts w:ascii="宋体" w:hAnsi="宋体"/>
          <w:snapToGrid w:val="0"/>
          <w:kern w:val="0"/>
        </w:rPr>
      </w:pPr>
      <w:r>
        <w:rPr>
          <w:rFonts w:hint="eastAsia" w:ascii="宋体" w:hAnsi="宋体"/>
          <w:snapToGrid w:val="0"/>
          <w:kern w:val="0"/>
        </w:rPr>
        <w:t>按本须知第32条规定签订合同；或</w:t>
      </w:r>
    </w:p>
    <w:p w14:paraId="7BEA9FA2">
      <w:pPr>
        <w:adjustRightInd w:val="0"/>
        <w:spacing w:line="360" w:lineRule="auto"/>
        <w:ind w:firstLine="630" w:firstLineChars="300"/>
        <w:rPr>
          <w:rFonts w:ascii="宋体" w:hAnsi="宋体"/>
          <w:snapToGrid w:val="0"/>
          <w:kern w:val="0"/>
        </w:rPr>
      </w:pPr>
      <w:r>
        <w:rPr>
          <w:rFonts w:hint="eastAsia" w:ascii="宋体" w:hAnsi="宋体"/>
          <w:snapToGrid w:val="0"/>
          <w:kern w:val="0"/>
        </w:rPr>
        <w:t>按本须知第33条规定提供履约保证金；或</w:t>
      </w:r>
    </w:p>
    <w:p w14:paraId="5B155004">
      <w:pPr>
        <w:adjustRightInd w:val="0"/>
        <w:spacing w:line="360" w:lineRule="auto"/>
        <w:ind w:firstLine="630" w:firstLineChars="300"/>
        <w:rPr>
          <w:rFonts w:ascii="宋体" w:hAnsi="宋体"/>
          <w:snapToGrid w:val="0"/>
          <w:kern w:val="0"/>
        </w:rPr>
      </w:pPr>
      <w:r>
        <w:rPr>
          <w:rFonts w:hint="eastAsia" w:ascii="宋体" w:hAnsi="宋体"/>
          <w:snapToGrid w:val="0"/>
          <w:kern w:val="0"/>
        </w:rPr>
        <w:t>按本须知第34条规定缴纳中标服务费。</w:t>
      </w:r>
    </w:p>
    <w:p w14:paraId="2D400164">
      <w:pPr>
        <w:adjustRightInd w:val="0"/>
        <w:spacing w:line="360" w:lineRule="auto"/>
        <w:rPr>
          <w:rFonts w:ascii="宋体" w:hAnsi="宋体"/>
          <w:snapToGrid w:val="0"/>
          <w:kern w:val="0"/>
        </w:rPr>
      </w:pPr>
      <w:r>
        <w:rPr>
          <w:rFonts w:hint="eastAsia" w:ascii="宋体" w:hAnsi="宋体"/>
          <w:snapToGrid w:val="0"/>
          <w:kern w:val="0"/>
        </w:rPr>
        <w:t>（5） 法律法规规定的其它情况。</w:t>
      </w:r>
    </w:p>
    <w:p w14:paraId="52F89439">
      <w:pPr>
        <w:tabs>
          <w:tab w:val="left" w:pos="330"/>
        </w:tabs>
        <w:spacing w:line="360" w:lineRule="auto"/>
        <w:rPr>
          <w:rFonts w:ascii="宋体" w:hAnsi="宋体"/>
          <w:b/>
        </w:rPr>
      </w:pPr>
      <w:r>
        <w:rPr>
          <w:rFonts w:hint="eastAsia" w:ascii="宋体" w:hAnsi="宋体"/>
          <w:b/>
        </w:rPr>
        <w:t>16. 投标预备会（</w:t>
      </w:r>
      <w:r>
        <w:rPr>
          <w:rFonts w:hint="eastAsia" w:ascii="宋体" w:hAnsi="宋体"/>
          <w:b/>
          <w:snapToGrid w:val="0"/>
          <w:kern w:val="0"/>
        </w:rPr>
        <w:t>答疑会）</w:t>
      </w:r>
    </w:p>
    <w:p w14:paraId="749F6281">
      <w:pPr>
        <w:adjustRightInd w:val="0"/>
        <w:spacing w:line="360" w:lineRule="auto"/>
        <w:rPr>
          <w:rFonts w:ascii="宋体" w:hAnsi="宋体"/>
          <w:snapToGrid w:val="0"/>
          <w:kern w:val="0"/>
        </w:rPr>
      </w:pPr>
      <w:r>
        <w:rPr>
          <w:rFonts w:hint="eastAsia" w:ascii="宋体" w:hAnsi="宋体"/>
          <w:snapToGrid w:val="0"/>
          <w:kern w:val="0"/>
        </w:rPr>
        <w:t>16.1  投标预备会（答疑会），如</w:t>
      </w:r>
      <w:r>
        <w:rPr>
          <w:rFonts w:hint="eastAsia" w:ascii="宋体" w:hAnsi="宋体" w:cs="宋体"/>
          <w:bCs/>
          <w:snapToGrid w:val="0"/>
          <w:kern w:val="0"/>
        </w:rPr>
        <w:t>采购代理机构</w:t>
      </w:r>
      <w:r>
        <w:rPr>
          <w:rFonts w:hint="eastAsia" w:ascii="宋体" w:hAnsi="宋体"/>
          <w:snapToGrid w:val="0"/>
          <w:kern w:val="0"/>
        </w:rPr>
        <w:t>认为有必要召开投标预备会，投标人应按照前附表第10项规定的或</w:t>
      </w:r>
      <w:r>
        <w:rPr>
          <w:rFonts w:hint="eastAsia" w:ascii="宋体" w:hAnsi="宋体" w:cs="宋体"/>
          <w:bCs/>
          <w:snapToGrid w:val="0"/>
          <w:kern w:val="0"/>
        </w:rPr>
        <w:t>采购代理机构</w:t>
      </w:r>
      <w:r>
        <w:rPr>
          <w:rFonts w:hint="eastAsia" w:ascii="宋体" w:hAnsi="宋体"/>
          <w:snapToGrid w:val="0"/>
          <w:kern w:val="0"/>
        </w:rPr>
        <w:t>另行书面通知的时间（招标文件提供期限截止后）和地点，派出代表出席</w:t>
      </w:r>
      <w:r>
        <w:rPr>
          <w:rFonts w:hint="eastAsia" w:ascii="宋体" w:hAnsi="宋体" w:cs="宋体"/>
          <w:bCs/>
          <w:snapToGrid w:val="0"/>
          <w:kern w:val="0"/>
        </w:rPr>
        <w:t>采购代理机构</w:t>
      </w:r>
      <w:r>
        <w:rPr>
          <w:rFonts w:hint="eastAsia" w:ascii="宋体" w:hAnsi="宋体"/>
          <w:snapToGrid w:val="0"/>
          <w:kern w:val="0"/>
        </w:rPr>
        <w:t>主持的投标预备会。</w:t>
      </w:r>
    </w:p>
    <w:p w14:paraId="3A24E83B">
      <w:pPr>
        <w:adjustRightInd w:val="0"/>
        <w:spacing w:line="360" w:lineRule="auto"/>
        <w:rPr>
          <w:rFonts w:ascii="宋体" w:hAnsi="宋体"/>
          <w:snapToGrid w:val="0"/>
          <w:kern w:val="0"/>
        </w:rPr>
      </w:pPr>
      <w:r>
        <w:rPr>
          <w:rFonts w:hint="eastAsia" w:ascii="宋体" w:hAnsi="宋体"/>
          <w:snapToGrid w:val="0"/>
          <w:kern w:val="0"/>
        </w:rPr>
        <w:t xml:space="preserve">16.2  投标预备会的目的是澄清、解答投标人在查阅招标文件后和现场踏勘中可能提出的任何方面的问题。 </w:t>
      </w:r>
    </w:p>
    <w:p w14:paraId="20974B65">
      <w:pPr>
        <w:adjustRightInd w:val="0"/>
        <w:spacing w:line="360" w:lineRule="auto"/>
        <w:rPr>
          <w:rFonts w:ascii="宋体" w:hAnsi="宋体"/>
          <w:snapToGrid w:val="0"/>
          <w:kern w:val="0"/>
        </w:rPr>
      </w:pPr>
      <w:r>
        <w:rPr>
          <w:rFonts w:hint="eastAsia" w:ascii="宋体" w:hAnsi="宋体"/>
          <w:snapToGrid w:val="0"/>
          <w:kern w:val="0"/>
        </w:rPr>
        <w:t>16.3  投标人提出的与投标有关的任何</w:t>
      </w:r>
      <w:r>
        <w:rPr>
          <w:rFonts w:hint="eastAsia" w:ascii="宋体" w:hAnsi="宋体" w:cs="宋体"/>
          <w:bCs/>
          <w:snapToGrid w:val="0"/>
          <w:kern w:val="0"/>
        </w:rPr>
        <w:t>招标</w:t>
      </w:r>
      <w:r>
        <w:rPr>
          <w:rFonts w:hint="eastAsia" w:ascii="宋体" w:hAnsi="宋体"/>
          <w:snapToGrid w:val="0"/>
          <w:kern w:val="0"/>
        </w:rPr>
        <w:t>问题须以书面形式给</w:t>
      </w:r>
      <w:r>
        <w:rPr>
          <w:rFonts w:hint="eastAsia" w:ascii="宋体" w:hAnsi="宋体" w:cs="宋体"/>
          <w:bCs/>
          <w:snapToGrid w:val="0"/>
          <w:kern w:val="0"/>
        </w:rPr>
        <w:t>采购代理机构</w:t>
      </w:r>
      <w:r>
        <w:rPr>
          <w:rFonts w:hint="eastAsia" w:ascii="宋体" w:hAnsi="宋体"/>
          <w:snapToGrid w:val="0"/>
          <w:kern w:val="0"/>
        </w:rPr>
        <w:t>。在投标预备会上，</w:t>
      </w:r>
      <w:r>
        <w:rPr>
          <w:rFonts w:hint="eastAsia" w:ascii="宋体" w:hAnsi="宋体" w:cs="宋体"/>
          <w:bCs/>
          <w:snapToGrid w:val="0"/>
          <w:kern w:val="0"/>
        </w:rPr>
        <w:t>采购代理机构</w:t>
      </w:r>
      <w:r>
        <w:rPr>
          <w:rFonts w:hint="eastAsia" w:ascii="宋体" w:hAnsi="宋体"/>
          <w:snapToGrid w:val="0"/>
          <w:kern w:val="0"/>
        </w:rPr>
        <w:t>将做出澄清和解答。</w:t>
      </w:r>
    </w:p>
    <w:p w14:paraId="3EFA8E15">
      <w:pPr>
        <w:adjustRightInd w:val="0"/>
        <w:spacing w:line="360" w:lineRule="auto"/>
        <w:rPr>
          <w:rFonts w:ascii="宋体" w:hAnsi="宋体"/>
          <w:snapToGrid w:val="0"/>
          <w:kern w:val="0"/>
        </w:rPr>
      </w:pPr>
      <w:r>
        <w:rPr>
          <w:rFonts w:hint="eastAsia" w:ascii="宋体" w:hAnsi="宋体"/>
          <w:snapToGrid w:val="0"/>
          <w:kern w:val="0"/>
        </w:rPr>
        <w:t xml:space="preserve">16.4  </w:t>
      </w:r>
      <w:r>
        <w:rPr>
          <w:rFonts w:hint="eastAsia" w:ascii="宋体" w:hAnsi="宋体" w:cs="宋体"/>
          <w:bCs/>
          <w:snapToGrid w:val="0"/>
          <w:kern w:val="0"/>
        </w:rPr>
        <w:t>采购代理机构</w:t>
      </w:r>
      <w:r>
        <w:rPr>
          <w:rFonts w:hint="eastAsia" w:ascii="宋体" w:hAnsi="宋体"/>
          <w:snapToGrid w:val="0"/>
          <w:kern w:val="0"/>
        </w:rPr>
        <w:t>在投标预备会上所做出的澄清和解答，以书面答复为准，投标人在收到投标答疑纪要时应以书面形式予以确认。答疑纪要的有效性规定按照本须知第8</w:t>
      </w:r>
      <w:r>
        <w:rPr>
          <w:rFonts w:ascii="宋体" w:hAnsi="宋体"/>
          <w:snapToGrid w:val="0"/>
          <w:kern w:val="0"/>
        </w:rPr>
        <w:t>.</w:t>
      </w:r>
      <w:r>
        <w:rPr>
          <w:rFonts w:hint="eastAsia" w:ascii="宋体" w:hAnsi="宋体"/>
          <w:snapToGrid w:val="0"/>
          <w:kern w:val="0"/>
        </w:rPr>
        <w:t>2、8</w:t>
      </w:r>
      <w:r>
        <w:rPr>
          <w:rFonts w:ascii="宋体" w:hAnsi="宋体"/>
          <w:snapToGrid w:val="0"/>
          <w:kern w:val="0"/>
        </w:rPr>
        <w:t>.4</w:t>
      </w:r>
      <w:r>
        <w:rPr>
          <w:rFonts w:hint="eastAsia" w:ascii="宋体" w:hAnsi="宋体"/>
          <w:snapToGrid w:val="0"/>
          <w:kern w:val="0"/>
        </w:rPr>
        <w:t>款规定执行。</w:t>
      </w:r>
    </w:p>
    <w:p w14:paraId="7F24FECE">
      <w:pPr>
        <w:adjustRightInd w:val="0"/>
        <w:spacing w:line="360" w:lineRule="auto"/>
        <w:rPr>
          <w:rFonts w:ascii="宋体" w:hAnsi="宋体"/>
          <w:snapToGrid w:val="0"/>
          <w:kern w:val="0"/>
        </w:rPr>
      </w:pPr>
      <w:r>
        <w:rPr>
          <w:rFonts w:hint="eastAsia" w:ascii="宋体" w:hAnsi="宋体"/>
          <w:snapToGrid w:val="0"/>
          <w:kern w:val="0"/>
        </w:rPr>
        <w:t>16.5  未出席投标预备会不作为否定投标人资格的理由。</w:t>
      </w:r>
    </w:p>
    <w:p w14:paraId="554E5638">
      <w:pPr>
        <w:adjustRightInd w:val="0"/>
        <w:spacing w:line="360" w:lineRule="auto"/>
        <w:rPr>
          <w:rFonts w:ascii="宋体" w:hAnsi="宋体"/>
          <w:b/>
          <w:snapToGrid w:val="0"/>
          <w:kern w:val="0"/>
        </w:rPr>
      </w:pPr>
      <w:r>
        <w:rPr>
          <w:rFonts w:ascii="宋体" w:hAnsi="宋体"/>
          <w:b/>
          <w:snapToGrid w:val="0"/>
          <w:kern w:val="0"/>
        </w:rPr>
        <w:t xml:space="preserve">17. </w:t>
      </w:r>
      <w:r>
        <w:rPr>
          <w:rFonts w:hint="eastAsia" w:ascii="宋体" w:hAnsi="宋体"/>
          <w:b/>
          <w:snapToGrid w:val="0"/>
          <w:kern w:val="0"/>
        </w:rPr>
        <w:t>投标文件的份数和签署</w:t>
      </w:r>
    </w:p>
    <w:p w14:paraId="7A96D1BA">
      <w:pPr>
        <w:adjustRightInd w:val="0"/>
        <w:spacing w:line="360" w:lineRule="auto"/>
        <w:rPr>
          <w:rFonts w:ascii="宋体" w:hAnsi="宋体"/>
          <w:snapToGrid w:val="0"/>
          <w:kern w:val="0"/>
        </w:rPr>
      </w:pPr>
      <w:r>
        <w:rPr>
          <w:rFonts w:ascii="宋体" w:hAnsi="宋体"/>
          <w:snapToGrid w:val="0"/>
          <w:kern w:val="0"/>
        </w:rPr>
        <w:t xml:space="preserve">17.1  </w:t>
      </w:r>
      <w:r>
        <w:rPr>
          <w:rFonts w:hint="eastAsia" w:ascii="宋体" w:hAnsi="宋体"/>
          <w:snapToGrid w:val="0"/>
          <w:kern w:val="0"/>
        </w:rPr>
        <w:t xml:space="preserve">投标文件数量按前附表第11项所述。 </w:t>
      </w:r>
    </w:p>
    <w:p w14:paraId="43386DAA">
      <w:pPr>
        <w:adjustRightInd w:val="0"/>
        <w:spacing w:line="360" w:lineRule="auto"/>
        <w:rPr>
          <w:rFonts w:ascii="宋体" w:hAnsi="宋体"/>
          <w:snapToGrid w:val="0"/>
          <w:kern w:val="0"/>
        </w:rPr>
      </w:pPr>
      <w:r>
        <w:rPr>
          <w:rFonts w:ascii="宋体" w:hAnsi="宋体"/>
          <w:snapToGrid w:val="0"/>
          <w:kern w:val="0"/>
        </w:rPr>
        <w:t xml:space="preserve">17.2  </w:t>
      </w:r>
      <w:r>
        <w:rPr>
          <w:rFonts w:hint="eastAsia" w:ascii="宋体" w:hAnsi="宋体"/>
          <w:snapToGrid w:val="0"/>
          <w:kern w:val="0"/>
        </w:rPr>
        <w:t>为了便于投标文件保存，需提交两份投标文件备份光盘（或U盘，内容为投标文件正本盖章扫描件）。</w:t>
      </w:r>
    </w:p>
    <w:p w14:paraId="3DDEC9D3">
      <w:pPr>
        <w:adjustRightInd w:val="0"/>
        <w:spacing w:line="360" w:lineRule="auto"/>
        <w:rPr>
          <w:rFonts w:ascii="宋体" w:hAnsi="宋体"/>
          <w:snapToGrid w:val="0"/>
          <w:kern w:val="0"/>
        </w:rPr>
      </w:pPr>
      <w:r>
        <w:rPr>
          <w:rFonts w:ascii="宋体" w:hAnsi="宋体"/>
          <w:snapToGrid w:val="0"/>
          <w:kern w:val="0"/>
        </w:rPr>
        <w:t>17.</w:t>
      </w:r>
      <w:r>
        <w:rPr>
          <w:rFonts w:hint="eastAsia" w:ascii="宋体" w:hAnsi="宋体"/>
          <w:snapToGrid w:val="0"/>
          <w:kern w:val="0"/>
        </w:rPr>
        <w:t>3 投标文件正本及开标一览表须打印，并经法定代表人或其授权代表签字和盖章，投标文件的副本可采用正本复印件。</w:t>
      </w:r>
    </w:p>
    <w:p w14:paraId="38DF1F9F">
      <w:pPr>
        <w:adjustRightInd w:val="0"/>
        <w:spacing w:line="360" w:lineRule="auto"/>
        <w:rPr>
          <w:rFonts w:ascii="宋体" w:hAnsi="宋体"/>
          <w:snapToGrid w:val="0"/>
          <w:kern w:val="0"/>
        </w:rPr>
      </w:pPr>
      <w:r>
        <w:rPr>
          <w:rFonts w:ascii="宋体" w:hAnsi="宋体"/>
          <w:snapToGrid w:val="0"/>
          <w:kern w:val="0"/>
        </w:rPr>
        <w:t>17.</w:t>
      </w:r>
      <w:r>
        <w:rPr>
          <w:rFonts w:hint="eastAsia" w:ascii="宋体" w:hAnsi="宋体"/>
          <w:snapToGrid w:val="0"/>
          <w:kern w:val="0"/>
        </w:rPr>
        <w:t>4除投标人对错处做必要修改外，投标文件中不许有加行、涂抹或改写，如有修改遗漏处，必须由投标人法定代表人或其授权代表签字和盖章。</w:t>
      </w:r>
    </w:p>
    <w:p w14:paraId="15F662DC">
      <w:pPr>
        <w:adjustRightInd w:val="0"/>
        <w:spacing w:line="360" w:lineRule="auto"/>
        <w:rPr>
          <w:rFonts w:ascii="宋体" w:hAnsi="宋体"/>
          <w:snapToGrid w:val="0"/>
          <w:kern w:val="0"/>
        </w:rPr>
      </w:pPr>
      <w:r>
        <w:rPr>
          <w:rFonts w:ascii="宋体" w:hAnsi="宋体"/>
          <w:snapToGrid w:val="0"/>
          <w:kern w:val="0"/>
        </w:rPr>
        <w:t>17.</w:t>
      </w:r>
      <w:r>
        <w:rPr>
          <w:rFonts w:hint="eastAsia" w:ascii="宋体" w:hAnsi="宋体"/>
          <w:snapToGrid w:val="0"/>
          <w:kern w:val="0"/>
        </w:rPr>
        <w:t>5电报、电话、传真形式的投标概不接受。</w:t>
      </w:r>
    </w:p>
    <w:p w14:paraId="3B308435">
      <w:pPr>
        <w:adjustRightInd w:val="0"/>
        <w:spacing w:line="360" w:lineRule="auto"/>
        <w:rPr>
          <w:rFonts w:ascii="宋体" w:hAnsi="宋体"/>
          <w:snapToGrid w:val="0"/>
          <w:kern w:val="0"/>
        </w:rPr>
      </w:pPr>
      <w:r>
        <w:rPr>
          <w:rFonts w:hint="eastAsia" w:ascii="宋体" w:hAnsi="宋体"/>
          <w:snapToGrid w:val="0"/>
          <w:kern w:val="0"/>
        </w:rPr>
        <w:t xml:space="preserve">17.6  投标文件必须标注页码并装订成册。 </w:t>
      </w:r>
    </w:p>
    <w:p w14:paraId="63CB28F2">
      <w:pPr>
        <w:adjustRightInd w:val="0"/>
        <w:spacing w:line="360" w:lineRule="auto"/>
        <w:rPr>
          <w:rFonts w:ascii="宋体" w:hAnsi="宋体"/>
          <w:snapToGrid w:val="0"/>
          <w:kern w:val="0"/>
        </w:rPr>
      </w:pPr>
      <w:r>
        <w:rPr>
          <w:rFonts w:hint="eastAsia" w:ascii="宋体" w:hAnsi="宋体"/>
          <w:snapToGrid w:val="0"/>
          <w:kern w:val="0"/>
        </w:rPr>
        <w:t>17.7  投标文件不符合上述规定的，为无效投标。</w:t>
      </w:r>
    </w:p>
    <w:p w14:paraId="208D3377">
      <w:pPr>
        <w:adjustRightInd w:val="0"/>
        <w:spacing w:line="360" w:lineRule="auto"/>
        <w:rPr>
          <w:rFonts w:ascii="宋体" w:hAnsi="宋体"/>
          <w:snapToGrid w:val="0"/>
          <w:kern w:val="0"/>
        </w:rPr>
      </w:pPr>
    </w:p>
    <w:p w14:paraId="64613A40">
      <w:pPr>
        <w:pStyle w:val="2"/>
        <w:spacing w:before="0" w:after="0"/>
      </w:pPr>
      <w:bookmarkStart w:id="27" w:name="q7"/>
      <w:bookmarkEnd w:id="27"/>
      <w:bookmarkStart w:id="28" w:name="_Toc171350590"/>
      <w:r>
        <w:rPr>
          <w:rFonts w:hint="eastAsia"/>
        </w:rPr>
        <w:t>四、投标文件的递交</w:t>
      </w:r>
      <w:bookmarkEnd w:id="28"/>
    </w:p>
    <w:p w14:paraId="3123FE61">
      <w:pPr>
        <w:adjustRightInd w:val="0"/>
        <w:spacing w:line="360" w:lineRule="auto"/>
        <w:rPr>
          <w:rFonts w:ascii="宋体" w:hAnsi="宋体"/>
          <w:b/>
          <w:snapToGrid w:val="0"/>
          <w:kern w:val="0"/>
        </w:rPr>
      </w:pPr>
      <w:r>
        <w:rPr>
          <w:rFonts w:hint="eastAsia" w:ascii="宋体" w:hAnsi="宋体"/>
          <w:b/>
          <w:snapToGrid w:val="0"/>
          <w:kern w:val="0"/>
        </w:rPr>
        <w:t>18.投标文件的密封和标记</w:t>
      </w:r>
    </w:p>
    <w:p w14:paraId="66811F46">
      <w:pPr>
        <w:adjustRightInd w:val="0"/>
        <w:spacing w:line="360" w:lineRule="auto"/>
        <w:rPr>
          <w:rFonts w:ascii="宋体" w:hAnsi="宋体"/>
          <w:snapToGrid w:val="0"/>
          <w:kern w:val="0"/>
        </w:rPr>
      </w:pPr>
      <w:r>
        <w:rPr>
          <w:rFonts w:hint="eastAsia" w:ascii="宋体" w:hAnsi="宋体"/>
          <w:snapToGrid w:val="0"/>
          <w:kern w:val="0"/>
        </w:rPr>
        <w:t>18.1 须在每一份投标文件封面上明确注明“正本”或“副本”字样。一旦正本和副本有差异，以正本为准。</w:t>
      </w:r>
    </w:p>
    <w:p w14:paraId="6D7934CF">
      <w:pPr>
        <w:adjustRightInd w:val="0"/>
        <w:spacing w:line="360" w:lineRule="auto"/>
        <w:rPr>
          <w:rFonts w:ascii="宋体" w:hAnsi="宋体"/>
          <w:snapToGrid w:val="0"/>
          <w:kern w:val="0"/>
        </w:rPr>
      </w:pPr>
      <w:r>
        <w:rPr>
          <w:rFonts w:hint="eastAsia" w:ascii="宋体" w:hAnsi="宋体"/>
          <w:snapToGrid w:val="0"/>
          <w:kern w:val="0"/>
        </w:rPr>
        <w:t xml:space="preserve">18.2  </w:t>
      </w:r>
      <w:r>
        <w:rPr>
          <w:rFonts w:hint="eastAsia"/>
          <w:snapToGrid w:val="0"/>
          <w:kern w:val="0"/>
        </w:rPr>
        <w:t>投标人应将投标文件备份文件光盘密封于一信封，</w:t>
      </w:r>
      <w:r>
        <w:rPr>
          <w:rFonts w:hint="eastAsia" w:ascii="宋体" w:hAnsi="宋体"/>
          <w:snapToGrid w:val="0"/>
          <w:kern w:val="0"/>
        </w:rPr>
        <w:t>在信封上注明“备份光盘（或U盘）”。</w:t>
      </w:r>
    </w:p>
    <w:p w14:paraId="2E6B7F0D">
      <w:pPr>
        <w:adjustRightInd w:val="0"/>
        <w:spacing w:line="360" w:lineRule="auto"/>
        <w:rPr>
          <w:rFonts w:ascii="宋体" w:hAnsi="宋体"/>
          <w:snapToGrid w:val="0"/>
          <w:kern w:val="0"/>
        </w:rPr>
      </w:pPr>
      <w:r>
        <w:rPr>
          <w:rFonts w:hint="eastAsia" w:ascii="宋体" w:hAnsi="宋体"/>
          <w:snapToGrid w:val="0"/>
          <w:kern w:val="0"/>
        </w:rPr>
        <w:t>18.3  将投标文件“正本”、“副本”和密封好的“备份光盘（或U盘）”一</w:t>
      </w:r>
      <w:r>
        <w:rPr>
          <w:rFonts w:hint="eastAsia"/>
          <w:snapToGrid w:val="0"/>
          <w:kern w:val="0"/>
        </w:rPr>
        <w:t>起封装在同一个外层包封中，同时还应在封套上载明以下信息</w:t>
      </w:r>
      <w:r>
        <w:rPr>
          <w:rFonts w:hint="eastAsia" w:ascii="宋体" w:hAnsi="宋体"/>
          <w:snapToGrid w:val="0"/>
          <w:kern w:val="0"/>
        </w:rPr>
        <w:t>：</w:t>
      </w:r>
    </w:p>
    <w:p w14:paraId="72A2D77B">
      <w:pPr>
        <w:adjustRightInd w:val="0"/>
        <w:spacing w:line="360" w:lineRule="auto"/>
        <w:rPr>
          <w:rFonts w:ascii="宋体" w:hAnsi="宋体"/>
          <w:snapToGrid w:val="0"/>
          <w:kern w:val="0"/>
        </w:rPr>
      </w:pPr>
      <w:r>
        <w:rPr>
          <w:rFonts w:hint="eastAsia" w:ascii="宋体" w:hAnsi="宋体"/>
          <w:snapToGrid w:val="0"/>
          <w:kern w:val="0"/>
        </w:rPr>
        <w:t>(1) 写明</w:t>
      </w:r>
      <w:r>
        <w:rPr>
          <w:rFonts w:hint="eastAsia" w:ascii="宋体" w:hAnsi="宋体"/>
          <w:bCs/>
          <w:snapToGrid w:val="0"/>
          <w:kern w:val="0"/>
        </w:rPr>
        <w:t>采购代理机构</w:t>
      </w:r>
      <w:r>
        <w:rPr>
          <w:rFonts w:hint="eastAsia" w:ascii="宋体" w:hAnsi="宋体"/>
          <w:snapToGrid w:val="0"/>
          <w:kern w:val="0"/>
        </w:rPr>
        <w:t>名称；</w:t>
      </w:r>
    </w:p>
    <w:p w14:paraId="219718BF">
      <w:pPr>
        <w:adjustRightInd w:val="0"/>
        <w:spacing w:line="360" w:lineRule="auto"/>
        <w:rPr>
          <w:rFonts w:ascii="宋体" w:hAnsi="宋体"/>
          <w:snapToGrid w:val="0"/>
          <w:kern w:val="0"/>
        </w:rPr>
      </w:pPr>
      <w:r>
        <w:rPr>
          <w:rFonts w:hint="eastAsia" w:ascii="宋体" w:hAnsi="宋体"/>
          <w:snapToGrid w:val="0"/>
          <w:kern w:val="0"/>
        </w:rPr>
        <w:t>(2) 注明下列识别标志：</w:t>
      </w:r>
    </w:p>
    <w:p w14:paraId="4BAFE64C">
      <w:pPr>
        <w:adjustRightInd w:val="0"/>
        <w:spacing w:line="360" w:lineRule="auto"/>
        <w:rPr>
          <w:rFonts w:ascii="宋体" w:hAnsi="宋体"/>
          <w:snapToGrid w:val="0"/>
          <w:kern w:val="0"/>
        </w:rPr>
      </w:pPr>
      <w:r>
        <w:rPr>
          <w:rFonts w:hint="eastAsia" w:ascii="宋体" w:hAnsi="宋体"/>
          <w:snapToGrid w:val="0"/>
          <w:kern w:val="0"/>
        </w:rPr>
        <w:t>a.  项目编号；</w:t>
      </w:r>
    </w:p>
    <w:p w14:paraId="118D1D42">
      <w:pPr>
        <w:adjustRightInd w:val="0"/>
        <w:spacing w:line="360" w:lineRule="auto"/>
        <w:rPr>
          <w:rFonts w:ascii="宋体" w:hAnsi="宋体"/>
          <w:snapToGrid w:val="0"/>
          <w:kern w:val="0"/>
        </w:rPr>
      </w:pPr>
      <w:r>
        <w:rPr>
          <w:rFonts w:hint="eastAsia" w:ascii="宋体" w:hAnsi="宋体"/>
          <w:snapToGrid w:val="0"/>
          <w:kern w:val="0"/>
        </w:rPr>
        <w:t>b.  项目名称；</w:t>
      </w:r>
    </w:p>
    <w:p w14:paraId="28A967AC">
      <w:pPr>
        <w:adjustRightInd w:val="0"/>
        <w:spacing w:line="360" w:lineRule="auto"/>
        <w:rPr>
          <w:rFonts w:ascii="宋体" w:hAnsi="宋体"/>
          <w:snapToGrid w:val="0"/>
          <w:kern w:val="0"/>
        </w:rPr>
      </w:pPr>
      <w:r>
        <w:rPr>
          <w:rFonts w:hint="eastAsia" w:ascii="宋体" w:hAnsi="宋体"/>
          <w:snapToGrid w:val="0"/>
          <w:kern w:val="0"/>
        </w:rPr>
        <w:t>c.  投标人名称；</w:t>
      </w:r>
    </w:p>
    <w:p w14:paraId="26462F8E">
      <w:pPr>
        <w:adjustRightInd w:val="0"/>
        <w:spacing w:line="360" w:lineRule="auto"/>
        <w:rPr>
          <w:rFonts w:ascii="宋体" w:hAnsi="宋体"/>
          <w:snapToGrid w:val="0"/>
          <w:kern w:val="0"/>
        </w:rPr>
      </w:pPr>
      <w:r>
        <w:rPr>
          <w:rFonts w:hint="eastAsia" w:ascii="宋体" w:hAnsi="宋体"/>
          <w:snapToGrid w:val="0"/>
          <w:kern w:val="0"/>
        </w:rPr>
        <w:t>d.  注明：“投标文件正本、副本和备份光盘（或U盘）”；</w:t>
      </w:r>
    </w:p>
    <w:p w14:paraId="34440C1A">
      <w:pPr>
        <w:adjustRightInd w:val="0"/>
        <w:spacing w:line="360" w:lineRule="auto"/>
        <w:rPr>
          <w:rFonts w:ascii="宋体" w:hAnsi="宋体"/>
          <w:snapToGrid w:val="0"/>
          <w:kern w:val="0"/>
        </w:rPr>
      </w:pPr>
      <w:r>
        <w:rPr>
          <w:rFonts w:hint="eastAsia" w:ascii="宋体" w:hAnsi="宋体"/>
          <w:snapToGrid w:val="0"/>
          <w:kern w:val="0"/>
        </w:rPr>
        <w:t>e.  年月日时分（开标时间）前不得开封。</w:t>
      </w:r>
    </w:p>
    <w:p w14:paraId="19BF9175">
      <w:pPr>
        <w:adjustRightInd w:val="0"/>
        <w:spacing w:line="360" w:lineRule="auto"/>
        <w:rPr>
          <w:rFonts w:ascii="宋体" w:hAnsi="宋体"/>
          <w:snapToGrid w:val="0"/>
          <w:kern w:val="0"/>
        </w:rPr>
      </w:pPr>
      <w:r>
        <w:rPr>
          <w:rFonts w:hint="eastAsia" w:ascii="宋体" w:hAnsi="宋体"/>
          <w:snapToGrid w:val="0"/>
          <w:kern w:val="0"/>
        </w:rPr>
        <w:t>18.4投标人应将“法定代表人（负责人）证明书、法定代表人（负责人）授权委托书”和“开标一览表”单独密封于一信封，在递交投标文件时单独交予</w:t>
      </w:r>
      <w:r>
        <w:rPr>
          <w:rFonts w:hint="eastAsia" w:ascii="宋体" w:hAnsi="宋体"/>
          <w:bCs/>
          <w:snapToGrid w:val="0"/>
          <w:kern w:val="0"/>
        </w:rPr>
        <w:t>采购代理机构</w:t>
      </w:r>
      <w:r>
        <w:rPr>
          <w:rFonts w:hint="eastAsia" w:ascii="宋体" w:hAnsi="宋体"/>
          <w:snapToGrid w:val="0"/>
          <w:kern w:val="0"/>
        </w:rPr>
        <w:t>，在信封上应：</w:t>
      </w:r>
    </w:p>
    <w:p w14:paraId="6DE7B13F">
      <w:pPr>
        <w:adjustRightInd w:val="0"/>
        <w:spacing w:line="360" w:lineRule="auto"/>
        <w:rPr>
          <w:rFonts w:ascii="宋体" w:hAnsi="宋体"/>
          <w:snapToGrid w:val="0"/>
          <w:kern w:val="0"/>
        </w:rPr>
      </w:pPr>
      <w:r>
        <w:rPr>
          <w:rFonts w:hint="eastAsia" w:ascii="宋体" w:hAnsi="宋体"/>
          <w:snapToGrid w:val="0"/>
          <w:kern w:val="0"/>
        </w:rPr>
        <w:t>(1)  写明</w:t>
      </w:r>
      <w:r>
        <w:rPr>
          <w:rFonts w:hint="eastAsia" w:ascii="宋体" w:hAnsi="宋体"/>
          <w:bCs/>
          <w:snapToGrid w:val="0"/>
          <w:kern w:val="0"/>
        </w:rPr>
        <w:t>采购代理机构</w:t>
      </w:r>
      <w:r>
        <w:rPr>
          <w:rFonts w:hint="eastAsia" w:ascii="宋体" w:hAnsi="宋体"/>
          <w:snapToGrid w:val="0"/>
          <w:kern w:val="0"/>
        </w:rPr>
        <w:t>名称；</w:t>
      </w:r>
    </w:p>
    <w:p w14:paraId="2DB7097B">
      <w:pPr>
        <w:adjustRightInd w:val="0"/>
        <w:spacing w:line="360" w:lineRule="auto"/>
        <w:rPr>
          <w:rFonts w:ascii="宋体" w:hAnsi="宋体"/>
          <w:snapToGrid w:val="0"/>
          <w:kern w:val="0"/>
        </w:rPr>
      </w:pPr>
      <w:r>
        <w:rPr>
          <w:rFonts w:hint="eastAsia" w:ascii="宋体" w:hAnsi="宋体"/>
          <w:snapToGrid w:val="0"/>
          <w:kern w:val="0"/>
        </w:rPr>
        <w:t>(2)  注明下列识别标志：</w:t>
      </w:r>
    </w:p>
    <w:p w14:paraId="2EDB6B92">
      <w:pPr>
        <w:adjustRightInd w:val="0"/>
        <w:spacing w:line="360" w:lineRule="auto"/>
        <w:rPr>
          <w:rFonts w:ascii="宋体" w:hAnsi="宋体"/>
          <w:snapToGrid w:val="0"/>
          <w:kern w:val="0"/>
        </w:rPr>
      </w:pPr>
      <w:r>
        <w:rPr>
          <w:rFonts w:hint="eastAsia" w:ascii="宋体" w:hAnsi="宋体"/>
          <w:snapToGrid w:val="0"/>
          <w:kern w:val="0"/>
        </w:rPr>
        <w:t>a.  项目编号；</w:t>
      </w:r>
    </w:p>
    <w:p w14:paraId="299CEBB7">
      <w:pPr>
        <w:adjustRightInd w:val="0"/>
        <w:spacing w:line="360" w:lineRule="auto"/>
        <w:rPr>
          <w:rFonts w:ascii="宋体" w:hAnsi="宋体"/>
          <w:snapToGrid w:val="0"/>
          <w:kern w:val="0"/>
        </w:rPr>
      </w:pPr>
      <w:r>
        <w:rPr>
          <w:rFonts w:hint="eastAsia" w:ascii="宋体" w:hAnsi="宋体"/>
          <w:snapToGrid w:val="0"/>
          <w:kern w:val="0"/>
        </w:rPr>
        <w:t>b.  项目名称；</w:t>
      </w:r>
    </w:p>
    <w:p w14:paraId="5C3CB007">
      <w:pPr>
        <w:adjustRightInd w:val="0"/>
        <w:spacing w:line="360" w:lineRule="auto"/>
        <w:rPr>
          <w:rFonts w:ascii="宋体" w:hAnsi="宋体"/>
          <w:snapToGrid w:val="0"/>
          <w:kern w:val="0"/>
        </w:rPr>
      </w:pPr>
      <w:r>
        <w:rPr>
          <w:rFonts w:hint="eastAsia" w:ascii="宋体" w:hAnsi="宋体"/>
          <w:snapToGrid w:val="0"/>
          <w:kern w:val="0"/>
        </w:rPr>
        <w:t>c.  投标人名称；</w:t>
      </w:r>
    </w:p>
    <w:p w14:paraId="411EA756">
      <w:pPr>
        <w:adjustRightInd w:val="0"/>
        <w:spacing w:line="360" w:lineRule="auto"/>
        <w:rPr>
          <w:rFonts w:ascii="宋体" w:hAnsi="宋体"/>
          <w:snapToGrid w:val="0"/>
          <w:kern w:val="0"/>
        </w:rPr>
      </w:pPr>
      <w:r>
        <w:rPr>
          <w:rFonts w:hint="eastAsia" w:ascii="宋体" w:hAnsi="宋体"/>
          <w:snapToGrid w:val="0"/>
          <w:kern w:val="0"/>
        </w:rPr>
        <w:t>d.  注明：“开标一览表”和“法定代表人（负责人）证明书、法定代表人（负责人）授权委托书”；</w:t>
      </w:r>
    </w:p>
    <w:p w14:paraId="242155B0">
      <w:pPr>
        <w:adjustRightInd w:val="0"/>
        <w:spacing w:line="360" w:lineRule="auto"/>
        <w:rPr>
          <w:rFonts w:ascii="宋体" w:hAnsi="宋体"/>
          <w:snapToGrid w:val="0"/>
          <w:kern w:val="0"/>
        </w:rPr>
      </w:pPr>
      <w:r>
        <w:rPr>
          <w:rFonts w:hint="eastAsia" w:ascii="宋体" w:hAnsi="宋体"/>
          <w:snapToGrid w:val="0"/>
          <w:kern w:val="0"/>
        </w:rPr>
        <w:t>e.  年月日时分（开标时间）前不得开封。</w:t>
      </w:r>
    </w:p>
    <w:p w14:paraId="3C492BBC">
      <w:pPr>
        <w:adjustRightInd w:val="0"/>
        <w:spacing w:line="360" w:lineRule="auto"/>
        <w:rPr>
          <w:rFonts w:ascii="宋体" w:hAnsi="宋体"/>
          <w:snapToGrid w:val="0"/>
          <w:kern w:val="0"/>
        </w:rPr>
      </w:pPr>
      <w:r>
        <w:rPr>
          <w:rFonts w:hint="eastAsia" w:ascii="宋体" w:hAnsi="宋体"/>
          <w:snapToGrid w:val="0"/>
          <w:kern w:val="0"/>
        </w:rPr>
        <w:t>18.5  除了按本须知第18.3和18.4款所要求的识别字样外，在所有投标文件密封袋上还应写明投标人的名称与地址、邮政编码，以便投标按本须知第20条宣布“迟到”时，投标文件可以原封退回。</w:t>
      </w:r>
    </w:p>
    <w:p w14:paraId="5C457951">
      <w:pPr>
        <w:adjustRightInd w:val="0"/>
        <w:spacing w:line="360" w:lineRule="auto"/>
        <w:rPr>
          <w:rFonts w:ascii="宋体" w:hAnsi="宋体"/>
          <w:snapToGrid w:val="0"/>
          <w:kern w:val="0"/>
        </w:rPr>
      </w:pPr>
      <w:r>
        <w:rPr>
          <w:rFonts w:hint="eastAsia" w:ascii="宋体" w:hAnsi="宋体"/>
          <w:snapToGrid w:val="0"/>
          <w:kern w:val="0"/>
        </w:rPr>
        <w:t>18.6  如果投标文件没有按本投标须知第18.1款、第18.2款、第18.3款和第18.4款规定进行标记和密封，采购代理机构将拒收或者告知投标人，采购代理机构将不承担投标文件错放或提前开封的责任。对由此造成的提前开封的投标文件将予以拒绝，并退还给投标人。</w:t>
      </w:r>
    </w:p>
    <w:p w14:paraId="21D1977C">
      <w:pPr>
        <w:adjustRightInd w:val="0"/>
        <w:spacing w:line="360" w:lineRule="auto"/>
        <w:rPr>
          <w:rFonts w:ascii="宋体" w:hAnsi="宋体"/>
          <w:snapToGrid w:val="0"/>
          <w:kern w:val="0"/>
        </w:rPr>
      </w:pPr>
      <w:r>
        <w:rPr>
          <w:rFonts w:hint="eastAsia" w:ascii="宋体" w:hAnsi="宋体"/>
          <w:snapToGrid w:val="0"/>
          <w:kern w:val="0"/>
        </w:rPr>
        <w:t>18.7  所有投标文件的密封袋的封口处应加盖投标人印章。</w:t>
      </w:r>
    </w:p>
    <w:p w14:paraId="4023798D">
      <w:pPr>
        <w:adjustRightInd w:val="0"/>
        <w:spacing w:line="360" w:lineRule="auto"/>
        <w:rPr>
          <w:rFonts w:ascii="宋体" w:hAnsi="宋体"/>
          <w:snapToGrid w:val="0"/>
          <w:kern w:val="0"/>
        </w:rPr>
      </w:pPr>
      <w:r>
        <w:rPr>
          <w:rFonts w:hint="eastAsia" w:ascii="宋体" w:hAnsi="宋体"/>
          <w:snapToGrid w:val="0"/>
          <w:kern w:val="0"/>
        </w:rPr>
        <w:t>18.8  投标人应按18.1～18.7中的规定进行密封和标记后，将投标文件按照前附表第12项中注明的地址送至采购代理机构。</w:t>
      </w:r>
    </w:p>
    <w:p w14:paraId="1322A034">
      <w:pPr>
        <w:adjustRightInd w:val="0"/>
        <w:spacing w:line="360" w:lineRule="auto"/>
        <w:rPr>
          <w:rFonts w:ascii="宋体" w:hAnsi="宋体"/>
          <w:snapToGrid w:val="0"/>
          <w:kern w:val="0"/>
        </w:rPr>
      </w:pPr>
      <w:r>
        <w:rPr>
          <w:rFonts w:hint="eastAsia" w:ascii="宋体" w:hAnsi="宋体"/>
          <w:snapToGrid w:val="0"/>
          <w:kern w:val="0"/>
        </w:rPr>
        <w:t>18.9  投标人按招标文件要求如需提供实物，应随投标文件一起递交。</w:t>
      </w:r>
    </w:p>
    <w:p w14:paraId="0C2858EA">
      <w:pPr>
        <w:adjustRightInd w:val="0"/>
        <w:spacing w:line="360" w:lineRule="auto"/>
        <w:rPr>
          <w:rFonts w:ascii="宋体" w:hAnsi="宋体"/>
          <w:b/>
          <w:snapToGrid w:val="0"/>
          <w:kern w:val="0"/>
        </w:rPr>
      </w:pPr>
      <w:r>
        <w:rPr>
          <w:rFonts w:ascii="宋体" w:hAnsi="宋体"/>
          <w:b/>
          <w:snapToGrid w:val="0"/>
          <w:kern w:val="0"/>
        </w:rPr>
        <w:t>1</w:t>
      </w:r>
      <w:r>
        <w:rPr>
          <w:rFonts w:hint="eastAsia" w:ascii="宋体" w:hAnsi="宋体"/>
          <w:b/>
          <w:snapToGrid w:val="0"/>
          <w:kern w:val="0"/>
        </w:rPr>
        <w:t>9</w:t>
      </w:r>
      <w:r>
        <w:rPr>
          <w:rFonts w:ascii="宋体" w:hAnsi="宋体"/>
          <w:b/>
          <w:snapToGrid w:val="0"/>
          <w:kern w:val="0"/>
        </w:rPr>
        <w:t xml:space="preserve">. </w:t>
      </w:r>
      <w:r>
        <w:rPr>
          <w:rFonts w:hint="eastAsia" w:ascii="宋体" w:hAnsi="宋体"/>
          <w:b/>
          <w:snapToGrid w:val="0"/>
          <w:kern w:val="0"/>
        </w:rPr>
        <w:t>递交投标文件的时间、地点以及截止时间</w:t>
      </w:r>
    </w:p>
    <w:p w14:paraId="17793240">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9</w:t>
      </w:r>
      <w:r>
        <w:rPr>
          <w:rFonts w:ascii="宋体" w:hAnsi="宋体"/>
          <w:snapToGrid w:val="0"/>
          <w:kern w:val="0"/>
        </w:rPr>
        <w:t xml:space="preserve">.1  </w:t>
      </w:r>
      <w:r>
        <w:rPr>
          <w:rFonts w:hint="eastAsia" w:ascii="宋体" w:hAnsi="宋体"/>
          <w:snapToGrid w:val="0"/>
          <w:kern w:val="0"/>
        </w:rPr>
        <w:t>递交投标文件的地点与开标仪式的地点相同。</w:t>
      </w:r>
    </w:p>
    <w:p w14:paraId="08A800D2">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9</w:t>
      </w:r>
      <w:r>
        <w:rPr>
          <w:rFonts w:ascii="宋体" w:hAnsi="宋体"/>
          <w:snapToGrid w:val="0"/>
          <w:kern w:val="0"/>
        </w:rPr>
        <w:t xml:space="preserve">.2  </w:t>
      </w:r>
      <w:r>
        <w:rPr>
          <w:rFonts w:hint="eastAsia" w:ascii="宋体" w:hAnsi="宋体"/>
          <w:snapToGrid w:val="0"/>
          <w:kern w:val="0"/>
        </w:rPr>
        <w:t>所有投标文件都必须按</w:t>
      </w:r>
      <w:r>
        <w:rPr>
          <w:rFonts w:hint="eastAsia" w:ascii="宋体" w:hAnsi="宋体" w:cs="宋体"/>
          <w:bCs/>
          <w:snapToGrid w:val="0"/>
          <w:kern w:val="0"/>
        </w:rPr>
        <w:t>采购代理机构</w:t>
      </w:r>
      <w:r>
        <w:rPr>
          <w:rFonts w:hint="eastAsia" w:ascii="宋体" w:hAnsi="宋体"/>
          <w:snapToGrid w:val="0"/>
          <w:kern w:val="0"/>
        </w:rPr>
        <w:t>在前附表第</w:t>
      </w:r>
      <w:bookmarkStart w:id="29" w:name="_Hlt35050056"/>
      <w:bookmarkEnd w:id="29"/>
      <w:r>
        <w:rPr>
          <w:rFonts w:hint="eastAsia" w:ascii="宋体" w:hAnsi="宋体"/>
          <w:snapToGrid w:val="0"/>
          <w:kern w:val="0"/>
        </w:rPr>
        <w:t>13项中规定的投标截止时间之前送至</w:t>
      </w:r>
      <w:r>
        <w:rPr>
          <w:rFonts w:hint="eastAsia" w:ascii="宋体" w:hAnsi="宋体" w:cs="宋体"/>
          <w:bCs/>
          <w:snapToGrid w:val="0"/>
          <w:kern w:val="0"/>
        </w:rPr>
        <w:t>采购代理机构</w:t>
      </w:r>
      <w:r>
        <w:rPr>
          <w:rFonts w:hint="eastAsia" w:ascii="宋体" w:hAnsi="宋体"/>
          <w:snapToGrid w:val="0"/>
          <w:kern w:val="0"/>
        </w:rPr>
        <w:t>。</w:t>
      </w:r>
    </w:p>
    <w:p w14:paraId="1622574A">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9</w:t>
      </w:r>
      <w:r>
        <w:rPr>
          <w:rFonts w:ascii="宋体" w:hAnsi="宋体"/>
          <w:snapToGrid w:val="0"/>
          <w:kern w:val="0"/>
        </w:rPr>
        <w:t xml:space="preserve">.3  </w:t>
      </w:r>
      <w:r>
        <w:rPr>
          <w:rFonts w:hint="eastAsia" w:ascii="宋体" w:hAnsi="宋体"/>
          <w:snapToGrid w:val="0"/>
          <w:kern w:val="0"/>
        </w:rPr>
        <w:t>出现第8</w:t>
      </w:r>
      <w:r>
        <w:rPr>
          <w:rFonts w:ascii="宋体" w:hAnsi="宋体"/>
          <w:snapToGrid w:val="0"/>
          <w:kern w:val="0"/>
        </w:rPr>
        <w:t>.3</w:t>
      </w:r>
      <w:r>
        <w:rPr>
          <w:rFonts w:hint="eastAsia" w:ascii="宋体" w:hAnsi="宋体"/>
          <w:snapToGrid w:val="0"/>
          <w:kern w:val="0"/>
        </w:rPr>
        <w:t>款因招标文件修改或其他原因推迟投标截止时，则按</w:t>
      </w:r>
      <w:r>
        <w:rPr>
          <w:rFonts w:hint="eastAsia" w:ascii="宋体" w:hAnsi="宋体" w:cs="宋体"/>
          <w:bCs/>
          <w:snapToGrid w:val="0"/>
          <w:kern w:val="0"/>
        </w:rPr>
        <w:t>采购代理机构</w:t>
      </w:r>
      <w:r>
        <w:rPr>
          <w:rFonts w:hint="eastAsia" w:ascii="宋体" w:hAnsi="宋体"/>
          <w:snapToGrid w:val="0"/>
          <w:kern w:val="0"/>
        </w:rPr>
        <w:t>修改通知规定的时间递交。</w:t>
      </w:r>
    </w:p>
    <w:p w14:paraId="5D5F358D">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9</w:t>
      </w:r>
      <w:r>
        <w:rPr>
          <w:rFonts w:ascii="宋体" w:hAnsi="宋体"/>
          <w:snapToGrid w:val="0"/>
          <w:kern w:val="0"/>
        </w:rPr>
        <w:t>.</w:t>
      </w:r>
      <w:r>
        <w:rPr>
          <w:rFonts w:hint="eastAsia" w:ascii="宋体" w:hAnsi="宋体"/>
          <w:snapToGrid w:val="0"/>
          <w:kern w:val="0"/>
        </w:rPr>
        <w:t>4</w:t>
      </w:r>
      <w:r>
        <w:rPr>
          <w:rFonts w:hint="eastAsia" w:ascii="宋体" w:hAnsi="宋体" w:cs="宋体"/>
          <w:bCs/>
          <w:snapToGrid w:val="0"/>
          <w:kern w:val="0"/>
        </w:rPr>
        <w:t>采购代理机构</w:t>
      </w:r>
      <w:r>
        <w:rPr>
          <w:rFonts w:hint="eastAsia" w:ascii="宋体" w:hAnsi="宋体"/>
        </w:rPr>
        <w:t>在投标截止时间前30分钟开始接收投标文件。</w:t>
      </w:r>
    </w:p>
    <w:p w14:paraId="251144A9">
      <w:pPr>
        <w:adjustRightInd w:val="0"/>
        <w:spacing w:line="360" w:lineRule="auto"/>
        <w:rPr>
          <w:rFonts w:ascii="宋体" w:hAnsi="宋体"/>
          <w:b/>
          <w:snapToGrid w:val="0"/>
          <w:kern w:val="0"/>
        </w:rPr>
      </w:pPr>
      <w:r>
        <w:rPr>
          <w:rFonts w:hint="eastAsia" w:ascii="宋体" w:hAnsi="宋体"/>
          <w:b/>
          <w:snapToGrid w:val="0"/>
          <w:kern w:val="0"/>
        </w:rPr>
        <w:t>20</w:t>
      </w:r>
      <w:r>
        <w:rPr>
          <w:rFonts w:ascii="宋体" w:hAnsi="宋体"/>
          <w:b/>
          <w:snapToGrid w:val="0"/>
          <w:kern w:val="0"/>
        </w:rPr>
        <w:t xml:space="preserve">. </w:t>
      </w:r>
      <w:r>
        <w:rPr>
          <w:rFonts w:hint="eastAsia" w:ascii="宋体" w:hAnsi="宋体"/>
          <w:b/>
          <w:snapToGrid w:val="0"/>
          <w:kern w:val="0"/>
        </w:rPr>
        <w:t>迟交的投标文件</w:t>
      </w:r>
    </w:p>
    <w:p w14:paraId="45C602F2">
      <w:pPr>
        <w:adjustRightInd w:val="0"/>
        <w:spacing w:line="360" w:lineRule="auto"/>
        <w:rPr>
          <w:rFonts w:ascii="宋体" w:hAnsi="宋体"/>
          <w:snapToGrid w:val="0"/>
          <w:kern w:val="0"/>
        </w:rPr>
      </w:pPr>
      <w:r>
        <w:rPr>
          <w:rFonts w:hint="eastAsia" w:ascii="宋体" w:hAnsi="宋体"/>
          <w:snapToGrid w:val="0"/>
          <w:kern w:val="0"/>
        </w:rPr>
        <w:t>20</w:t>
      </w:r>
      <w:r>
        <w:rPr>
          <w:rFonts w:ascii="宋体" w:hAnsi="宋体"/>
          <w:snapToGrid w:val="0"/>
          <w:kern w:val="0"/>
        </w:rPr>
        <w:t xml:space="preserve">.1  </w:t>
      </w:r>
      <w:r>
        <w:rPr>
          <w:rFonts w:hint="eastAsia" w:ascii="宋体" w:hAnsi="宋体" w:cs="宋体"/>
          <w:bCs/>
          <w:snapToGrid w:val="0"/>
          <w:kern w:val="0"/>
        </w:rPr>
        <w:t>采购代理机构</w:t>
      </w:r>
      <w:r>
        <w:rPr>
          <w:rFonts w:hint="eastAsia" w:ascii="宋体" w:hAnsi="宋体"/>
          <w:snapToGrid w:val="0"/>
          <w:kern w:val="0"/>
        </w:rPr>
        <w:t>将拒绝接收在投标截止时间后递交的投标文件。</w:t>
      </w:r>
    </w:p>
    <w:p w14:paraId="560D2C25">
      <w:pPr>
        <w:adjustRightInd w:val="0"/>
        <w:spacing w:line="360" w:lineRule="auto"/>
        <w:rPr>
          <w:rFonts w:ascii="宋体" w:hAnsi="宋体"/>
          <w:b/>
          <w:snapToGrid w:val="0"/>
          <w:kern w:val="0"/>
        </w:rPr>
      </w:pPr>
      <w:r>
        <w:rPr>
          <w:rFonts w:hint="eastAsia" w:ascii="宋体" w:hAnsi="宋体"/>
          <w:b/>
          <w:snapToGrid w:val="0"/>
          <w:kern w:val="0"/>
        </w:rPr>
        <w:t>21. 投标文件的修改和撤销</w:t>
      </w:r>
    </w:p>
    <w:p w14:paraId="62A0EBF8">
      <w:pPr>
        <w:tabs>
          <w:tab w:val="left" w:pos="0"/>
        </w:tabs>
        <w:adjustRightInd w:val="0"/>
        <w:spacing w:line="360" w:lineRule="auto"/>
        <w:rPr>
          <w:rFonts w:ascii="宋体" w:hAnsi="宋体"/>
          <w:snapToGrid w:val="0"/>
          <w:kern w:val="0"/>
        </w:rPr>
      </w:pPr>
      <w:r>
        <w:rPr>
          <w:rFonts w:hint="eastAsia" w:ascii="宋体" w:hAnsi="宋体"/>
          <w:snapToGrid w:val="0"/>
          <w:kern w:val="0"/>
        </w:rPr>
        <w:t>21.1  投标人在提交投标文件后可对其投标文件进行修改或撤销，但</w:t>
      </w:r>
      <w:r>
        <w:rPr>
          <w:rFonts w:hint="eastAsia" w:ascii="宋体" w:hAnsi="宋体" w:cs="宋体"/>
          <w:bCs/>
          <w:snapToGrid w:val="0"/>
          <w:kern w:val="0"/>
        </w:rPr>
        <w:t>采购代理机构</w:t>
      </w:r>
      <w:r>
        <w:rPr>
          <w:rFonts w:hint="eastAsia" w:ascii="宋体" w:hAnsi="宋体"/>
          <w:snapToGrid w:val="0"/>
          <w:kern w:val="0"/>
        </w:rPr>
        <w:t>须在投标截止时间之前收到该修改或撤销的书面通知，该通知须有经正式授权的投标人代表签字。</w:t>
      </w:r>
    </w:p>
    <w:p w14:paraId="58B039A5">
      <w:pPr>
        <w:tabs>
          <w:tab w:val="left" w:pos="0"/>
        </w:tabs>
        <w:adjustRightInd w:val="0"/>
        <w:spacing w:line="360" w:lineRule="auto"/>
        <w:rPr>
          <w:rFonts w:ascii="宋体" w:hAnsi="宋体"/>
          <w:snapToGrid w:val="0"/>
          <w:kern w:val="0"/>
        </w:rPr>
      </w:pPr>
      <w:r>
        <w:rPr>
          <w:rFonts w:ascii="宋体" w:hAnsi="宋体"/>
          <w:snapToGrid w:val="0"/>
          <w:kern w:val="0"/>
        </w:rPr>
        <w:t>21.2</w:t>
      </w:r>
      <w:r>
        <w:rPr>
          <w:rFonts w:hint="eastAsia" w:ascii="宋体" w:hAnsi="宋体"/>
          <w:snapToGrid w:val="0"/>
          <w:kern w:val="0"/>
        </w:rPr>
        <w:t xml:space="preserve">  投标人对投标文件修改的书面材料或撤销的通知应按本须知第17条和第18条规定进行编写、密封、标注和递交，并注明“修改投标文件”或“撤销投标”字样。</w:t>
      </w:r>
    </w:p>
    <w:p w14:paraId="54EC89AF">
      <w:pPr>
        <w:tabs>
          <w:tab w:val="left" w:pos="0"/>
        </w:tabs>
        <w:adjustRightInd w:val="0"/>
        <w:spacing w:line="360" w:lineRule="auto"/>
        <w:rPr>
          <w:rFonts w:ascii="宋体" w:hAnsi="宋体"/>
          <w:snapToGrid w:val="0"/>
          <w:kern w:val="0"/>
        </w:rPr>
      </w:pPr>
      <w:r>
        <w:rPr>
          <w:rFonts w:ascii="宋体" w:hAnsi="宋体"/>
          <w:snapToGrid w:val="0"/>
          <w:kern w:val="0"/>
        </w:rPr>
        <w:t>21.3</w:t>
      </w:r>
      <w:r>
        <w:rPr>
          <w:rFonts w:hint="eastAsia" w:ascii="宋体" w:hAnsi="宋体"/>
          <w:snapToGrid w:val="0"/>
          <w:kern w:val="0"/>
        </w:rPr>
        <w:t xml:space="preserve">  投标截止时间以后不得修改投标文件。</w:t>
      </w:r>
    </w:p>
    <w:p w14:paraId="0CB278D9">
      <w:pPr>
        <w:tabs>
          <w:tab w:val="left" w:pos="0"/>
        </w:tabs>
        <w:adjustRightInd w:val="0"/>
        <w:spacing w:line="360" w:lineRule="auto"/>
        <w:rPr>
          <w:rFonts w:ascii="宋体" w:hAnsi="宋体"/>
          <w:snapToGrid w:val="0"/>
          <w:kern w:val="0"/>
        </w:rPr>
      </w:pPr>
      <w:r>
        <w:rPr>
          <w:rFonts w:ascii="宋体" w:hAnsi="宋体"/>
          <w:snapToGrid w:val="0"/>
          <w:kern w:val="0"/>
        </w:rPr>
        <w:t>21.4</w:t>
      </w:r>
      <w:r>
        <w:rPr>
          <w:rFonts w:hint="eastAsia" w:ascii="宋体" w:hAnsi="宋体"/>
          <w:snapToGrid w:val="0"/>
          <w:kern w:val="0"/>
        </w:rPr>
        <w:t xml:space="preserve">  投标人不得在开标时间起到投标文件有效期满前撤销投标文件。</w:t>
      </w:r>
    </w:p>
    <w:p w14:paraId="6819B37C">
      <w:pPr>
        <w:tabs>
          <w:tab w:val="left" w:pos="0"/>
        </w:tabs>
        <w:adjustRightInd w:val="0"/>
        <w:spacing w:line="360" w:lineRule="auto"/>
        <w:rPr>
          <w:rFonts w:ascii="宋体" w:hAnsi="宋体"/>
          <w:snapToGrid w:val="0"/>
          <w:kern w:val="0"/>
        </w:rPr>
      </w:pPr>
    </w:p>
    <w:p w14:paraId="55F38B8F">
      <w:pPr>
        <w:pStyle w:val="2"/>
        <w:spacing w:before="0" w:after="0"/>
      </w:pPr>
      <w:bookmarkStart w:id="30" w:name="q8"/>
      <w:bookmarkEnd w:id="30"/>
      <w:bookmarkStart w:id="31" w:name="_Toc171350591"/>
      <w:r>
        <w:rPr>
          <w:rFonts w:hint="eastAsia"/>
        </w:rPr>
        <w:t>五、开标和评标</w:t>
      </w:r>
      <w:bookmarkEnd w:id="31"/>
    </w:p>
    <w:p w14:paraId="3D55DBEF">
      <w:pPr>
        <w:adjustRightInd w:val="0"/>
        <w:spacing w:line="360" w:lineRule="auto"/>
        <w:rPr>
          <w:rFonts w:ascii="宋体" w:hAnsi="宋体"/>
          <w:b/>
          <w:snapToGrid w:val="0"/>
          <w:kern w:val="0"/>
        </w:rPr>
      </w:pPr>
      <w:r>
        <w:rPr>
          <w:rFonts w:hint="eastAsia" w:ascii="宋体" w:hAnsi="宋体"/>
          <w:b/>
          <w:snapToGrid w:val="0"/>
          <w:kern w:val="0"/>
        </w:rPr>
        <w:t>22.开标</w:t>
      </w:r>
    </w:p>
    <w:p w14:paraId="05BE28E6">
      <w:pPr>
        <w:adjustRightInd w:val="0"/>
        <w:spacing w:line="360" w:lineRule="auto"/>
        <w:rPr>
          <w:rFonts w:ascii="宋体" w:hAnsi="宋体"/>
          <w:snapToGrid w:val="0"/>
          <w:kern w:val="0"/>
        </w:rPr>
      </w:pPr>
      <w:r>
        <w:rPr>
          <w:rFonts w:ascii="宋体" w:hAnsi="宋体"/>
          <w:snapToGrid w:val="0"/>
          <w:kern w:val="0"/>
        </w:rPr>
        <w:t xml:space="preserve">22.1  </w:t>
      </w:r>
      <w:r>
        <w:rPr>
          <w:rFonts w:hint="eastAsia" w:ascii="宋体" w:hAnsi="宋体" w:cs="宋体"/>
          <w:bCs/>
          <w:snapToGrid w:val="0"/>
          <w:kern w:val="0"/>
        </w:rPr>
        <w:t>采购代理机构</w:t>
      </w:r>
      <w:r>
        <w:rPr>
          <w:rFonts w:hint="eastAsia" w:ascii="宋体" w:hAnsi="宋体"/>
          <w:snapToGrid w:val="0"/>
          <w:kern w:val="0"/>
        </w:rPr>
        <w:t>在前附表第12项规定的时间和地点公开开标。</w:t>
      </w:r>
    </w:p>
    <w:p w14:paraId="0EB5DD43">
      <w:pPr>
        <w:adjustRightInd w:val="0"/>
        <w:spacing w:line="360" w:lineRule="auto"/>
        <w:rPr>
          <w:rFonts w:ascii="宋体" w:hAnsi="宋体"/>
          <w:snapToGrid w:val="0"/>
          <w:kern w:val="0"/>
        </w:rPr>
      </w:pPr>
      <w:r>
        <w:rPr>
          <w:rFonts w:hint="eastAsia" w:ascii="宋体" w:hAnsi="宋体"/>
          <w:snapToGrid w:val="0"/>
          <w:kern w:val="0"/>
        </w:rPr>
        <w:t>22.2  开标时，</w:t>
      </w:r>
      <w:r>
        <w:rPr>
          <w:rFonts w:hint="eastAsia" w:ascii="宋体" w:hAnsi="宋体" w:cs="宋体"/>
          <w:bCs/>
          <w:snapToGrid w:val="0"/>
          <w:kern w:val="0"/>
        </w:rPr>
        <w:t>采购代理机构</w:t>
      </w:r>
      <w:r>
        <w:rPr>
          <w:rFonts w:hint="eastAsia" w:ascii="宋体" w:hAnsi="宋体"/>
          <w:snapToGrid w:val="0"/>
          <w:kern w:val="0"/>
        </w:rPr>
        <w:t>将检查投标文件的密封情况，在确认无误后拆封唱标。唱标主要内容为下面几点并做好唱标记录。</w:t>
      </w:r>
    </w:p>
    <w:p w14:paraId="03B56AEC">
      <w:pPr>
        <w:adjustRightInd w:val="0"/>
        <w:spacing w:line="360" w:lineRule="auto"/>
        <w:rPr>
          <w:rFonts w:ascii="宋体" w:hAnsi="宋体"/>
          <w:snapToGrid w:val="0"/>
          <w:kern w:val="0"/>
        </w:rPr>
      </w:pPr>
      <w:r>
        <w:rPr>
          <w:rFonts w:hint="eastAsia" w:ascii="宋体" w:hAnsi="宋体"/>
          <w:snapToGrid w:val="0"/>
          <w:kern w:val="0"/>
        </w:rPr>
        <w:t>22.2</w:t>
      </w:r>
      <w:r>
        <w:rPr>
          <w:rFonts w:ascii="宋体" w:hAnsi="宋体"/>
          <w:snapToGrid w:val="0"/>
          <w:kern w:val="0"/>
        </w:rPr>
        <w:t xml:space="preserve">.1 </w:t>
      </w:r>
      <w:r>
        <w:rPr>
          <w:rFonts w:hint="eastAsia" w:ascii="宋体" w:hAnsi="宋体"/>
          <w:snapToGrid w:val="0"/>
          <w:kern w:val="0"/>
        </w:rPr>
        <w:t xml:space="preserve"> 投标文件中“开标一览表”的内容。</w:t>
      </w:r>
    </w:p>
    <w:p w14:paraId="0F91A28A">
      <w:pPr>
        <w:adjustRightInd w:val="0"/>
        <w:spacing w:line="360" w:lineRule="auto"/>
        <w:rPr>
          <w:rFonts w:ascii="宋体" w:hAnsi="宋体"/>
          <w:snapToGrid w:val="0"/>
          <w:kern w:val="0"/>
        </w:rPr>
      </w:pPr>
      <w:r>
        <w:rPr>
          <w:rFonts w:hint="eastAsia" w:ascii="宋体" w:hAnsi="宋体"/>
          <w:snapToGrid w:val="0"/>
          <w:kern w:val="0"/>
        </w:rPr>
        <w:t>22.2</w:t>
      </w:r>
      <w:r>
        <w:rPr>
          <w:rFonts w:ascii="宋体" w:hAnsi="宋体"/>
          <w:snapToGrid w:val="0"/>
          <w:kern w:val="0"/>
        </w:rPr>
        <w:t>.</w:t>
      </w:r>
      <w:r>
        <w:rPr>
          <w:rFonts w:hint="eastAsia" w:ascii="宋体" w:hAnsi="宋体"/>
          <w:snapToGrid w:val="0"/>
          <w:kern w:val="0"/>
        </w:rPr>
        <w:t xml:space="preserve">2  </w:t>
      </w:r>
      <w:r>
        <w:rPr>
          <w:rFonts w:hint="eastAsia" w:ascii="宋体" w:hAnsi="宋体" w:cs="宋体"/>
          <w:bCs/>
          <w:snapToGrid w:val="0"/>
          <w:kern w:val="0"/>
        </w:rPr>
        <w:t>采购代理机构</w:t>
      </w:r>
      <w:r>
        <w:rPr>
          <w:rFonts w:hint="eastAsia" w:ascii="宋体" w:hAnsi="宋体"/>
          <w:snapToGrid w:val="0"/>
          <w:kern w:val="0"/>
        </w:rPr>
        <w:t>认为合适的其他内容。</w:t>
      </w:r>
    </w:p>
    <w:p w14:paraId="00139EF0">
      <w:pPr>
        <w:adjustRightInd w:val="0"/>
        <w:spacing w:line="360" w:lineRule="auto"/>
        <w:rPr>
          <w:rFonts w:ascii="宋体" w:hAnsi="宋体"/>
          <w:snapToGrid w:val="0"/>
          <w:kern w:val="0"/>
        </w:rPr>
      </w:pPr>
      <w:r>
        <w:rPr>
          <w:rFonts w:hint="eastAsia" w:ascii="宋体" w:hAnsi="宋体"/>
          <w:snapToGrid w:val="0"/>
          <w:kern w:val="0"/>
        </w:rPr>
        <w:t>22.2.3  投标人未参加开标的，视同认可开标结果。投标人不足3家的，不得开标。</w:t>
      </w:r>
    </w:p>
    <w:p w14:paraId="38D92043">
      <w:pPr>
        <w:adjustRightInd w:val="0"/>
        <w:spacing w:line="360" w:lineRule="auto"/>
        <w:rPr>
          <w:rFonts w:ascii="宋体" w:hAnsi="宋体"/>
          <w:b/>
          <w:snapToGrid w:val="0"/>
          <w:kern w:val="0"/>
        </w:rPr>
      </w:pPr>
      <w:r>
        <w:rPr>
          <w:rFonts w:hint="eastAsia" w:ascii="宋体" w:hAnsi="宋体"/>
          <w:b/>
          <w:snapToGrid w:val="0"/>
          <w:kern w:val="0"/>
        </w:rPr>
        <w:t>23</w:t>
      </w:r>
      <w:r>
        <w:rPr>
          <w:rFonts w:ascii="宋体" w:hAnsi="宋体"/>
          <w:b/>
          <w:snapToGrid w:val="0"/>
          <w:kern w:val="0"/>
        </w:rPr>
        <w:t xml:space="preserve">. </w:t>
      </w:r>
      <w:r>
        <w:rPr>
          <w:rFonts w:hint="eastAsia" w:ascii="宋体" w:hAnsi="宋体"/>
          <w:b/>
          <w:snapToGrid w:val="0"/>
          <w:kern w:val="0"/>
        </w:rPr>
        <w:t>评标委员会</w:t>
      </w:r>
    </w:p>
    <w:p w14:paraId="63B81625">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3</w:t>
      </w:r>
      <w:r>
        <w:rPr>
          <w:rFonts w:ascii="宋体" w:hAnsi="宋体"/>
          <w:snapToGrid w:val="0"/>
          <w:kern w:val="0"/>
        </w:rPr>
        <w:t>.1</w:t>
      </w:r>
      <w:r>
        <w:rPr>
          <w:rFonts w:hint="eastAsia" w:ascii="宋体" w:hAnsi="宋体" w:cs="宋体"/>
          <w:bCs/>
          <w:snapToGrid w:val="0"/>
          <w:kern w:val="0"/>
        </w:rPr>
        <w:t>采购代理机构</w:t>
      </w:r>
      <w:r>
        <w:rPr>
          <w:rFonts w:hint="eastAsia" w:ascii="宋体" w:hAnsi="宋体"/>
          <w:snapToGrid w:val="0"/>
          <w:kern w:val="0"/>
        </w:rPr>
        <w:t>将根据招标采购货物的特点组建评标委员会，其成员由</w:t>
      </w:r>
      <w:r>
        <w:rPr>
          <w:rFonts w:hint="eastAsia" w:ascii="宋体" w:hAnsi="宋体"/>
          <w:bCs/>
          <w:snapToGrid w:val="0"/>
          <w:kern w:val="0"/>
        </w:rPr>
        <w:t>采购人</w:t>
      </w:r>
      <w:r>
        <w:rPr>
          <w:rFonts w:hint="eastAsia" w:ascii="宋体" w:hAnsi="宋体"/>
          <w:snapToGrid w:val="0"/>
          <w:kern w:val="0"/>
        </w:rPr>
        <w:t>代表</w:t>
      </w:r>
      <w:r>
        <w:rPr>
          <w:rFonts w:hint="eastAsia" w:ascii="宋体" w:hAnsi="宋体" w:cs="宋体"/>
          <w:bCs/>
          <w:snapToGrid w:val="0"/>
          <w:kern w:val="0"/>
        </w:rPr>
        <w:t>和有关技术、经济等方面的</w:t>
      </w:r>
      <w:r>
        <w:rPr>
          <w:rFonts w:hint="eastAsia" w:ascii="宋体" w:hAnsi="宋体"/>
          <w:snapToGrid w:val="0"/>
          <w:kern w:val="0"/>
        </w:rPr>
        <w:t>专家组成。评标委员会对投标文件进行审查、评估和比较。</w:t>
      </w:r>
    </w:p>
    <w:p w14:paraId="0E5D7D8D">
      <w:pPr>
        <w:adjustRightInd w:val="0"/>
        <w:spacing w:line="360" w:lineRule="auto"/>
        <w:rPr>
          <w:rFonts w:ascii="宋体" w:hAnsi="宋体"/>
          <w:snapToGrid w:val="0"/>
          <w:kern w:val="0"/>
        </w:rPr>
      </w:pPr>
      <w:r>
        <w:rPr>
          <w:rFonts w:hint="eastAsia" w:ascii="宋体" w:hAnsi="宋体"/>
          <w:snapToGrid w:val="0"/>
          <w:kern w:val="0"/>
        </w:rPr>
        <w:t>23</w:t>
      </w:r>
      <w:r>
        <w:rPr>
          <w:rFonts w:ascii="宋体" w:hAnsi="宋体"/>
          <w:snapToGrid w:val="0"/>
          <w:kern w:val="0"/>
        </w:rPr>
        <w:t xml:space="preserve">.2 </w:t>
      </w:r>
      <w:r>
        <w:rPr>
          <w:rFonts w:hint="eastAsia" w:ascii="宋体" w:hAnsi="宋体"/>
          <w:snapToGrid w:val="0"/>
          <w:kern w:val="0"/>
        </w:rPr>
        <w:t>评标期间，投标人应由法定代表人或其授权代表参加询标。</w:t>
      </w:r>
    </w:p>
    <w:p w14:paraId="1014FD31">
      <w:pPr>
        <w:adjustRightInd w:val="0"/>
        <w:spacing w:line="360" w:lineRule="auto"/>
        <w:rPr>
          <w:rFonts w:ascii="宋体" w:hAnsi="宋体"/>
          <w:b/>
          <w:snapToGrid w:val="0"/>
          <w:kern w:val="0"/>
        </w:rPr>
      </w:pPr>
      <w:r>
        <w:rPr>
          <w:rFonts w:ascii="宋体" w:hAnsi="宋体"/>
          <w:b/>
          <w:snapToGrid w:val="0"/>
          <w:kern w:val="0"/>
        </w:rPr>
        <w:t xml:space="preserve">24. </w:t>
      </w:r>
      <w:r>
        <w:rPr>
          <w:rFonts w:hint="eastAsia" w:ascii="宋体" w:hAnsi="宋体"/>
          <w:b/>
          <w:snapToGrid w:val="0"/>
          <w:kern w:val="0"/>
        </w:rPr>
        <w:t>对投标文件的审查和响应性的确定</w:t>
      </w:r>
    </w:p>
    <w:p w14:paraId="38318EA8">
      <w:pPr>
        <w:adjustRightInd w:val="0"/>
        <w:spacing w:line="360" w:lineRule="auto"/>
        <w:rPr>
          <w:rFonts w:ascii="宋体" w:hAnsi="宋体"/>
          <w:snapToGrid w:val="0"/>
          <w:kern w:val="0"/>
        </w:rPr>
      </w:pPr>
      <w:r>
        <w:rPr>
          <w:rFonts w:hint="eastAsia" w:ascii="宋体" w:hAnsi="宋体"/>
          <w:snapToGrid w:val="0"/>
          <w:kern w:val="0"/>
        </w:rPr>
        <w:t>24.1  招标机构就投标文件中的资格证明等内容对投标供应商进行资格性审查，审查不合格的，认定其投标无效。合格投标人不足3家的，不得评标。</w:t>
      </w:r>
    </w:p>
    <w:p w14:paraId="40ABBCBF">
      <w:pPr>
        <w:adjustRightInd w:val="0"/>
        <w:spacing w:line="360" w:lineRule="auto"/>
        <w:rPr>
          <w:rFonts w:ascii="宋体" w:hAnsi="宋体"/>
          <w:snapToGrid w:val="0"/>
          <w:kern w:val="0"/>
        </w:rPr>
      </w:pPr>
      <w:r>
        <w:rPr>
          <w:rFonts w:hint="eastAsia" w:ascii="宋体" w:hAnsi="宋体"/>
          <w:snapToGrid w:val="0"/>
          <w:kern w:val="0"/>
        </w:rPr>
        <w:t>24.2  评标委员会将审查投标文件是否完整、总体编排是否有序、文件签署是否合格、有无计算上的错误等。</w:t>
      </w:r>
    </w:p>
    <w:p w14:paraId="07C91865">
      <w:pPr>
        <w:adjustRightInd w:val="0"/>
        <w:spacing w:line="360" w:lineRule="auto"/>
        <w:rPr>
          <w:rFonts w:ascii="宋体" w:hAnsi="宋体"/>
          <w:snapToGrid w:val="0"/>
          <w:kern w:val="0"/>
        </w:rPr>
      </w:pPr>
      <w:r>
        <w:rPr>
          <w:rFonts w:hint="eastAsia" w:ascii="宋体" w:hAnsi="宋体"/>
          <w:snapToGrid w:val="0"/>
          <w:kern w:val="0"/>
        </w:rPr>
        <w:t>24.3  算术错误将按以下方法更正（次序排先者优先）：</w:t>
      </w:r>
    </w:p>
    <w:p w14:paraId="48EE107F">
      <w:pPr>
        <w:adjustRightInd w:val="0"/>
        <w:spacing w:line="360" w:lineRule="auto"/>
        <w:rPr>
          <w:rFonts w:ascii="宋体" w:hAnsi="宋体"/>
          <w:snapToGrid w:val="0"/>
          <w:kern w:val="0"/>
        </w:rPr>
      </w:pPr>
      <w:r>
        <w:rPr>
          <w:rFonts w:hint="eastAsia" w:ascii="宋体" w:hAnsi="宋体"/>
          <w:snapToGrid w:val="0"/>
          <w:kern w:val="0"/>
        </w:rPr>
        <w:t>（1）开标一览表内容与投标文件中相应内容不一致的，以开标一览表为准；</w:t>
      </w:r>
    </w:p>
    <w:p w14:paraId="126B07E7">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3F52BC43">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5D987037">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5B5F50E7">
      <w:pPr>
        <w:adjustRightInd w:val="0"/>
        <w:spacing w:line="360" w:lineRule="auto"/>
        <w:ind w:firstLine="424" w:firstLineChars="202"/>
        <w:rPr>
          <w:rFonts w:ascii="宋体" w:hAnsi="宋体"/>
          <w:snapToGrid w:val="0"/>
          <w:kern w:val="0"/>
        </w:rPr>
      </w:pPr>
      <w:r>
        <w:rPr>
          <w:rFonts w:hint="eastAsia" w:ascii="宋体" w:hAnsi="宋体"/>
          <w:szCs w:val="21"/>
        </w:rPr>
        <w:t>同时出现两种以上不一致的，按照前款规定的顺序修正。修正后的报价按照本须知25.2条的规定，经投标人确认后产生约束力，投标人不确认的，其投标无效</w:t>
      </w:r>
      <w:r>
        <w:rPr>
          <w:rFonts w:hint="eastAsia" w:ascii="宋体" w:hAnsi="宋体"/>
          <w:snapToGrid w:val="0"/>
          <w:kern w:val="0"/>
        </w:rPr>
        <w:t>。</w:t>
      </w:r>
    </w:p>
    <w:p w14:paraId="77486DED">
      <w:pPr>
        <w:adjustRightInd w:val="0"/>
        <w:spacing w:line="360" w:lineRule="auto"/>
        <w:rPr>
          <w:rFonts w:ascii="宋体" w:hAnsi="宋体"/>
          <w:snapToGrid w:val="0"/>
          <w:kern w:val="0"/>
        </w:rPr>
      </w:pPr>
      <w:r>
        <w:rPr>
          <w:rFonts w:hint="eastAsia" w:ascii="宋体" w:hAnsi="宋体"/>
          <w:snapToGrid w:val="0"/>
          <w:kern w:val="0"/>
        </w:rPr>
        <w:t>24.4  评标委员会将确定每份投标是否对招标文件的要求，作出了实质性的响应而没有重大偏离。实质性响应的投标是指符合招标文件的所有条款、条件和规定，且没有重大偏离或保留。重大偏离或保留系指影响到招标文件规定的范围、质量和性能，或限制了采购人的权力和投标人的义务的规定。而纠正这些偏离将影响到其它提交实质性响应投标的投标人的公平竞争地位。</w:t>
      </w:r>
    </w:p>
    <w:p w14:paraId="5FF8685F">
      <w:pPr>
        <w:adjustRightInd w:val="0"/>
        <w:spacing w:line="360" w:lineRule="auto"/>
        <w:rPr>
          <w:rFonts w:ascii="宋体" w:hAnsi="宋体"/>
          <w:snapToGrid w:val="0"/>
          <w:kern w:val="0"/>
        </w:rPr>
      </w:pPr>
      <w:r>
        <w:rPr>
          <w:rFonts w:hint="eastAsia" w:ascii="宋体" w:hAnsi="宋体"/>
          <w:snapToGrid w:val="0"/>
          <w:kern w:val="0"/>
        </w:rPr>
        <w:t>24.5  评标委员会判断投标文件的响应性，仅基于招标文件和投标文件本身而不靠外部证据。</w:t>
      </w:r>
    </w:p>
    <w:p w14:paraId="460F6397">
      <w:pPr>
        <w:adjustRightInd w:val="0"/>
        <w:spacing w:line="360" w:lineRule="auto"/>
        <w:rPr>
          <w:rFonts w:ascii="宋体" w:hAnsi="宋体"/>
          <w:snapToGrid w:val="0"/>
          <w:kern w:val="0"/>
        </w:rPr>
      </w:pPr>
      <w:r>
        <w:rPr>
          <w:rFonts w:hint="eastAsia" w:ascii="宋体" w:hAnsi="宋体"/>
          <w:snapToGrid w:val="0"/>
          <w:kern w:val="0"/>
        </w:rPr>
        <w:t>24.6  评标委员会将拒绝被确定为非实质性响应的投标人。投标人不能通过修正或撤销不符之处，而使其投标成为实质性响应的投标。</w:t>
      </w:r>
    </w:p>
    <w:p w14:paraId="79746BFD">
      <w:pPr>
        <w:adjustRightInd w:val="0"/>
        <w:spacing w:line="360" w:lineRule="auto"/>
        <w:rPr>
          <w:rFonts w:ascii="宋体" w:hAnsi="宋体"/>
          <w:snapToGrid w:val="0"/>
          <w:kern w:val="0"/>
        </w:rPr>
      </w:pPr>
      <w:r>
        <w:rPr>
          <w:rFonts w:hint="eastAsia" w:ascii="宋体" w:hAnsi="宋体"/>
          <w:snapToGrid w:val="0"/>
          <w:kern w:val="0"/>
        </w:rPr>
        <w:t>24.7  评标委员会允许修改投标中不构成重大偏离的、微小的、非正规、不一致或不规则的地方。</w:t>
      </w:r>
    </w:p>
    <w:p w14:paraId="15CFDDE0">
      <w:pPr>
        <w:adjustRightInd w:val="0"/>
        <w:spacing w:line="360" w:lineRule="auto"/>
        <w:rPr>
          <w:rFonts w:ascii="宋体" w:hAnsi="宋体"/>
          <w:szCs w:val="21"/>
        </w:rPr>
      </w:pPr>
      <w:r>
        <w:rPr>
          <w:rFonts w:hint="eastAsia" w:ascii="宋体" w:hAnsi="宋体"/>
          <w:snapToGrid w:val="0"/>
          <w:kern w:val="0"/>
        </w:rPr>
        <w:t xml:space="preserve">24.8  </w:t>
      </w:r>
      <w:r>
        <w:rPr>
          <w:rFonts w:hint="eastAsia" w:ascii="宋体" w:hAnsi="宋体"/>
          <w:szCs w:val="21"/>
        </w:rPr>
        <w:t>根据《中华人民共和国财政部令第</w:t>
      </w:r>
      <w:r>
        <w:rPr>
          <w:rFonts w:ascii="宋体" w:hAnsi="宋体"/>
          <w:szCs w:val="21"/>
        </w:rPr>
        <w:t>87</w:t>
      </w:r>
      <w:r>
        <w:rPr>
          <w:rFonts w:hint="eastAsia" w:ascii="宋体" w:hAnsi="宋体"/>
          <w:szCs w:val="21"/>
        </w:rPr>
        <w:t>号</w:t>
      </w:r>
      <w:r>
        <w:rPr>
          <w:rFonts w:ascii="宋体" w:hAnsi="宋体"/>
          <w:szCs w:val="21"/>
        </w:rPr>
        <w:t>-</w:t>
      </w:r>
      <w:r>
        <w:rPr>
          <w:rFonts w:hint="eastAsia" w:ascii="宋体" w:hAnsi="宋体"/>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7F5824E">
      <w:pPr>
        <w:adjustRightInd w:val="0"/>
        <w:spacing w:line="360" w:lineRule="auto"/>
        <w:rPr>
          <w:snapToGrid w:val="0"/>
          <w:kern w:val="0"/>
        </w:rPr>
      </w:pPr>
      <w:r>
        <w:rPr>
          <w:rFonts w:hint="eastAsia" w:ascii="宋体" w:hAnsi="宋体"/>
          <w:snapToGrid w:val="0"/>
          <w:kern w:val="0"/>
        </w:rPr>
        <w:t xml:space="preserve">24.9  </w:t>
      </w:r>
      <w:r>
        <w:rPr>
          <w:rFonts w:hint="eastAsia"/>
          <w:snapToGrid w:val="0"/>
          <w:kern w:val="0"/>
        </w:rPr>
        <w:t>评标委员会成员对需要共同认定的事项存在争议的，应当按照少数服从多数的原则作出结论。持不同意见的评标委员会成员应当在评标报告上签署不同意见及理由，否则视为同意评标报告。</w:t>
      </w:r>
    </w:p>
    <w:p w14:paraId="30D40122">
      <w:pPr>
        <w:adjustRightInd w:val="0"/>
        <w:spacing w:line="360" w:lineRule="auto"/>
        <w:rPr>
          <w:rFonts w:ascii="宋体" w:hAnsi="宋体"/>
          <w:snapToGrid w:val="0"/>
          <w:kern w:val="0"/>
        </w:rPr>
      </w:pPr>
      <w:r>
        <w:rPr>
          <w:rFonts w:hint="eastAsia" w:ascii="宋体" w:hAnsi="宋体"/>
          <w:snapToGrid w:val="0"/>
          <w:kern w:val="0"/>
        </w:rPr>
        <w:t>24.10 经</w:t>
      </w:r>
      <w:r>
        <w:rPr>
          <w:rFonts w:hint="eastAsia"/>
          <w:snapToGrid w:val="0"/>
          <w:kern w:val="0"/>
        </w:rPr>
        <w:t>评标委员会审查，</w:t>
      </w:r>
      <w:r>
        <w:rPr>
          <w:rFonts w:hint="eastAsia" w:ascii="宋体" w:hAnsi="宋体" w:cs="仿宋_GB2312"/>
          <w:kern w:val="0"/>
          <w:szCs w:val="21"/>
        </w:rPr>
        <w:t>有效投标的供应商不足三家的，按公开招标失败处理。</w:t>
      </w:r>
    </w:p>
    <w:p w14:paraId="4E68CF70">
      <w:pPr>
        <w:adjustRightInd w:val="0"/>
        <w:spacing w:line="360" w:lineRule="auto"/>
        <w:rPr>
          <w:rFonts w:ascii="宋体" w:hAnsi="宋体"/>
          <w:b/>
          <w:snapToGrid w:val="0"/>
          <w:kern w:val="0"/>
        </w:rPr>
      </w:pPr>
      <w:r>
        <w:rPr>
          <w:rFonts w:ascii="宋体" w:hAnsi="宋体"/>
          <w:b/>
          <w:snapToGrid w:val="0"/>
          <w:kern w:val="0"/>
        </w:rPr>
        <w:t>2</w:t>
      </w:r>
      <w:r>
        <w:rPr>
          <w:rFonts w:hint="eastAsia" w:ascii="宋体" w:hAnsi="宋体"/>
          <w:b/>
          <w:snapToGrid w:val="0"/>
          <w:kern w:val="0"/>
        </w:rPr>
        <w:t>5</w:t>
      </w:r>
      <w:r>
        <w:rPr>
          <w:rFonts w:ascii="宋体" w:hAnsi="宋体"/>
          <w:b/>
          <w:snapToGrid w:val="0"/>
          <w:kern w:val="0"/>
        </w:rPr>
        <w:t xml:space="preserve">. </w:t>
      </w:r>
      <w:r>
        <w:rPr>
          <w:rFonts w:hint="eastAsia" w:ascii="宋体" w:hAnsi="宋体"/>
          <w:b/>
          <w:snapToGrid w:val="0"/>
          <w:kern w:val="0"/>
        </w:rPr>
        <w:t>投标文件的澄清</w:t>
      </w:r>
    </w:p>
    <w:p w14:paraId="07C1EE0A">
      <w:pPr>
        <w:adjustRightInd w:val="0"/>
        <w:spacing w:line="360" w:lineRule="auto"/>
        <w:rPr>
          <w:rFonts w:ascii="宋体" w:hAnsi="宋体"/>
          <w:snapToGrid w:val="0"/>
          <w:kern w:val="0"/>
        </w:rPr>
      </w:pPr>
      <w:r>
        <w:rPr>
          <w:rFonts w:hint="eastAsia" w:ascii="宋体" w:hAnsi="宋体"/>
          <w:snapToGrid w:val="0"/>
          <w:kern w:val="0"/>
        </w:rPr>
        <w:t>25.1  对于投标文件中含义不明确、同类问题表述不一致或者有明显文字和计算错误的内容，评标委员会应当以书面形式要求投标人作出必要的澄清、说明或者补正。</w:t>
      </w:r>
    </w:p>
    <w:p w14:paraId="0B6A6347">
      <w:pPr>
        <w:adjustRightInd w:val="0"/>
        <w:spacing w:line="360" w:lineRule="auto"/>
        <w:rPr>
          <w:rFonts w:ascii="宋体" w:hAnsi="宋体"/>
          <w:snapToGrid w:val="0"/>
          <w:kern w:val="0"/>
        </w:rPr>
      </w:pPr>
      <w:r>
        <w:rPr>
          <w:rFonts w:hint="eastAsia" w:ascii="宋体" w:hAnsi="宋体"/>
          <w:snapToGrid w:val="0"/>
          <w:kern w:val="0"/>
        </w:rPr>
        <w:t>25.2  投标人的澄清、说明或者补正应当采用书面形式，并加盖公章，或者由法定代表人或其授权的代表签字。投标人的澄清、说明或者补正不得超出投标文件的范围或者改变投标文件的实质性内容。</w:t>
      </w:r>
    </w:p>
    <w:p w14:paraId="3491F4FD">
      <w:pPr>
        <w:adjustRightInd w:val="0"/>
        <w:spacing w:line="360" w:lineRule="auto"/>
        <w:rPr>
          <w:rFonts w:ascii="宋体" w:hAnsi="宋体"/>
          <w:b/>
          <w:snapToGrid w:val="0"/>
          <w:kern w:val="0"/>
        </w:rPr>
      </w:pPr>
      <w:r>
        <w:rPr>
          <w:rFonts w:ascii="宋体" w:hAnsi="宋体"/>
          <w:b/>
          <w:snapToGrid w:val="0"/>
          <w:kern w:val="0"/>
        </w:rPr>
        <w:t xml:space="preserve">26. </w:t>
      </w:r>
      <w:r>
        <w:rPr>
          <w:rFonts w:hint="eastAsia" w:ascii="宋体" w:hAnsi="宋体"/>
          <w:b/>
          <w:snapToGrid w:val="0"/>
          <w:kern w:val="0"/>
        </w:rPr>
        <w:t>评标方法和详细评审</w:t>
      </w:r>
    </w:p>
    <w:p w14:paraId="0A92CCD4">
      <w:pPr>
        <w:adjustRightInd w:val="0"/>
        <w:spacing w:line="360" w:lineRule="auto"/>
        <w:rPr>
          <w:rFonts w:ascii="宋体" w:hAnsi="宋体"/>
          <w:snapToGrid w:val="0"/>
          <w:kern w:val="0"/>
        </w:rPr>
      </w:pPr>
      <w:r>
        <w:rPr>
          <w:rFonts w:hint="eastAsia" w:ascii="宋体" w:hAnsi="宋体"/>
          <w:snapToGrid w:val="0"/>
          <w:kern w:val="0"/>
        </w:rPr>
        <w:t>26.1 评标委员会将按照本须知第24条规定只对确定为实质上响应的投标文件进行评价和比较。</w:t>
      </w:r>
    </w:p>
    <w:p w14:paraId="4CD949F7">
      <w:pPr>
        <w:adjustRightInd w:val="0"/>
        <w:spacing w:line="360" w:lineRule="auto"/>
        <w:rPr>
          <w:rFonts w:ascii="宋体" w:hAnsi="宋体"/>
          <w:snapToGrid w:val="0"/>
          <w:kern w:val="0"/>
        </w:rPr>
      </w:pPr>
      <w:r>
        <w:rPr>
          <w:rFonts w:ascii="宋体" w:hAnsi="宋体"/>
          <w:snapToGrid w:val="0"/>
          <w:kern w:val="0"/>
        </w:rPr>
        <w:t xml:space="preserve">26.2 </w:t>
      </w:r>
      <w:r>
        <w:rPr>
          <w:rFonts w:hint="eastAsia" w:ascii="宋体" w:hAnsi="宋体"/>
          <w:snapToGrid w:val="0"/>
          <w:kern w:val="0"/>
        </w:rPr>
        <w:t>评标的基础应是本须知第</w:t>
      </w:r>
      <w:r>
        <w:rPr>
          <w:rFonts w:ascii="宋体" w:hAnsi="宋体"/>
          <w:snapToGrid w:val="0"/>
          <w:kern w:val="0"/>
        </w:rPr>
        <w:t>1</w:t>
      </w:r>
      <w:r>
        <w:rPr>
          <w:rFonts w:hint="eastAsia" w:ascii="宋体" w:hAnsi="宋体"/>
          <w:snapToGrid w:val="0"/>
          <w:kern w:val="0"/>
        </w:rPr>
        <w:t>2条规定的投标报价。</w:t>
      </w:r>
    </w:p>
    <w:p w14:paraId="51867101">
      <w:pPr>
        <w:adjustRightInd w:val="0"/>
        <w:spacing w:line="360" w:lineRule="auto"/>
        <w:rPr>
          <w:rFonts w:ascii="宋体" w:hAnsi="宋体"/>
          <w:snapToGrid w:val="0"/>
          <w:kern w:val="0"/>
        </w:rPr>
      </w:pPr>
      <w:r>
        <w:rPr>
          <w:rFonts w:hint="eastAsia" w:ascii="宋体" w:hAnsi="宋体"/>
          <w:snapToGrid w:val="0"/>
          <w:kern w:val="0"/>
        </w:rPr>
        <w:t>26.3评标委员会按 “第四章 评标方法和标准”所述进行详细评审，并推荐中标候选人。</w:t>
      </w:r>
    </w:p>
    <w:p w14:paraId="3C98DD87">
      <w:pPr>
        <w:adjustRightInd w:val="0"/>
        <w:spacing w:line="360" w:lineRule="auto"/>
        <w:rPr>
          <w:rFonts w:ascii="宋体" w:hAnsi="宋体"/>
          <w:b/>
          <w:snapToGrid w:val="0"/>
          <w:kern w:val="0"/>
        </w:rPr>
      </w:pPr>
      <w:r>
        <w:rPr>
          <w:rFonts w:ascii="宋体" w:hAnsi="宋体"/>
          <w:b/>
          <w:snapToGrid w:val="0"/>
          <w:kern w:val="0"/>
        </w:rPr>
        <w:t xml:space="preserve">27. </w:t>
      </w:r>
      <w:r>
        <w:rPr>
          <w:rFonts w:hint="eastAsia" w:ascii="宋体" w:hAnsi="宋体"/>
          <w:b/>
          <w:snapToGrid w:val="0"/>
          <w:kern w:val="0"/>
        </w:rPr>
        <w:t>评标报告</w:t>
      </w:r>
    </w:p>
    <w:p w14:paraId="3016E3B8">
      <w:pPr>
        <w:adjustRightInd w:val="0"/>
        <w:spacing w:line="360" w:lineRule="auto"/>
        <w:rPr>
          <w:rFonts w:ascii="宋体" w:hAnsi="宋体"/>
          <w:snapToGrid w:val="0"/>
          <w:kern w:val="0"/>
        </w:rPr>
      </w:pPr>
      <w:r>
        <w:rPr>
          <w:rFonts w:hint="eastAsia" w:ascii="宋体" w:hAnsi="宋体"/>
          <w:snapToGrid w:val="0"/>
          <w:kern w:val="0"/>
        </w:rPr>
        <w:t>评标报告是评标委员会根据全体评标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10CD8151">
      <w:pPr>
        <w:adjustRightInd w:val="0"/>
        <w:spacing w:line="360" w:lineRule="auto"/>
        <w:rPr>
          <w:rFonts w:ascii="宋体" w:hAnsi="宋体"/>
          <w:b/>
          <w:snapToGrid w:val="0"/>
          <w:kern w:val="0"/>
        </w:rPr>
      </w:pPr>
      <w:r>
        <w:rPr>
          <w:rFonts w:ascii="宋体" w:hAnsi="宋体"/>
          <w:b/>
          <w:snapToGrid w:val="0"/>
          <w:kern w:val="0"/>
        </w:rPr>
        <w:t>2</w:t>
      </w:r>
      <w:r>
        <w:rPr>
          <w:rFonts w:hint="eastAsia" w:ascii="宋体" w:hAnsi="宋体"/>
          <w:b/>
          <w:snapToGrid w:val="0"/>
          <w:kern w:val="0"/>
        </w:rPr>
        <w:t>8</w:t>
      </w:r>
      <w:r>
        <w:rPr>
          <w:rFonts w:ascii="宋体" w:hAnsi="宋体"/>
          <w:b/>
          <w:snapToGrid w:val="0"/>
          <w:kern w:val="0"/>
        </w:rPr>
        <w:t xml:space="preserve">. </w:t>
      </w:r>
      <w:r>
        <w:rPr>
          <w:rFonts w:hint="eastAsia" w:ascii="宋体" w:hAnsi="宋体"/>
          <w:b/>
          <w:snapToGrid w:val="0"/>
          <w:kern w:val="0"/>
        </w:rPr>
        <w:t>保密及其它注意事项</w:t>
      </w:r>
    </w:p>
    <w:p w14:paraId="733DB2AB">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8</w:t>
      </w:r>
      <w:r>
        <w:rPr>
          <w:rFonts w:ascii="宋体" w:hAnsi="宋体"/>
          <w:snapToGrid w:val="0"/>
          <w:kern w:val="0"/>
        </w:rPr>
        <w:t>.</w:t>
      </w:r>
      <w:r>
        <w:rPr>
          <w:rFonts w:hint="eastAsia" w:ascii="宋体" w:hAnsi="宋体"/>
          <w:snapToGrid w:val="0"/>
          <w:kern w:val="0"/>
        </w:rPr>
        <w:t>1  评标是招标工作的重要环节，评标工作在评委会内独立进行。评委会将遵照评标原则，公正、平等地对待所有投标人。</w:t>
      </w:r>
    </w:p>
    <w:p w14:paraId="5E1C57E6">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8</w:t>
      </w:r>
      <w:r>
        <w:rPr>
          <w:rFonts w:ascii="宋体" w:hAnsi="宋体"/>
          <w:snapToGrid w:val="0"/>
          <w:kern w:val="0"/>
        </w:rPr>
        <w:t>.2</w:t>
      </w:r>
      <w:r>
        <w:rPr>
          <w:rFonts w:hint="eastAsia" w:ascii="宋体" w:hAnsi="宋体"/>
          <w:snapToGrid w:val="0"/>
          <w:kern w:val="0"/>
        </w:rPr>
        <w:t>评标期间，评委会将对投标文件中有关问题分别向投标人进行询问。各投标人应予以认真答复。重要或复杂问题的答复需以书面形式，并经法定代表人或授权人签署。澄清文件将作为投标文件的组成部分。</w:t>
      </w:r>
    </w:p>
    <w:p w14:paraId="51D2EC50">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8</w:t>
      </w:r>
      <w:r>
        <w:rPr>
          <w:rFonts w:ascii="宋体" w:hAnsi="宋体"/>
          <w:snapToGrid w:val="0"/>
          <w:kern w:val="0"/>
        </w:rPr>
        <w:t xml:space="preserve">.3  </w:t>
      </w:r>
      <w:r>
        <w:rPr>
          <w:rFonts w:hint="eastAsia" w:ascii="宋体" w:hAnsi="宋体"/>
          <w:snapToGrid w:val="0"/>
          <w:kern w:val="0"/>
        </w:rPr>
        <w:t>在开标、投标期间，投标人不得向评委询问评标情况，不得进行旨在影响评标结果的活动。</w:t>
      </w:r>
    </w:p>
    <w:p w14:paraId="014EAC6B">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8</w:t>
      </w:r>
      <w:r>
        <w:rPr>
          <w:rFonts w:ascii="宋体" w:hAnsi="宋体"/>
          <w:snapToGrid w:val="0"/>
          <w:kern w:val="0"/>
        </w:rPr>
        <w:t xml:space="preserve">.4  </w:t>
      </w:r>
      <w:r>
        <w:rPr>
          <w:rFonts w:hint="eastAsia" w:ascii="宋体" w:hAnsi="宋体"/>
          <w:snapToGrid w:val="0"/>
          <w:kern w:val="0"/>
        </w:rPr>
        <w:t>为保证定标的公正性，在评标过程中，评委不得与投标人私下交换意见。在招标工作结束后，凡与评标情况有接触的任何人，不得也不应将评标情况扩散出评委人员之外。</w:t>
      </w:r>
    </w:p>
    <w:p w14:paraId="5C2CF2C4">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8</w:t>
      </w:r>
      <w:r>
        <w:rPr>
          <w:rFonts w:ascii="宋体" w:hAnsi="宋体"/>
          <w:snapToGrid w:val="0"/>
          <w:kern w:val="0"/>
        </w:rPr>
        <w:t>.5</w:t>
      </w:r>
      <w:r>
        <w:rPr>
          <w:rFonts w:hint="eastAsia" w:ascii="宋体" w:hAnsi="宋体"/>
          <w:snapToGrid w:val="0"/>
          <w:kern w:val="0"/>
        </w:rPr>
        <w:t>评委会不向落标方解释落标原因，不退还投标文件。</w:t>
      </w:r>
    </w:p>
    <w:p w14:paraId="46324212">
      <w:pPr>
        <w:adjustRightInd w:val="0"/>
        <w:spacing w:line="360" w:lineRule="auto"/>
        <w:ind w:left="357"/>
        <w:jc w:val="center"/>
        <w:rPr>
          <w:rFonts w:ascii="宋体" w:hAnsi="宋体"/>
          <w:b/>
          <w:snapToGrid w:val="0"/>
          <w:kern w:val="0"/>
        </w:rPr>
      </w:pPr>
      <w:bookmarkStart w:id="32" w:name="q9"/>
      <w:bookmarkEnd w:id="32"/>
    </w:p>
    <w:p w14:paraId="71A223D4">
      <w:pPr>
        <w:pStyle w:val="2"/>
        <w:spacing w:before="0" w:after="0"/>
      </w:pPr>
      <w:bookmarkStart w:id="33" w:name="_Toc171350592"/>
      <w:r>
        <w:rPr>
          <w:rFonts w:hint="eastAsia"/>
        </w:rPr>
        <w:t>六、授予合同</w:t>
      </w:r>
      <w:bookmarkEnd w:id="33"/>
    </w:p>
    <w:p w14:paraId="26A52B50">
      <w:pPr>
        <w:adjustRightInd w:val="0"/>
        <w:spacing w:line="360" w:lineRule="auto"/>
        <w:rPr>
          <w:rFonts w:ascii="宋体" w:hAnsi="宋体"/>
          <w:b/>
          <w:snapToGrid w:val="0"/>
          <w:kern w:val="0"/>
        </w:rPr>
      </w:pPr>
      <w:r>
        <w:rPr>
          <w:rFonts w:ascii="宋体" w:hAnsi="宋体"/>
          <w:b/>
          <w:snapToGrid w:val="0"/>
          <w:kern w:val="0"/>
        </w:rPr>
        <w:t>2</w:t>
      </w:r>
      <w:r>
        <w:rPr>
          <w:rFonts w:hint="eastAsia" w:ascii="宋体" w:hAnsi="宋体"/>
          <w:b/>
          <w:snapToGrid w:val="0"/>
          <w:kern w:val="0"/>
        </w:rPr>
        <w:t>9．合同授予标准</w:t>
      </w:r>
    </w:p>
    <w:p w14:paraId="0AC6AEEE">
      <w:pPr>
        <w:tabs>
          <w:tab w:val="left" w:pos="5688"/>
        </w:tabs>
        <w:adjustRightInd w:val="0"/>
        <w:spacing w:line="360" w:lineRule="auto"/>
        <w:rPr>
          <w:rFonts w:ascii="宋体" w:hAnsi="宋体"/>
          <w:snapToGrid w:val="0"/>
          <w:kern w:val="0"/>
        </w:rPr>
      </w:pPr>
      <w:r>
        <w:rPr>
          <w:rFonts w:hint="eastAsia" w:ascii="宋体" w:hAnsi="宋体"/>
          <w:snapToGrid w:val="0"/>
          <w:kern w:val="0"/>
        </w:rPr>
        <w:t xml:space="preserve">    本项目采购合同授予经采购人确定的中标人。</w:t>
      </w:r>
    </w:p>
    <w:p w14:paraId="7169EB64">
      <w:pPr>
        <w:adjustRightInd w:val="0"/>
        <w:spacing w:line="360" w:lineRule="auto"/>
        <w:rPr>
          <w:rFonts w:ascii="宋体" w:hAnsi="宋体"/>
          <w:b/>
          <w:snapToGrid w:val="0"/>
          <w:kern w:val="0"/>
        </w:rPr>
      </w:pPr>
      <w:r>
        <w:rPr>
          <w:rFonts w:hint="eastAsia" w:ascii="宋体" w:hAnsi="宋体"/>
          <w:b/>
          <w:snapToGrid w:val="0"/>
          <w:kern w:val="0"/>
        </w:rPr>
        <w:t>30</w:t>
      </w:r>
      <w:r>
        <w:rPr>
          <w:rFonts w:ascii="宋体" w:hAnsi="宋体"/>
          <w:b/>
          <w:snapToGrid w:val="0"/>
          <w:kern w:val="0"/>
        </w:rPr>
        <w:t xml:space="preserve">. </w:t>
      </w:r>
      <w:r>
        <w:rPr>
          <w:rFonts w:hint="eastAsia" w:ascii="宋体" w:hAnsi="宋体"/>
          <w:b/>
          <w:snapToGrid w:val="0"/>
          <w:kern w:val="0"/>
        </w:rPr>
        <w:t>中标通知</w:t>
      </w:r>
    </w:p>
    <w:p w14:paraId="34D6AB14">
      <w:pPr>
        <w:adjustRightInd w:val="0"/>
        <w:spacing w:line="360" w:lineRule="auto"/>
        <w:rPr>
          <w:rFonts w:ascii="宋体" w:hAnsi="宋体"/>
          <w:snapToGrid w:val="0"/>
          <w:kern w:val="0"/>
        </w:rPr>
      </w:pPr>
      <w:r>
        <w:rPr>
          <w:rFonts w:hint="eastAsia" w:ascii="宋体" w:hAnsi="宋体"/>
          <w:snapToGrid w:val="0"/>
          <w:kern w:val="0"/>
        </w:rPr>
        <w:t>30.1  招标机构在发出《中标通知书》之前，将中标结果通过政府采购指定网站进行公示。中标结果公示期满无异议或者异议不成立的，招标机构将发出《中标通知书》。《中标通知书》一经发出即发生法律效力。</w:t>
      </w:r>
    </w:p>
    <w:p w14:paraId="3FB6918F">
      <w:pPr>
        <w:adjustRightInd w:val="0"/>
        <w:spacing w:line="360" w:lineRule="auto"/>
        <w:rPr>
          <w:rFonts w:ascii="宋体" w:hAnsi="宋体"/>
          <w:snapToGrid w:val="0"/>
          <w:kern w:val="0"/>
        </w:rPr>
      </w:pPr>
      <w:r>
        <w:rPr>
          <w:rFonts w:hint="eastAsia" w:ascii="宋体" w:hAnsi="宋体"/>
          <w:snapToGrid w:val="0"/>
          <w:kern w:val="0"/>
        </w:rPr>
        <w:t>30</w:t>
      </w:r>
      <w:r>
        <w:rPr>
          <w:rFonts w:ascii="宋体" w:hAnsi="宋体"/>
          <w:snapToGrid w:val="0"/>
          <w:kern w:val="0"/>
        </w:rPr>
        <w:t xml:space="preserve">.2 </w:t>
      </w:r>
      <w:r>
        <w:rPr>
          <w:rFonts w:hint="eastAsia" w:ascii="宋体" w:hAnsi="宋体"/>
          <w:snapToGrid w:val="0"/>
          <w:kern w:val="0"/>
        </w:rPr>
        <w:t xml:space="preserve"> 《中标通知书》将作为签订合同的重要依据。</w:t>
      </w:r>
    </w:p>
    <w:p w14:paraId="1429E71D">
      <w:pPr>
        <w:adjustRightInd w:val="0"/>
        <w:spacing w:line="360" w:lineRule="auto"/>
        <w:rPr>
          <w:rFonts w:ascii="宋体" w:hAnsi="宋体"/>
          <w:snapToGrid w:val="0"/>
          <w:kern w:val="0"/>
        </w:rPr>
      </w:pPr>
      <w:r>
        <w:rPr>
          <w:rFonts w:hint="eastAsia" w:ascii="宋体" w:hAnsi="宋体"/>
          <w:snapToGrid w:val="0"/>
          <w:kern w:val="0"/>
        </w:rPr>
        <w:t>30.3  中标方向采购代理机构支付中标服务费后，领取《中标通知书》。</w:t>
      </w:r>
    </w:p>
    <w:p w14:paraId="08101DD1">
      <w:pPr>
        <w:adjustRightInd w:val="0"/>
        <w:spacing w:line="360" w:lineRule="auto"/>
        <w:rPr>
          <w:rFonts w:ascii="宋体" w:hAnsi="宋体"/>
          <w:b/>
          <w:snapToGrid w:val="0"/>
          <w:kern w:val="0"/>
        </w:rPr>
      </w:pPr>
      <w:r>
        <w:rPr>
          <w:rFonts w:hint="eastAsia" w:ascii="宋体" w:hAnsi="宋体"/>
          <w:b/>
          <w:snapToGrid w:val="0"/>
          <w:kern w:val="0"/>
        </w:rPr>
        <w:t>31</w:t>
      </w:r>
      <w:r>
        <w:rPr>
          <w:rFonts w:ascii="宋体" w:hAnsi="宋体"/>
          <w:b/>
          <w:snapToGrid w:val="0"/>
          <w:kern w:val="0"/>
        </w:rPr>
        <w:t xml:space="preserve">. </w:t>
      </w:r>
      <w:r>
        <w:rPr>
          <w:rFonts w:hint="eastAsia" w:ascii="宋体" w:hAnsi="宋体"/>
          <w:b/>
          <w:snapToGrid w:val="0"/>
          <w:kern w:val="0"/>
        </w:rPr>
        <w:t>授予合同时变更数量的权力</w:t>
      </w:r>
    </w:p>
    <w:p w14:paraId="18F44178">
      <w:pPr>
        <w:adjustRightInd w:val="0"/>
        <w:spacing w:line="360" w:lineRule="auto"/>
        <w:rPr>
          <w:rFonts w:ascii="宋体" w:hAnsi="宋体"/>
          <w:snapToGrid w:val="0"/>
          <w:kern w:val="0"/>
        </w:rPr>
      </w:pPr>
      <w:r>
        <w:rPr>
          <w:rFonts w:hint="eastAsia" w:ascii="宋体" w:hAnsi="宋体"/>
          <w:snapToGrid w:val="0"/>
          <w:kern w:val="0"/>
        </w:rPr>
        <w:t>31</w:t>
      </w:r>
      <w:r>
        <w:rPr>
          <w:rFonts w:ascii="宋体" w:hAnsi="宋体"/>
          <w:snapToGrid w:val="0"/>
          <w:kern w:val="0"/>
        </w:rPr>
        <w:t xml:space="preserve">.1  </w:t>
      </w:r>
      <w:r>
        <w:rPr>
          <w:rFonts w:hint="eastAsia" w:ascii="宋体" w:hAnsi="宋体"/>
          <w:bCs/>
          <w:snapToGrid w:val="0"/>
          <w:kern w:val="0"/>
        </w:rPr>
        <w:t>采购人</w:t>
      </w:r>
      <w:r>
        <w:rPr>
          <w:rFonts w:hint="eastAsia" w:ascii="宋体" w:hAnsi="宋体"/>
          <w:snapToGrid w:val="0"/>
          <w:kern w:val="0"/>
        </w:rPr>
        <w:t>在签订合同时，有权对招标文件中列明的货物或服务的数量，在法定范围内，依法定程序予以增加或减少。</w:t>
      </w:r>
    </w:p>
    <w:p w14:paraId="1DFDE9F0">
      <w:pPr>
        <w:adjustRightInd w:val="0"/>
        <w:spacing w:line="360" w:lineRule="auto"/>
        <w:rPr>
          <w:rFonts w:ascii="宋体" w:hAnsi="宋体"/>
          <w:b/>
          <w:snapToGrid w:val="0"/>
          <w:kern w:val="0"/>
        </w:rPr>
      </w:pPr>
      <w:r>
        <w:rPr>
          <w:rFonts w:hint="eastAsia" w:ascii="宋体" w:hAnsi="宋体"/>
          <w:b/>
          <w:snapToGrid w:val="0"/>
          <w:kern w:val="0"/>
        </w:rPr>
        <w:t>32</w:t>
      </w:r>
      <w:r>
        <w:rPr>
          <w:rFonts w:ascii="宋体" w:hAnsi="宋体"/>
          <w:b/>
          <w:snapToGrid w:val="0"/>
          <w:kern w:val="0"/>
        </w:rPr>
        <w:t xml:space="preserve">. </w:t>
      </w:r>
      <w:r>
        <w:rPr>
          <w:rFonts w:hint="eastAsia" w:ascii="宋体" w:hAnsi="宋体"/>
          <w:b/>
          <w:snapToGrid w:val="0"/>
          <w:kern w:val="0"/>
        </w:rPr>
        <w:t>签订合同</w:t>
      </w:r>
    </w:p>
    <w:p w14:paraId="5F773436">
      <w:pPr>
        <w:adjustRightInd w:val="0"/>
        <w:spacing w:line="360" w:lineRule="auto"/>
        <w:rPr>
          <w:rFonts w:ascii="宋体" w:hAnsi="宋体"/>
          <w:snapToGrid w:val="0"/>
          <w:kern w:val="0"/>
        </w:rPr>
      </w:pPr>
      <w:r>
        <w:rPr>
          <w:rFonts w:hint="eastAsia" w:ascii="宋体" w:hAnsi="宋体"/>
          <w:snapToGrid w:val="0"/>
          <w:kern w:val="0"/>
        </w:rPr>
        <w:t>32</w:t>
      </w:r>
      <w:r>
        <w:rPr>
          <w:rFonts w:ascii="宋体" w:hAnsi="宋体"/>
          <w:snapToGrid w:val="0"/>
          <w:kern w:val="0"/>
        </w:rPr>
        <w:t>.</w:t>
      </w:r>
      <w:r>
        <w:rPr>
          <w:rFonts w:hint="eastAsia" w:ascii="宋体" w:hAnsi="宋体"/>
          <w:snapToGrid w:val="0"/>
          <w:kern w:val="0"/>
        </w:rPr>
        <w:t>1  中标方应按《中标通知书》或按</w:t>
      </w:r>
      <w:r>
        <w:rPr>
          <w:rFonts w:hint="eastAsia" w:ascii="宋体" w:hAnsi="宋体"/>
          <w:bCs/>
          <w:snapToGrid w:val="0"/>
          <w:kern w:val="0"/>
        </w:rPr>
        <w:t>采购人</w:t>
      </w:r>
      <w:r>
        <w:rPr>
          <w:rFonts w:hint="eastAsia" w:ascii="宋体" w:hAnsi="宋体"/>
          <w:snapToGrid w:val="0"/>
          <w:kern w:val="0"/>
        </w:rPr>
        <w:t>指定的时间、地点与</w:t>
      </w:r>
      <w:r>
        <w:rPr>
          <w:rFonts w:hint="eastAsia" w:ascii="宋体" w:hAnsi="宋体"/>
          <w:bCs/>
          <w:snapToGrid w:val="0"/>
          <w:kern w:val="0"/>
        </w:rPr>
        <w:t>采购人</w:t>
      </w:r>
      <w:r>
        <w:rPr>
          <w:rFonts w:hint="eastAsia" w:ascii="宋体" w:hAnsi="宋体"/>
          <w:snapToGrid w:val="0"/>
          <w:kern w:val="0"/>
        </w:rPr>
        <w:t>签订合同。</w:t>
      </w:r>
    </w:p>
    <w:p w14:paraId="7DCDE057">
      <w:pPr>
        <w:adjustRightInd w:val="0"/>
        <w:spacing w:line="360" w:lineRule="auto"/>
        <w:rPr>
          <w:rFonts w:ascii="宋体" w:hAnsi="宋体"/>
          <w:snapToGrid w:val="0"/>
          <w:kern w:val="0"/>
        </w:rPr>
      </w:pPr>
      <w:r>
        <w:rPr>
          <w:rFonts w:hint="eastAsia" w:ascii="宋体" w:hAnsi="宋体"/>
          <w:snapToGrid w:val="0"/>
          <w:kern w:val="0"/>
        </w:rPr>
        <w:t>32</w:t>
      </w:r>
      <w:r>
        <w:rPr>
          <w:rFonts w:ascii="宋体" w:hAnsi="宋体"/>
          <w:snapToGrid w:val="0"/>
          <w:kern w:val="0"/>
        </w:rPr>
        <w:t xml:space="preserve">.2  </w:t>
      </w:r>
      <w:r>
        <w:rPr>
          <w:rFonts w:hint="eastAsia" w:ascii="宋体" w:hAnsi="宋体"/>
          <w:snapToGrid w:val="0"/>
          <w:kern w:val="0"/>
        </w:rPr>
        <w:t>招标文件、中标方的投标文件及其澄清文件等，均为签订合同的依据。</w:t>
      </w:r>
    </w:p>
    <w:p w14:paraId="0D97143F">
      <w:pPr>
        <w:adjustRightInd w:val="0"/>
        <w:spacing w:line="360" w:lineRule="auto"/>
        <w:rPr>
          <w:rFonts w:ascii="宋体" w:hAnsi="宋体"/>
          <w:b/>
          <w:snapToGrid w:val="0"/>
          <w:kern w:val="0"/>
        </w:rPr>
      </w:pPr>
      <w:r>
        <w:rPr>
          <w:rFonts w:hint="eastAsia" w:ascii="宋体" w:hAnsi="宋体"/>
          <w:b/>
          <w:snapToGrid w:val="0"/>
          <w:kern w:val="0"/>
        </w:rPr>
        <w:t>33</w:t>
      </w:r>
      <w:r>
        <w:rPr>
          <w:rFonts w:ascii="宋体" w:hAnsi="宋体"/>
          <w:b/>
          <w:snapToGrid w:val="0"/>
          <w:kern w:val="0"/>
        </w:rPr>
        <w:t>.</w:t>
      </w:r>
      <w:r>
        <w:rPr>
          <w:rFonts w:hint="eastAsia" w:ascii="宋体" w:hAnsi="宋体"/>
          <w:b/>
          <w:snapToGrid w:val="0"/>
          <w:kern w:val="0"/>
        </w:rPr>
        <w:t xml:space="preserve">  履约保证金</w:t>
      </w:r>
    </w:p>
    <w:p w14:paraId="1559AF7D">
      <w:pPr>
        <w:adjustRightInd w:val="0"/>
        <w:spacing w:line="360" w:lineRule="auto"/>
        <w:rPr>
          <w:rFonts w:ascii="宋体" w:hAnsi="宋体"/>
          <w:snapToGrid w:val="0"/>
          <w:kern w:val="0"/>
        </w:rPr>
      </w:pPr>
      <w:r>
        <w:rPr>
          <w:rFonts w:hint="eastAsia" w:ascii="宋体" w:hAnsi="宋体"/>
          <w:snapToGrid w:val="0"/>
          <w:kern w:val="0"/>
        </w:rPr>
        <w:t>33</w:t>
      </w:r>
      <w:r>
        <w:rPr>
          <w:rFonts w:ascii="宋体" w:hAnsi="宋体"/>
          <w:snapToGrid w:val="0"/>
          <w:kern w:val="0"/>
        </w:rPr>
        <w:t>.1</w:t>
      </w:r>
      <w:r>
        <w:rPr>
          <w:rFonts w:hint="eastAsia" w:ascii="宋体" w:hAnsi="宋体"/>
          <w:snapToGrid w:val="0"/>
          <w:kern w:val="0"/>
        </w:rPr>
        <w:t>中标方须按招标文件的规定或根据合同条款的规定向</w:t>
      </w:r>
      <w:r>
        <w:rPr>
          <w:rFonts w:hint="eastAsia" w:ascii="宋体" w:hAnsi="宋体"/>
          <w:bCs/>
          <w:snapToGrid w:val="0"/>
          <w:kern w:val="0"/>
        </w:rPr>
        <w:t>采购人</w:t>
      </w:r>
      <w:r>
        <w:rPr>
          <w:rFonts w:hint="eastAsia" w:ascii="宋体" w:hAnsi="宋体"/>
          <w:snapToGrid w:val="0"/>
          <w:kern w:val="0"/>
        </w:rPr>
        <w:t>提交前附表第15项规定的履约保证金。</w:t>
      </w:r>
    </w:p>
    <w:p w14:paraId="5E04DE57">
      <w:pPr>
        <w:adjustRightInd w:val="0"/>
        <w:spacing w:line="360" w:lineRule="auto"/>
        <w:rPr>
          <w:rFonts w:ascii="宋体" w:hAnsi="宋体"/>
          <w:b/>
          <w:snapToGrid w:val="0"/>
          <w:kern w:val="0"/>
        </w:rPr>
      </w:pPr>
      <w:r>
        <w:rPr>
          <w:rFonts w:hint="eastAsia" w:ascii="宋体" w:hAnsi="宋体"/>
          <w:b/>
          <w:snapToGrid w:val="0"/>
          <w:kern w:val="0"/>
        </w:rPr>
        <w:t>34</w:t>
      </w:r>
      <w:r>
        <w:rPr>
          <w:rFonts w:ascii="宋体" w:hAnsi="宋体"/>
          <w:b/>
          <w:snapToGrid w:val="0"/>
          <w:kern w:val="0"/>
        </w:rPr>
        <w:t xml:space="preserve">. </w:t>
      </w:r>
      <w:r>
        <w:rPr>
          <w:rFonts w:hint="eastAsia" w:ascii="宋体" w:hAnsi="宋体"/>
          <w:b/>
          <w:snapToGrid w:val="0"/>
          <w:kern w:val="0"/>
        </w:rPr>
        <w:t>中标服务费</w:t>
      </w:r>
    </w:p>
    <w:p w14:paraId="55705FED">
      <w:pPr>
        <w:adjustRightInd w:val="0"/>
        <w:spacing w:line="360" w:lineRule="auto"/>
        <w:rPr>
          <w:rFonts w:ascii="宋体" w:hAnsi="宋体"/>
          <w:snapToGrid w:val="0"/>
          <w:kern w:val="0"/>
        </w:rPr>
      </w:pPr>
      <w:r>
        <w:rPr>
          <w:rFonts w:hint="eastAsia" w:ascii="宋体" w:hAnsi="宋体"/>
          <w:snapToGrid w:val="0"/>
          <w:kern w:val="0"/>
        </w:rPr>
        <w:t>34</w:t>
      </w:r>
      <w:r>
        <w:rPr>
          <w:rFonts w:ascii="宋体" w:hAnsi="宋体"/>
          <w:snapToGrid w:val="0"/>
          <w:kern w:val="0"/>
        </w:rPr>
        <w:t>.</w:t>
      </w:r>
      <w:r>
        <w:rPr>
          <w:rFonts w:hint="eastAsia" w:ascii="宋体" w:hAnsi="宋体"/>
          <w:snapToGrid w:val="0"/>
          <w:kern w:val="0"/>
        </w:rPr>
        <w:t>1 中标服务费按前附表第16项所述。</w:t>
      </w:r>
    </w:p>
    <w:p w14:paraId="60F652E6">
      <w:pPr>
        <w:adjustRightInd w:val="0"/>
        <w:spacing w:line="360" w:lineRule="auto"/>
        <w:rPr>
          <w:rFonts w:ascii="宋体" w:hAnsi="宋体"/>
          <w:snapToGrid w:val="0"/>
          <w:kern w:val="0"/>
        </w:rPr>
      </w:pPr>
      <w:r>
        <w:rPr>
          <w:rFonts w:hint="eastAsia" w:ascii="宋体" w:hAnsi="宋体"/>
          <w:snapToGrid w:val="0"/>
          <w:kern w:val="0"/>
        </w:rPr>
        <w:t>34</w:t>
      </w:r>
      <w:r>
        <w:rPr>
          <w:rFonts w:ascii="宋体" w:hAnsi="宋体"/>
          <w:snapToGrid w:val="0"/>
          <w:kern w:val="0"/>
        </w:rPr>
        <w:t>.2</w:t>
      </w:r>
      <w:r>
        <w:rPr>
          <w:rFonts w:hint="eastAsia" w:ascii="宋体" w:hAnsi="宋体"/>
          <w:snapToGrid w:val="0"/>
          <w:kern w:val="0"/>
        </w:rPr>
        <w:t xml:space="preserve">  中标服务费金额按下列方法计算：</w:t>
      </w:r>
    </w:p>
    <w:tbl>
      <w:tblPr>
        <w:tblStyle w:val="50"/>
        <w:tblW w:w="9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6"/>
        <w:gridCol w:w="2056"/>
        <w:gridCol w:w="2056"/>
        <w:gridCol w:w="2057"/>
      </w:tblGrid>
      <w:tr w14:paraId="3497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166" w:type="dxa"/>
          </w:tcPr>
          <w:p w14:paraId="1B4D7429">
            <w:pPr>
              <w:ind w:firstLine="1219" w:firstLineChars="578"/>
              <w:rPr>
                <w:rFonts w:ascii="宋体" w:hAnsi="宋体"/>
                <w:b/>
                <w:szCs w:val="21"/>
              </w:rPr>
            </w:pPr>
            <w:r>
              <w:rPr>
                <w:rFonts w:ascii="宋体" w:hAnsi="宋体"/>
                <w:b/>
                <w:szCs w:val="21"/>
              </w:rPr>
              <mc:AlternateContent>
                <mc:Choice Requires="wps">
                  <w:drawing>
                    <wp:anchor distT="0" distB="0" distL="114300" distR="114300" simplePos="0" relativeHeight="251669504" behindDoc="0" locked="0" layoutInCell="0" allowOverlap="1">
                      <wp:simplePos x="0" y="0"/>
                      <wp:positionH relativeFrom="column">
                        <wp:posOffset>619760</wp:posOffset>
                      </wp:positionH>
                      <wp:positionV relativeFrom="paragraph">
                        <wp:posOffset>11430</wp:posOffset>
                      </wp:positionV>
                      <wp:extent cx="1451610" cy="732155"/>
                      <wp:effectExtent l="1905" t="4445" r="13335" b="6350"/>
                      <wp:wrapNone/>
                      <wp:docPr id="14" name="直线 6"/>
                      <wp:cNvGraphicFramePr/>
                      <a:graphic xmlns:a="http://schemas.openxmlformats.org/drawingml/2006/main">
                        <a:graphicData uri="http://schemas.microsoft.com/office/word/2010/wordprocessingShape">
                          <wps:wsp>
                            <wps:cNvCnPr/>
                            <wps:spPr>
                              <a:xfrm flipH="1" flipV="1">
                                <a:off x="0" y="0"/>
                                <a:ext cx="1451610" cy="73215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6" o:spid="_x0000_s1026" o:spt="20" style="position:absolute;left:0pt;flip:x y;margin-left:48.8pt;margin-top:0.9pt;height:57.65pt;width:114.3pt;z-index:251669504;mso-width-relative:page;mso-height-relative:page;" filled="f" stroked="t" coordsize="21600,21600" o:allowincell="f" o:gfxdata="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jrWE90QAAAAgBAAAPAAAAAAAAAAEAIAAAACIAAABkcnMvZG93bnJldi54bWxQSwECFAAUAAAA&#10;CACHTuJAxt8J/vUBAAD3AwAADgAAAAAAAAABACAAAAAgAQAAZHJzL2Uyb0RvYy54bWxQSwUGAAAA&#10;AAYABgBZAQAAhwUAAAAA&#10;">
                      <v:fill on="f" focussize="0,0"/>
                      <v:stroke color="#000000" joinstyle="round"/>
                      <v:imagedata o:title=""/>
                      <o:lock v:ext="edit" aspectratio="f"/>
                    </v:line>
                  </w:pict>
                </mc:Fallback>
              </mc:AlternateContent>
            </w:r>
            <w:r>
              <w:rPr>
                <w:rFonts w:ascii="宋体" w:hAnsi="宋体"/>
                <w:b/>
                <w:szCs w:val="21"/>
              </w:rPr>
              <mc:AlternateContent>
                <mc:Choice Requires="wps">
                  <w:drawing>
                    <wp:anchor distT="0" distB="0" distL="114300" distR="114300" simplePos="0" relativeHeight="251670528" behindDoc="0" locked="0" layoutInCell="0" allowOverlap="1">
                      <wp:simplePos x="0" y="0"/>
                      <wp:positionH relativeFrom="column">
                        <wp:posOffset>90170</wp:posOffset>
                      </wp:positionH>
                      <wp:positionV relativeFrom="paragraph">
                        <wp:posOffset>321945</wp:posOffset>
                      </wp:positionV>
                      <wp:extent cx="1981200" cy="421640"/>
                      <wp:effectExtent l="1270" t="4445" r="17780" b="12065"/>
                      <wp:wrapNone/>
                      <wp:docPr id="13" name="直线 7"/>
                      <wp:cNvGraphicFramePr/>
                      <a:graphic xmlns:a="http://schemas.openxmlformats.org/drawingml/2006/main">
                        <a:graphicData uri="http://schemas.microsoft.com/office/word/2010/wordprocessingShape">
                          <wps:wsp>
                            <wps:cNvCnPr/>
                            <wps:spPr>
                              <a:xfrm flipH="1" flipV="1">
                                <a:off x="0" y="0"/>
                                <a:ext cx="1981200" cy="4216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7" o:spid="_x0000_s1026" o:spt="20" style="position:absolute;left:0pt;flip:x y;margin-left:7.1pt;margin-top:25.35pt;height:33.2pt;width:156pt;z-index:251670528;mso-width-relative:page;mso-height-relative:page;" filled="f" stroked="t" coordsize="21600,21600" o:allowincell="f" o:gfxdata="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aP/stMAAAAJAQAADwAAAAAAAAABACAAAAAiAAAAZHJzL2Rvd25yZXYueG1sUEsBAhQA&#10;FAAAAAgAh07iQGDstAb3AQAA9wMAAA4AAAAAAAAAAQAgAAAAIgEAAGRycy9lMm9Eb2MueG1sUEsF&#10;BgAAAAAGAAYAWQEAAIsFAAAAAA==&#10;">
                      <v:fill on="f" focussize="0,0"/>
                      <v:stroke color="#000000" joinstyle="round"/>
                      <v:imagedata o:title=""/>
                      <o:lock v:ext="edit" aspectratio="f"/>
                    </v:line>
                  </w:pict>
                </mc:Fallback>
              </mc:AlternateContent>
            </w:r>
            <w:r>
              <w:rPr>
                <w:rFonts w:ascii="宋体" w:hAnsi="宋体"/>
                <w:b/>
                <w:szCs w:val="21"/>
              </w:rPr>
              <mc:AlternateContent>
                <mc:Choice Requires="wps">
                  <w:drawing>
                    <wp:anchor distT="0" distB="0" distL="114300" distR="114300" simplePos="0" relativeHeight="251668480"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12" name="直线 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5" o:spid="_x0000_s1026" o:spt="20" style="position:absolute;left:0pt;margin-left:-9pt;margin-top:-0.5pt;height:0pt;width:0.05pt;z-index:251668480;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uR037VAAAACQEAAA8A&#10;AAAAAAAAAQAgAAAAIgAAAGRycy9kb3ducmV2LnhtbFBLAQIUABQAAAAIAIdO4kC+M9CF4QEAANoD&#10;AAAOAAAAAAAAAAEAIAAAACQBAABkcnMvZTJvRG9jLnhtbFBLBQYAAAAABgAGAFkBAAB3BQAAAAA=&#10;">
                      <v:fill on="f" focussize="0,0"/>
                      <v:stroke color="#000000" joinstyle="round"/>
                      <v:imagedata o:title=""/>
                      <o:lock v:ext="edit" aspectratio="f"/>
                    </v:line>
                  </w:pict>
                </mc:Fallback>
              </mc:AlternateContent>
            </w:r>
            <w:r>
              <w:rPr>
                <w:rFonts w:hint="eastAsia" w:ascii="宋体" w:hAnsi="宋体"/>
                <w:b/>
                <w:szCs w:val="21"/>
              </w:rPr>
              <w:t xml:space="preserve">    服务类型</w:t>
            </w:r>
          </w:p>
          <w:p w14:paraId="4C89EECB">
            <w:pPr>
              <w:ind w:firstLine="392" w:firstLineChars="186"/>
              <w:rPr>
                <w:rFonts w:ascii="宋体" w:hAnsi="宋体"/>
                <w:b/>
                <w:szCs w:val="21"/>
              </w:rPr>
            </w:pPr>
            <w:r>
              <w:rPr>
                <w:rFonts w:hint="eastAsia" w:ascii="宋体" w:hAnsi="宋体"/>
                <w:b/>
                <w:szCs w:val="21"/>
              </w:rPr>
              <w:t>费率　　　　　</w:t>
            </w:r>
          </w:p>
          <w:p w14:paraId="5FF90452">
            <w:pPr>
              <w:ind w:firstLine="1054"/>
              <w:rPr>
                <w:rFonts w:ascii="宋体" w:hAnsi="宋体"/>
                <w:b/>
                <w:szCs w:val="21"/>
              </w:rPr>
            </w:pPr>
            <w:r>
              <w:rPr>
                <w:rFonts w:hint="eastAsia" w:ascii="宋体" w:hAnsi="宋体"/>
                <w:b/>
                <w:szCs w:val="21"/>
              </w:rPr>
              <w:t>　　　</w:t>
            </w:r>
          </w:p>
          <w:p w14:paraId="3C034417">
            <w:pPr>
              <w:rPr>
                <w:rFonts w:ascii="宋体" w:hAnsi="宋体"/>
                <w:b/>
                <w:szCs w:val="21"/>
              </w:rPr>
            </w:pPr>
            <w:r>
              <w:rPr>
                <w:rFonts w:hint="eastAsia" w:ascii="宋体" w:hAnsi="宋体"/>
                <w:b/>
                <w:szCs w:val="21"/>
              </w:rPr>
              <w:t>中标金额</w:t>
            </w:r>
          </w:p>
        </w:tc>
        <w:tc>
          <w:tcPr>
            <w:tcW w:w="2056" w:type="dxa"/>
            <w:vAlign w:val="center"/>
          </w:tcPr>
          <w:p w14:paraId="5C81F16E">
            <w:pPr>
              <w:jc w:val="center"/>
              <w:rPr>
                <w:rFonts w:ascii="宋体" w:hAnsi="宋体"/>
                <w:b/>
                <w:szCs w:val="21"/>
              </w:rPr>
            </w:pPr>
            <w:r>
              <w:rPr>
                <w:rFonts w:hint="eastAsia" w:ascii="宋体" w:hAnsi="宋体"/>
                <w:b/>
                <w:szCs w:val="21"/>
              </w:rPr>
              <w:t>货物采购</w:t>
            </w:r>
          </w:p>
        </w:tc>
        <w:tc>
          <w:tcPr>
            <w:tcW w:w="2056" w:type="dxa"/>
            <w:vAlign w:val="center"/>
          </w:tcPr>
          <w:p w14:paraId="59C19374">
            <w:pPr>
              <w:jc w:val="center"/>
              <w:rPr>
                <w:rFonts w:ascii="宋体" w:hAnsi="宋体"/>
                <w:b/>
                <w:szCs w:val="21"/>
              </w:rPr>
            </w:pPr>
            <w:r>
              <w:rPr>
                <w:rFonts w:hint="eastAsia" w:ascii="宋体" w:hAnsi="宋体"/>
                <w:b/>
                <w:szCs w:val="21"/>
              </w:rPr>
              <w:t>服务采购</w:t>
            </w:r>
          </w:p>
        </w:tc>
        <w:tc>
          <w:tcPr>
            <w:tcW w:w="2057" w:type="dxa"/>
            <w:vAlign w:val="center"/>
          </w:tcPr>
          <w:p w14:paraId="41C67A4F">
            <w:pPr>
              <w:jc w:val="center"/>
              <w:rPr>
                <w:rFonts w:ascii="宋体" w:hAnsi="宋体"/>
                <w:b/>
                <w:szCs w:val="21"/>
              </w:rPr>
            </w:pPr>
            <w:r>
              <w:rPr>
                <w:rFonts w:hint="eastAsia" w:ascii="宋体" w:hAnsi="宋体"/>
                <w:b/>
                <w:szCs w:val="21"/>
              </w:rPr>
              <w:t>工程采购</w:t>
            </w:r>
          </w:p>
        </w:tc>
      </w:tr>
      <w:tr w14:paraId="2B4F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7BB326DA">
            <w:pPr>
              <w:widowControl/>
              <w:jc w:val="center"/>
              <w:rPr>
                <w:rFonts w:ascii="宋体" w:hAnsi="宋体"/>
                <w:kern w:val="0"/>
                <w:szCs w:val="21"/>
              </w:rPr>
            </w:pPr>
            <w:r>
              <w:rPr>
                <w:rFonts w:hint="eastAsia" w:ascii="宋体" w:hAnsi="宋体"/>
                <w:kern w:val="0"/>
                <w:szCs w:val="21"/>
              </w:rPr>
              <w:t>100万元以下</w:t>
            </w:r>
          </w:p>
        </w:tc>
        <w:tc>
          <w:tcPr>
            <w:tcW w:w="2056" w:type="dxa"/>
            <w:vAlign w:val="center"/>
          </w:tcPr>
          <w:p w14:paraId="74C1C131">
            <w:pPr>
              <w:widowControl/>
              <w:jc w:val="center"/>
              <w:rPr>
                <w:rFonts w:ascii="宋体" w:hAnsi="宋体"/>
                <w:kern w:val="0"/>
                <w:szCs w:val="21"/>
              </w:rPr>
            </w:pPr>
            <w:r>
              <w:rPr>
                <w:rFonts w:hint="eastAsia" w:ascii="宋体" w:hAnsi="宋体"/>
                <w:kern w:val="0"/>
                <w:szCs w:val="21"/>
              </w:rPr>
              <w:t>1.500%</w:t>
            </w:r>
          </w:p>
        </w:tc>
        <w:tc>
          <w:tcPr>
            <w:tcW w:w="2056" w:type="dxa"/>
            <w:vAlign w:val="center"/>
          </w:tcPr>
          <w:p w14:paraId="60981A6F">
            <w:pPr>
              <w:widowControl/>
              <w:jc w:val="center"/>
              <w:rPr>
                <w:rFonts w:ascii="宋体" w:hAnsi="宋体"/>
                <w:kern w:val="0"/>
                <w:szCs w:val="21"/>
              </w:rPr>
            </w:pPr>
            <w:r>
              <w:rPr>
                <w:rFonts w:hint="eastAsia" w:ascii="宋体" w:hAnsi="宋体"/>
                <w:kern w:val="0"/>
                <w:szCs w:val="21"/>
              </w:rPr>
              <w:t>1.500%</w:t>
            </w:r>
          </w:p>
        </w:tc>
        <w:tc>
          <w:tcPr>
            <w:tcW w:w="2057" w:type="dxa"/>
            <w:vAlign w:val="center"/>
          </w:tcPr>
          <w:p w14:paraId="3C94060D">
            <w:pPr>
              <w:widowControl/>
              <w:snapToGrid w:val="0"/>
              <w:jc w:val="center"/>
              <w:rPr>
                <w:rFonts w:ascii="宋体" w:hAnsi="宋体"/>
                <w:kern w:val="0"/>
                <w:szCs w:val="21"/>
              </w:rPr>
            </w:pPr>
            <w:r>
              <w:rPr>
                <w:rFonts w:hint="eastAsia" w:ascii="宋体" w:hAnsi="宋体"/>
                <w:kern w:val="0"/>
                <w:szCs w:val="21"/>
              </w:rPr>
              <w:t>1.000%</w:t>
            </w:r>
          </w:p>
        </w:tc>
      </w:tr>
      <w:tr w14:paraId="005D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09F9C60A">
            <w:pPr>
              <w:widowControl/>
              <w:jc w:val="center"/>
              <w:rPr>
                <w:rFonts w:ascii="宋体" w:hAnsi="宋体"/>
                <w:kern w:val="0"/>
                <w:szCs w:val="21"/>
              </w:rPr>
            </w:pPr>
            <w:r>
              <w:rPr>
                <w:rFonts w:hint="eastAsia" w:ascii="宋体" w:hAnsi="宋体"/>
                <w:kern w:val="0"/>
                <w:szCs w:val="21"/>
              </w:rPr>
              <w:t>100万元（含）-500万元</w:t>
            </w:r>
          </w:p>
        </w:tc>
        <w:tc>
          <w:tcPr>
            <w:tcW w:w="2056" w:type="dxa"/>
            <w:vAlign w:val="center"/>
          </w:tcPr>
          <w:p w14:paraId="36320EDE">
            <w:pPr>
              <w:widowControl/>
              <w:jc w:val="center"/>
              <w:rPr>
                <w:rFonts w:ascii="宋体" w:hAnsi="宋体"/>
                <w:kern w:val="0"/>
                <w:szCs w:val="21"/>
              </w:rPr>
            </w:pPr>
            <w:r>
              <w:rPr>
                <w:rFonts w:hint="eastAsia" w:ascii="宋体" w:hAnsi="宋体"/>
                <w:kern w:val="0"/>
                <w:szCs w:val="21"/>
              </w:rPr>
              <w:t>1.100%</w:t>
            </w:r>
          </w:p>
        </w:tc>
        <w:tc>
          <w:tcPr>
            <w:tcW w:w="2056" w:type="dxa"/>
            <w:vAlign w:val="center"/>
          </w:tcPr>
          <w:p w14:paraId="6E92883E">
            <w:pPr>
              <w:widowControl/>
              <w:jc w:val="center"/>
              <w:rPr>
                <w:rFonts w:ascii="宋体" w:hAnsi="宋体"/>
                <w:kern w:val="0"/>
                <w:szCs w:val="21"/>
              </w:rPr>
            </w:pPr>
            <w:r>
              <w:rPr>
                <w:rFonts w:hint="eastAsia" w:ascii="宋体" w:hAnsi="宋体"/>
                <w:kern w:val="0"/>
                <w:szCs w:val="21"/>
              </w:rPr>
              <w:t>0.800%</w:t>
            </w:r>
          </w:p>
        </w:tc>
        <w:tc>
          <w:tcPr>
            <w:tcW w:w="2057" w:type="dxa"/>
            <w:vAlign w:val="center"/>
          </w:tcPr>
          <w:p w14:paraId="6692D514">
            <w:pPr>
              <w:widowControl/>
              <w:snapToGrid w:val="0"/>
              <w:jc w:val="center"/>
              <w:rPr>
                <w:rFonts w:ascii="宋体" w:hAnsi="宋体"/>
                <w:kern w:val="0"/>
                <w:szCs w:val="21"/>
              </w:rPr>
            </w:pPr>
            <w:r>
              <w:rPr>
                <w:rFonts w:hint="eastAsia" w:ascii="宋体" w:hAnsi="宋体"/>
                <w:kern w:val="0"/>
                <w:szCs w:val="21"/>
              </w:rPr>
              <w:t>0.700%</w:t>
            </w:r>
          </w:p>
        </w:tc>
      </w:tr>
      <w:tr w14:paraId="1098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7B56DB66">
            <w:pPr>
              <w:widowControl/>
              <w:jc w:val="center"/>
              <w:rPr>
                <w:rFonts w:ascii="宋体" w:hAnsi="宋体"/>
                <w:kern w:val="0"/>
                <w:szCs w:val="21"/>
              </w:rPr>
            </w:pPr>
            <w:r>
              <w:rPr>
                <w:rFonts w:hint="eastAsia" w:ascii="宋体" w:hAnsi="宋体"/>
                <w:kern w:val="0"/>
                <w:szCs w:val="21"/>
              </w:rPr>
              <w:t>500万元（含）-1000万元</w:t>
            </w:r>
          </w:p>
        </w:tc>
        <w:tc>
          <w:tcPr>
            <w:tcW w:w="2056" w:type="dxa"/>
            <w:vAlign w:val="center"/>
          </w:tcPr>
          <w:p w14:paraId="2FC3B987">
            <w:pPr>
              <w:widowControl/>
              <w:jc w:val="center"/>
              <w:rPr>
                <w:rFonts w:ascii="宋体" w:hAnsi="宋体"/>
                <w:kern w:val="0"/>
                <w:szCs w:val="21"/>
              </w:rPr>
            </w:pPr>
            <w:r>
              <w:rPr>
                <w:rFonts w:hint="eastAsia" w:ascii="宋体" w:hAnsi="宋体"/>
                <w:kern w:val="0"/>
                <w:szCs w:val="21"/>
              </w:rPr>
              <w:t>0.800%</w:t>
            </w:r>
          </w:p>
        </w:tc>
        <w:tc>
          <w:tcPr>
            <w:tcW w:w="2056" w:type="dxa"/>
            <w:vAlign w:val="center"/>
          </w:tcPr>
          <w:p w14:paraId="3213CC9B">
            <w:pPr>
              <w:widowControl/>
              <w:jc w:val="center"/>
              <w:rPr>
                <w:rFonts w:ascii="宋体" w:hAnsi="宋体"/>
                <w:kern w:val="0"/>
                <w:szCs w:val="21"/>
              </w:rPr>
            </w:pPr>
            <w:r>
              <w:rPr>
                <w:rFonts w:hint="eastAsia" w:ascii="宋体" w:hAnsi="宋体"/>
                <w:kern w:val="0"/>
                <w:szCs w:val="21"/>
              </w:rPr>
              <w:t>0.450%</w:t>
            </w:r>
          </w:p>
        </w:tc>
        <w:tc>
          <w:tcPr>
            <w:tcW w:w="2057" w:type="dxa"/>
            <w:vAlign w:val="center"/>
          </w:tcPr>
          <w:p w14:paraId="42F9C559">
            <w:pPr>
              <w:widowControl/>
              <w:snapToGrid w:val="0"/>
              <w:jc w:val="center"/>
              <w:rPr>
                <w:rFonts w:ascii="宋体" w:hAnsi="宋体"/>
                <w:kern w:val="0"/>
                <w:szCs w:val="21"/>
              </w:rPr>
            </w:pPr>
            <w:r>
              <w:rPr>
                <w:rFonts w:hint="eastAsia" w:ascii="宋体" w:hAnsi="宋体"/>
                <w:kern w:val="0"/>
                <w:szCs w:val="21"/>
              </w:rPr>
              <w:t>0.550%</w:t>
            </w:r>
          </w:p>
        </w:tc>
      </w:tr>
      <w:tr w14:paraId="124E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13DD0AD2">
            <w:pPr>
              <w:widowControl/>
              <w:jc w:val="center"/>
              <w:rPr>
                <w:rFonts w:ascii="宋体" w:hAnsi="宋体"/>
                <w:kern w:val="0"/>
                <w:szCs w:val="21"/>
              </w:rPr>
            </w:pPr>
            <w:r>
              <w:rPr>
                <w:rFonts w:hint="eastAsia" w:ascii="宋体" w:hAnsi="宋体"/>
                <w:kern w:val="0"/>
                <w:szCs w:val="21"/>
              </w:rPr>
              <w:t>1000万元（含）-5000万元</w:t>
            </w:r>
          </w:p>
        </w:tc>
        <w:tc>
          <w:tcPr>
            <w:tcW w:w="2056" w:type="dxa"/>
            <w:vAlign w:val="center"/>
          </w:tcPr>
          <w:p w14:paraId="62FBACF2">
            <w:pPr>
              <w:widowControl/>
              <w:jc w:val="center"/>
              <w:rPr>
                <w:rFonts w:ascii="宋体" w:hAnsi="宋体"/>
                <w:kern w:val="0"/>
                <w:szCs w:val="21"/>
              </w:rPr>
            </w:pPr>
            <w:r>
              <w:rPr>
                <w:rFonts w:hint="eastAsia" w:ascii="宋体" w:hAnsi="宋体"/>
                <w:kern w:val="0"/>
                <w:szCs w:val="21"/>
              </w:rPr>
              <w:t>0.500%</w:t>
            </w:r>
          </w:p>
        </w:tc>
        <w:tc>
          <w:tcPr>
            <w:tcW w:w="2056" w:type="dxa"/>
            <w:vAlign w:val="center"/>
          </w:tcPr>
          <w:p w14:paraId="738BE3E6">
            <w:pPr>
              <w:widowControl/>
              <w:jc w:val="center"/>
              <w:rPr>
                <w:rFonts w:ascii="宋体" w:hAnsi="宋体"/>
                <w:kern w:val="0"/>
                <w:szCs w:val="21"/>
              </w:rPr>
            </w:pPr>
            <w:r>
              <w:rPr>
                <w:rFonts w:hint="eastAsia" w:ascii="宋体" w:hAnsi="宋体"/>
                <w:kern w:val="0"/>
                <w:szCs w:val="21"/>
              </w:rPr>
              <w:t>0.250%</w:t>
            </w:r>
          </w:p>
        </w:tc>
        <w:tc>
          <w:tcPr>
            <w:tcW w:w="2057" w:type="dxa"/>
            <w:vAlign w:val="center"/>
          </w:tcPr>
          <w:p w14:paraId="451FA811">
            <w:pPr>
              <w:widowControl/>
              <w:snapToGrid w:val="0"/>
              <w:jc w:val="center"/>
              <w:rPr>
                <w:rFonts w:ascii="宋体" w:hAnsi="宋体"/>
                <w:kern w:val="0"/>
                <w:szCs w:val="21"/>
              </w:rPr>
            </w:pPr>
            <w:r>
              <w:rPr>
                <w:rFonts w:hint="eastAsia" w:ascii="宋体" w:hAnsi="宋体"/>
                <w:kern w:val="0"/>
                <w:szCs w:val="21"/>
              </w:rPr>
              <w:t>0.350%</w:t>
            </w:r>
          </w:p>
        </w:tc>
      </w:tr>
      <w:tr w14:paraId="3AE9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260F72CF">
            <w:pPr>
              <w:widowControl/>
              <w:jc w:val="center"/>
              <w:rPr>
                <w:rFonts w:ascii="宋体" w:hAnsi="宋体"/>
                <w:kern w:val="0"/>
                <w:szCs w:val="21"/>
              </w:rPr>
            </w:pPr>
            <w:r>
              <w:rPr>
                <w:rFonts w:hint="eastAsia" w:ascii="宋体" w:hAnsi="宋体"/>
                <w:kern w:val="0"/>
                <w:szCs w:val="21"/>
              </w:rPr>
              <w:t>5000万元（含）-1亿元</w:t>
            </w:r>
          </w:p>
        </w:tc>
        <w:tc>
          <w:tcPr>
            <w:tcW w:w="2056" w:type="dxa"/>
            <w:vAlign w:val="center"/>
          </w:tcPr>
          <w:p w14:paraId="204BFCD4">
            <w:pPr>
              <w:widowControl/>
              <w:jc w:val="center"/>
              <w:rPr>
                <w:rFonts w:ascii="宋体" w:hAnsi="宋体"/>
                <w:kern w:val="0"/>
                <w:szCs w:val="21"/>
              </w:rPr>
            </w:pPr>
            <w:r>
              <w:rPr>
                <w:rFonts w:hint="eastAsia" w:ascii="宋体" w:hAnsi="宋体"/>
                <w:kern w:val="0"/>
                <w:szCs w:val="21"/>
              </w:rPr>
              <w:t>0.250%</w:t>
            </w:r>
          </w:p>
        </w:tc>
        <w:tc>
          <w:tcPr>
            <w:tcW w:w="2056" w:type="dxa"/>
            <w:vAlign w:val="center"/>
          </w:tcPr>
          <w:p w14:paraId="6A3C1D13">
            <w:pPr>
              <w:widowControl/>
              <w:jc w:val="center"/>
              <w:rPr>
                <w:rFonts w:ascii="宋体" w:hAnsi="宋体"/>
                <w:kern w:val="0"/>
                <w:szCs w:val="21"/>
              </w:rPr>
            </w:pPr>
            <w:r>
              <w:rPr>
                <w:rFonts w:hint="eastAsia" w:ascii="宋体" w:hAnsi="宋体"/>
                <w:kern w:val="0"/>
                <w:szCs w:val="21"/>
              </w:rPr>
              <w:t>0.100%</w:t>
            </w:r>
          </w:p>
        </w:tc>
        <w:tc>
          <w:tcPr>
            <w:tcW w:w="2057" w:type="dxa"/>
            <w:vAlign w:val="center"/>
          </w:tcPr>
          <w:p w14:paraId="6FDA3B73">
            <w:pPr>
              <w:widowControl/>
              <w:snapToGrid w:val="0"/>
              <w:jc w:val="center"/>
              <w:rPr>
                <w:rFonts w:ascii="宋体" w:hAnsi="宋体"/>
                <w:kern w:val="0"/>
                <w:szCs w:val="21"/>
              </w:rPr>
            </w:pPr>
            <w:r>
              <w:rPr>
                <w:rFonts w:hint="eastAsia" w:ascii="宋体" w:hAnsi="宋体"/>
                <w:kern w:val="0"/>
                <w:szCs w:val="21"/>
              </w:rPr>
              <w:t>0.200%</w:t>
            </w:r>
          </w:p>
        </w:tc>
      </w:tr>
      <w:tr w14:paraId="66A1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6" w:type="dxa"/>
            <w:vAlign w:val="center"/>
          </w:tcPr>
          <w:p w14:paraId="4C8DA8C0">
            <w:pPr>
              <w:widowControl/>
              <w:jc w:val="center"/>
              <w:rPr>
                <w:rFonts w:ascii="宋体" w:hAnsi="宋体"/>
                <w:kern w:val="0"/>
                <w:szCs w:val="21"/>
              </w:rPr>
            </w:pPr>
            <w:r>
              <w:rPr>
                <w:rFonts w:hint="eastAsia" w:ascii="宋体" w:hAnsi="宋体"/>
                <w:kern w:val="0"/>
                <w:szCs w:val="21"/>
              </w:rPr>
              <w:t>1亿元（含）-5亿元</w:t>
            </w:r>
          </w:p>
        </w:tc>
        <w:tc>
          <w:tcPr>
            <w:tcW w:w="2056" w:type="dxa"/>
            <w:vAlign w:val="center"/>
          </w:tcPr>
          <w:p w14:paraId="0D32BAF6">
            <w:pPr>
              <w:widowControl/>
              <w:jc w:val="center"/>
              <w:rPr>
                <w:rFonts w:ascii="宋体" w:hAnsi="宋体"/>
                <w:kern w:val="0"/>
                <w:szCs w:val="21"/>
              </w:rPr>
            </w:pPr>
            <w:r>
              <w:rPr>
                <w:rFonts w:hint="eastAsia" w:ascii="宋体" w:hAnsi="宋体"/>
                <w:kern w:val="0"/>
                <w:szCs w:val="21"/>
              </w:rPr>
              <w:t>0.050%</w:t>
            </w:r>
          </w:p>
        </w:tc>
        <w:tc>
          <w:tcPr>
            <w:tcW w:w="2056" w:type="dxa"/>
            <w:vAlign w:val="center"/>
          </w:tcPr>
          <w:p w14:paraId="12CECEBA">
            <w:pPr>
              <w:widowControl/>
              <w:jc w:val="center"/>
              <w:rPr>
                <w:rFonts w:ascii="宋体" w:hAnsi="宋体"/>
                <w:kern w:val="0"/>
                <w:szCs w:val="21"/>
              </w:rPr>
            </w:pPr>
            <w:r>
              <w:rPr>
                <w:rFonts w:hint="eastAsia" w:ascii="宋体" w:hAnsi="宋体"/>
                <w:kern w:val="0"/>
                <w:szCs w:val="21"/>
              </w:rPr>
              <w:t>0.050%</w:t>
            </w:r>
          </w:p>
        </w:tc>
        <w:tc>
          <w:tcPr>
            <w:tcW w:w="2057" w:type="dxa"/>
            <w:vAlign w:val="center"/>
          </w:tcPr>
          <w:p w14:paraId="76A5904B">
            <w:pPr>
              <w:widowControl/>
              <w:snapToGrid w:val="0"/>
              <w:jc w:val="center"/>
              <w:rPr>
                <w:rFonts w:ascii="宋体" w:hAnsi="宋体"/>
                <w:kern w:val="0"/>
                <w:szCs w:val="21"/>
              </w:rPr>
            </w:pPr>
            <w:r>
              <w:rPr>
                <w:rFonts w:hint="eastAsia" w:ascii="宋体" w:hAnsi="宋体"/>
                <w:kern w:val="0"/>
                <w:szCs w:val="21"/>
              </w:rPr>
              <w:t>0.050%</w:t>
            </w:r>
          </w:p>
        </w:tc>
      </w:tr>
      <w:tr w14:paraId="1A45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1DD005C7">
            <w:pPr>
              <w:widowControl/>
              <w:jc w:val="center"/>
              <w:rPr>
                <w:rFonts w:ascii="宋体" w:hAnsi="宋体"/>
                <w:kern w:val="0"/>
                <w:szCs w:val="21"/>
              </w:rPr>
            </w:pPr>
            <w:r>
              <w:rPr>
                <w:rFonts w:hint="eastAsia" w:ascii="宋体" w:hAnsi="宋体"/>
                <w:kern w:val="0"/>
                <w:szCs w:val="21"/>
              </w:rPr>
              <w:t>5亿元（含）-10亿元</w:t>
            </w:r>
          </w:p>
        </w:tc>
        <w:tc>
          <w:tcPr>
            <w:tcW w:w="2056" w:type="dxa"/>
            <w:vAlign w:val="center"/>
          </w:tcPr>
          <w:p w14:paraId="06EA574D">
            <w:pPr>
              <w:widowControl/>
              <w:jc w:val="center"/>
              <w:rPr>
                <w:rFonts w:ascii="宋体" w:hAnsi="宋体"/>
                <w:kern w:val="0"/>
                <w:szCs w:val="21"/>
              </w:rPr>
            </w:pPr>
            <w:r>
              <w:rPr>
                <w:rFonts w:hint="eastAsia" w:ascii="宋体" w:hAnsi="宋体"/>
                <w:kern w:val="0"/>
                <w:szCs w:val="21"/>
              </w:rPr>
              <w:t>0.035%</w:t>
            </w:r>
          </w:p>
        </w:tc>
        <w:tc>
          <w:tcPr>
            <w:tcW w:w="2056" w:type="dxa"/>
            <w:vAlign w:val="center"/>
          </w:tcPr>
          <w:p w14:paraId="4D85CD52">
            <w:pPr>
              <w:widowControl/>
              <w:jc w:val="center"/>
              <w:rPr>
                <w:rFonts w:ascii="宋体" w:hAnsi="宋体"/>
                <w:kern w:val="0"/>
                <w:szCs w:val="21"/>
              </w:rPr>
            </w:pPr>
            <w:r>
              <w:rPr>
                <w:rFonts w:hint="eastAsia" w:ascii="宋体" w:hAnsi="宋体"/>
                <w:kern w:val="0"/>
                <w:szCs w:val="21"/>
              </w:rPr>
              <w:t>0.035%</w:t>
            </w:r>
          </w:p>
        </w:tc>
        <w:tc>
          <w:tcPr>
            <w:tcW w:w="2057" w:type="dxa"/>
            <w:vAlign w:val="center"/>
          </w:tcPr>
          <w:p w14:paraId="320D49C5">
            <w:pPr>
              <w:widowControl/>
              <w:snapToGrid w:val="0"/>
              <w:jc w:val="center"/>
              <w:rPr>
                <w:rFonts w:ascii="宋体" w:hAnsi="宋体"/>
                <w:bCs/>
                <w:kern w:val="0"/>
                <w:szCs w:val="21"/>
              </w:rPr>
            </w:pPr>
            <w:r>
              <w:rPr>
                <w:rFonts w:hint="eastAsia" w:ascii="宋体" w:hAnsi="宋体"/>
                <w:bCs/>
                <w:kern w:val="0"/>
                <w:szCs w:val="21"/>
              </w:rPr>
              <w:t>0.035%</w:t>
            </w:r>
          </w:p>
        </w:tc>
      </w:tr>
      <w:tr w14:paraId="69A7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24F2EE60">
            <w:pPr>
              <w:widowControl/>
              <w:jc w:val="center"/>
              <w:rPr>
                <w:rFonts w:ascii="宋体" w:hAnsi="宋体"/>
                <w:kern w:val="0"/>
                <w:szCs w:val="21"/>
              </w:rPr>
            </w:pPr>
            <w:r>
              <w:rPr>
                <w:rFonts w:hint="eastAsia" w:ascii="宋体" w:hAnsi="宋体"/>
                <w:kern w:val="0"/>
                <w:szCs w:val="21"/>
              </w:rPr>
              <w:t>10亿元（含）-50亿元</w:t>
            </w:r>
          </w:p>
        </w:tc>
        <w:tc>
          <w:tcPr>
            <w:tcW w:w="2056" w:type="dxa"/>
            <w:vAlign w:val="center"/>
          </w:tcPr>
          <w:p w14:paraId="235D42F9">
            <w:pPr>
              <w:widowControl/>
              <w:jc w:val="center"/>
              <w:rPr>
                <w:rFonts w:ascii="宋体" w:hAnsi="宋体"/>
                <w:kern w:val="0"/>
                <w:szCs w:val="21"/>
              </w:rPr>
            </w:pPr>
            <w:r>
              <w:rPr>
                <w:rFonts w:hint="eastAsia" w:ascii="宋体" w:hAnsi="宋体"/>
                <w:kern w:val="0"/>
                <w:szCs w:val="21"/>
              </w:rPr>
              <w:t>0.008%</w:t>
            </w:r>
          </w:p>
        </w:tc>
        <w:tc>
          <w:tcPr>
            <w:tcW w:w="2056" w:type="dxa"/>
            <w:vAlign w:val="center"/>
          </w:tcPr>
          <w:p w14:paraId="170230B2">
            <w:pPr>
              <w:widowControl/>
              <w:jc w:val="center"/>
              <w:rPr>
                <w:rFonts w:ascii="宋体" w:hAnsi="宋体"/>
                <w:kern w:val="0"/>
                <w:szCs w:val="21"/>
              </w:rPr>
            </w:pPr>
            <w:r>
              <w:rPr>
                <w:rFonts w:hint="eastAsia" w:ascii="宋体" w:hAnsi="宋体"/>
                <w:kern w:val="0"/>
                <w:szCs w:val="21"/>
              </w:rPr>
              <w:t>0.008%</w:t>
            </w:r>
          </w:p>
        </w:tc>
        <w:tc>
          <w:tcPr>
            <w:tcW w:w="2057" w:type="dxa"/>
            <w:vAlign w:val="center"/>
          </w:tcPr>
          <w:p w14:paraId="0A2BEA55">
            <w:pPr>
              <w:widowControl/>
              <w:snapToGrid w:val="0"/>
              <w:jc w:val="center"/>
              <w:rPr>
                <w:rFonts w:ascii="宋体" w:hAnsi="宋体"/>
                <w:bCs/>
                <w:kern w:val="0"/>
                <w:szCs w:val="21"/>
              </w:rPr>
            </w:pPr>
            <w:r>
              <w:rPr>
                <w:rFonts w:hint="eastAsia" w:ascii="宋体" w:hAnsi="宋体"/>
                <w:bCs/>
                <w:kern w:val="0"/>
                <w:szCs w:val="21"/>
              </w:rPr>
              <w:t>0.008%</w:t>
            </w:r>
          </w:p>
        </w:tc>
      </w:tr>
      <w:tr w14:paraId="37C6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10C3E848">
            <w:pPr>
              <w:widowControl/>
              <w:jc w:val="center"/>
              <w:rPr>
                <w:rFonts w:ascii="宋体" w:hAnsi="宋体"/>
                <w:kern w:val="0"/>
                <w:szCs w:val="21"/>
              </w:rPr>
            </w:pPr>
            <w:r>
              <w:rPr>
                <w:rFonts w:hint="eastAsia" w:ascii="宋体" w:hAnsi="宋体"/>
                <w:kern w:val="0"/>
                <w:szCs w:val="21"/>
              </w:rPr>
              <w:t>50亿元（含）-100亿元</w:t>
            </w:r>
          </w:p>
        </w:tc>
        <w:tc>
          <w:tcPr>
            <w:tcW w:w="2056" w:type="dxa"/>
            <w:vAlign w:val="center"/>
          </w:tcPr>
          <w:p w14:paraId="6C0D2B5C">
            <w:pPr>
              <w:widowControl/>
              <w:jc w:val="center"/>
              <w:rPr>
                <w:rFonts w:ascii="宋体" w:hAnsi="宋体"/>
                <w:kern w:val="0"/>
                <w:szCs w:val="21"/>
              </w:rPr>
            </w:pPr>
            <w:r>
              <w:rPr>
                <w:rFonts w:hint="eastAsia" w:ascii="宋体" w:hAnsi="宋体"/>
                <w:kern w:val="0"/>
                <w:szCs w:val="21"/>
              </w:rPr>
              <w:t>0.006%</w:t>
            </w:r>
          </w:p>
        </w:tc>
        <w:tc>
          <w:tcPr>
            <w:tcW w:w="2056" w:type="dxa"/>
            <w:vAlign w:val="center"/>
          </w:tcPr>
          <w:p w14:paraId="16730854">
            <w:pPr>
              <w:widowControl/>
              <w:jc w:val="center"/>
              <w:rPr>
                <w:rFonts w:ascii="宋体" w:hAnsi="宋体"/>
                <w:kern w:val="0"/>
                <w:szCs w:val="21"/>
              </w:rPr>
            </w:pPr>
            <w:r>
              <w:rPr>
                <w:rFonts w:hint="eastAsia" w:ascii="宋体" w:hAnsi="宋体"/>
                <w:kern w:val="0"/>
                <w:szCs w:val="21"/>
              </w:rPr>
              <w:t>0.006%</w:t>
            </w:r>
          </w:p>
        </w:tc>
        <w:tc>
          <w:tcPr>
            <w:tcW w:w="2057" w:type="dxa"/>
            <w:vAlign w:val="center"/>
          </w:tcPr>
          <w:p w14:paraId="48257CAE">
            <w:pPr>
              <w:widowControl/>
              <w:snapToGrid w:val="0"/>
              <w:jc w:val="center"/>
              <w:rPr>
                <w:rFonts w:ascii="宋体" w:hAnsi="宋体"/>
                <w:bCs/>
                <w:kern w:val="0"/>
                <w:szCs w:val="21"/>
              </w:rPr>
            </w:pPr>
            <w:r>
              <w:rPr>
                <w:rFonts w:hint="eastAsia" w:ascii="宋体" w:hAnsi="宋体"/>
                <w:bCs/>
                <w:kern w:val="0"/>
                <w:szCs w:val="21"/>
              </w:rPr>
              <w:t>0.006%</w:t>
            </w:r>
          </w:p>
        </w:tc>
      </w:tr>
      <w:tr w14:paraId="61B3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166" w:type="dxa"/>
            <w:vAlign w:val="center"/>
          </w:tcPr>
          <w:p w14:paraId="3E0C6494">
            <w:pPr>
              <w:widowControl/>
              <w:jc w:val="center"/>
              <w:rPr>
                <w:rFonts w:ascii="宋体" w:hAnsi="宋体"/>
                <w:kern w:val="0"/>
                <w:szCs w:val="21"/>
              </w:rPr>
            </w:pPr>
            <w:r>
              <w:rPr>
                <w:rFonts w:hint="eastAsia" w:ascii="宋体" w:hAnsi="宋体"/>
                <w:kern w:val="0"/>
                <w:szCs w:val="21"/>
              </w:rPr>
              <w:t>100亿元（含）以上</w:t>
            </w:r>
          </w:p>
        </w:tc>
        <w:tc>
          <w:tcPr>
            <w:tcW w:w="2056" w:type="dxa"/>
            <w:vAlign w:val="center"/>
          </w:tcPr>
          <w:p w14:paraId="0C0EAE74">
            <w:pPr>
              <w:widowControl/>
              <w:jc w:val="center"/>
              <w:rPr>
                <w:rFonts w:ascii="宋体" w:hAnsi="宋体"/>
                <w:kern w:val="0"/>
                <w:szCs w:val="21"/>
              </w:rPr>
            </w:pPr>
            <w:r>
              <w:rPr>
                <w:rFonts w:hint="eastAsia" w:ascii="宋体" w:hAnsi="宋体"/>
                <w:kern w:val="0"/>
                <w:szCs w:val="21"/>
              </w:rPr>
              <w:t>0.004%</w:t>
            </w:r>
          </w:p>
        </w:tc>
        <w:tc>
          <w:tcPr>
            <w:tcW w:w="2056" w:type="dxa"/>
            <w:vAlign w:val="center"/>
          </w:tcPr>
          <w:p w14:paraId="499E015C">
            <w:pPr>
              <w:widowControl/>
              <w:jc w:val="center"/>
              <w:rPr>
                <w:rFonts w:ascii="宋体" w:hAnsi="宋体"/>
                <w:kern w:val="0"/>
                <w:szCs w:val="21"/>
              </w:rPr>
            </w:pPr>
            <w:r>
              <w:rPr>
                <w:rFonts w:hint="eastAsia" w:ascii="宋体" w:hAnsi="宋体"/>
                <w:kern w:val="0"/>
                <w:szCs w:val="21"/>
              </w:rPr>
              <w:t>0.004%</w:t>
            </w:r>
          </w:p>
        </w:tc>
        <w:tc>
          <w:tcPr>
            <w:tcW w:w="2057" w:type="dxa"/>
            <w:vAlign w:val="center"/>
          </w:tcPr>
          <w:p w14:paraId="27A56CF8">
            <w:pPr>
              <w:widowControl/>
              <w:snapToGrid w:val="0"/>
              <w:jc w:val="center"/>
              <w:rPr>
                <w:rFonts w:ascii="宋体" w:hAnsi="宋体"/>
                <w:bCs/>
                <w:kern w:val="0"/>
                <w:szCs w:val="21"/>
              </w:rPr>
            </w:pPr>
            <w:r>
              <w:rPr>
                <w:rFonts w:hint="eastAsia" w:ascii="宋体" w:hAnsi="宋体"/>
                <w:bCs/>
                <w:kern w:val="0"/>
                <w:szCs w:val="21"/>
              </w:rPr>
              <w:t>0.004%</w:t>
            </w:r>
          </w:p>
        </w:tc>
      </w:tr>
    </w:tbl>
    <w:p w14:paraId="385A9505">
      <w:pPr>
        <w:spacing w:line="360" w:lineRule="auto"/>
        <w:ind w:firstLine="420" w:firstLineChars="200"/>
        <w:rPr>
          <w:rFonts w:ascii="宋体" w:hAnsi="宋体"/>
        </w:rPr>
      </w:pPr>
      <w:r>
        <w:rPr>
          <w:rFonts w:hint="eastAsia" w:ascii="宋体" w:hAnsi="宋体"/>
        </w:rPr>
        <w:t>注：1、中标服务费按差额定率累进法计算。例如：某服务类项目中标金额为1000万元，计算中标服务费如下：</w:t>
      </w:r>
    </w:p>
    <w:p w14:paraId="7D86F6C3">
      <w:pPr>
        <w:spacing w:line="360" w:lineRule="auto"/>
        <w:ind w:firstLine="420" w:firstLineChars="200"/>
        <w:rPr>
          <w:rFonts w:ascii="宋体" w:hAnsi="宋体"/>
        </w:rPr>
      </w:pPr>
      <w:r>
        <w:rPr>
          <w:rFonts w:hint="eastAsia" w:ascii="宋体" w:hAnsi="宋体"/>
        </w:rPr>
        <w:t>100万元×1.5%=1.5万元</w:t>
      </w:r>
    </w:p>
    <w:p w14:paraId="77EB1F4C">
      <w:pPr>
        <w:spacing w:line="360" w:lineRule="auto"/>
        <w:ind w:firstLine="420" w:firstLineChars="200"/>
        <w:rPr>
          <w:rFonts w:ascii="宋体" w:hAnsi="宋体"/>
        </w:rPr>
      </w:pPr>
      <w:r>
        <w:rPr>
          <w:rFonts w:hint="eastAsia" w:ascii="宋体" w:hAnsi="宋体"/>
        </w:rPr>
        <w:t>（500-100）万元×0.8%=3.2万元</w:t>
      </w:r>
    </w:p>
    <w:p w14:paraId="37F17772">
      <w:pPr>
        <w:spacing w:line="360" w:lineRule="auto"/>
        <w:ind w:firstLine="420" w:firstLineChars="200"/>
        <w:rPr>
          <w:rFonts w:ascii="宋体" w:hAnsi="宋体"/>
        </w:rPr>
      </w:pPr>
      <w:r>
        <w:rPr>
          <w:rFonts w:hint="eastAsia" w:ascii="宋体" w:hAnsi="宋体"/>
        </w:rPr>
        <w:t>（1000-500）×0.45%=2.25万元</w:t>
      </w:r>
    </w:p>
    <w:p w14:paraId="042796C0">
      <w:pPr>
        <w:spacing w:line="360" w:lineRule="auto"/>
        <w:ind w:firstLine="420" w:firstLineChars="200"/>
        <w:rPr>
          <w:rFonts w:ascii="宋体" w:hAnsi="宋体"/>
        </w:rPr>
      </w:pPr>
      <w:r>
        <w:rPr>
          <w:rFonts w:hint="eastAsia" w:ascii="宋体" w:hAnsi="宋体"/>
        </w:rPr>
        <w:t>合计收费=1.5+3.2+2.25＝6.95（万元）</w:t>
      </w:r>
    </w:p>
    <w:p w14:paraId="61B1EBB9">
      <w:pPr>
        <w:spacing w:line="360" w:lineRule="auto"/>
        <w:ind w:firstLine="1044" w:firstLineChars="200"/>
        <w:rPr>
          <w:b/>
          <w:sz w:val="52"/>
          <w:szCs w:val="52"/>
        </w:rPr>
      </w:pPr>
    </w:p>
    <w:p w14:paraId="5C6A93A9">
      <w:pPr>
        <w:pStyle w:val="2"/>
        <w:spacing w:before="0" w:after="0"/>
      </w:pPr>
      <w:bookmarkStart w:id="34" w:name="_Toc171350593"/>
      <w:r>
        <w:rPr>
          <w:rFonts w:hint="eastAsia"/>
        </w:rPr>
        <w:t>七、质疑处理</w:t>
      </w:r>
      <w:bookmarkEnd w:id="34"/>
    </w:p>
    <w:p w14:paraId="5B330357">
      <w:pPr>
        <w:spacing w:line="360" w:lineRule="auto"/>
        <w:rPr>
          <w:rFonts w:ascii="宋体" w:hAnsi="宋体"/>
          <w:b/>
          <w:bCs/>
          <w:szCs w:val="21"/>
        </w:rPr>
      </w:pPr>
      <w:bookmarkStart w:id="35" w:name="_Hlk72439706"/>
      <w:r>
        <w:rPr>
          <w:rFonts w:hint="eastAsia" w:ascii="宋体" w:hAnsi="宋体"/>
          <w:b/>
          <w:bCs/>
          <w:szCs w:val="21"/>
        </w:rPr>
        <w:t>35.质疑提出与答复</w:t>
      </w:r>
    </w:p>
    <w:p w14:paraId="6F801AB9">
      <w:pPr>
        <w:spacing w:line="360" w:lineRule="auto"/>
        <w:rPr>
          <w:rFonts w:ascii="宋体" w:hAnsi="宋体"/>
          <w:b/>
          <w:bCs/>
          <w:szCs w:val="21"/>
        </w:rPr>
      </w:pPr>
      <w:r>
        <w:rPr>
          <w:rFonts w:hint="eastAsia" w:ascii="宋体" w:hAnsi="宋体"/>
          <w:szCs w:val="21"/>
        </w:rPr>
        <w:t>35.1提出质疑</w:t>
      </w:r>
    </w:p>
    <w:p w14:paraId="43D6A1AC">
      <w:pPr>
        <w:spacing w:line="360" w:lineRule="auto"/>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参与政府采购活动的供应商认为自己的权益在采购活动中受到损害的，应当自知道或者应当知道其权益受到损害之日起七个工作日内向采购人、采购代理机构以书面形式提出质疑。</w:t>
      </w:r>
    </w:p>
    <w:p w14:paraId="35616A89">
      <w:pPr>
        <w:spacing w:line="360" w:lineRule="auto"/>
        <w:rPr>
          <w:rFonts w:ascii="宋体" w:hAnsi="宋体"/>
          <w:szCs w:val="21"/>
        </w:rPr>
      </w:pPr>
      <w:r>
        <w:rPr>
          <w:rFonts w:hint="eastAsia" w:ascii="宋体" w:hAnsi="宋体"/>
          <w:szCs w:val="21"/>
        </w:rPr>
        <w:t>35.2</w:t>
      </w:r>
      <w:r>
        <w:rPr>
          <w:rFonts w:ascii="宋体" w:hAnsi="宋体"/>
          <w:szCs w:val="21"/>
        </w:rPr>
        <w:t>法律依据</w:t>
      </w:r>
    </w:p>
    <w:p w14:paraId="3D9F073A">
      <w:pPr>
        <w:spacing w:line="360" w:lineRule="auto"/>
        <w:rPr>
          <w:rFonts w:ascii="宋体" w:hAnsi="宋体"/>
          <w:szCs w:val="21"/>
        </w:rPr>
      </w:pPr>
      <w:r>
        <w:rPr>
          <w:rFonts w:hint="eastAsia" w:ascii="宋体" w:hAnsi="宋体"/>
          <w:szCs w:val="21"/>
        </w:rPr>
        <w:t xml:space="preserve">    《中华人民共和国政府采购法》、《中华人民共和国政府采购法实施条例》、《政府采购质疑和投诉办法》（财政部令第94号）和其他有关法律法规规定。</w:t>
      </w:r>
    </w:p>
    <w:p w14:paraId="3D307B1E">
      <w:pPr>
        <w:spacing w:line="360" w:lineRule="auto"/>
        <w:rPr>
          <w:rFonts w:ascii="宋体" w:hAnsi="宋体"/>
          <w:szCs w:val="21"/>
        </w:rPr>
      </w:pPr>
      <w:r>
        <w:rPr>
          <w:rFonts w:hint="eastAsia" w:ascii="宋体" w:hAnsi="宋体"/>
          <w:szCs w:val="21"/>
        </w:rPr>
        <w:t>35.3质疑条件</w:t>
      </w:r>
    </w:p>
    <w:p w14:paraId="6D6458FA">
      <w:pPr>
        <w:spacing w:line="360" w:lineRule="auto"/>
        <w:rPr>
          <w:rFonts w:ascii="宋体" w:hAnsi="宋体"/>
          <w:szCs w:val="21"/>
        </w:rPr>
      </w:pPr>
      <w:r>
        <w:rPr>
          <w:rFonts w:hint="eastAsia" w:ascii="宋体" w:hAnsi="宋体"/>
          <w:szCs w:val="21"/>
        </w:rPr>
        <w:t xml:space="preserve">    35.3.1提出质疑的供应商应当是参与所质疑项目采购活动的供应商；</w:t>
      </w:r>
      <w:bookmarkStart w:id="36" w:name="_Hlk75374941"/>
      <w:r>
        <w:rPr>
          <w:rFonts w:hint="eastAsia" w:ascii="宋体" w:hAnsi="宋体"/>
          <w:szCs w:val="21"/>
        </w:rPr>
        <w:t>以联合体形式参与的，质疑应当由组成联合体的所有成员共同提出</w:t>
      </w:r>
      <w:bookmarkEnd w:id="36"/>
      <w:r>
        <w:rPr>
          <w:rFonts w:hint="eastAsia" w:ascii="宋体" w:hAnsi="宋体"/>
          <w:szCs w:val="21"/>
        </w:rPr>
        <w:t>；</w:t>
      </w:r>
    </w:p>
    <w:p w14:paraId="0C321D0B">
      <w:pPr>
        <w:spacing w:line="360" w:lineRule="auto"/>
        <w:rPr>
          <w:rFonts w:ascii="宋体" w:hAnsi="宋体"/>
          <w:szCs w:val="21"/>
        </w:rPr>
      </w:pPr>
      <w:r>
        <w:rPr>
          <w:rFonts w:hint="eastAsia" w:ascii="宋体" w:hAnsi="宋体"/>
          <w:szCs w:val="21"/>
        </w:rPr>
        <w:t xml:space="preserve">    35.3.2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0F498E6A">
      <w:pPr>
        <w:spacing w:line="360" w:lineRule="auto"/>
        <w:ind w:firstLine="420"/>
        <w:rPr>
          <w:rFonts w:ascii="宋体" w:hAnsi="宋体"/>
          <w:szCs w:val="21"/>
        </w:rPr>
      </w:pPr>
      <w:r>
        <w:rPr>
          <w:rFonts w:hint="eastAsia" w:ascii="宋体" w:hAnsi="宋体"/>
          <w:szCs w:val="21"/>
        </w:rPr>
        <w:t>35.3.3应提交书面质疑函，质疑函应当包括以下内容：</w:t>
      </w:r>
    </w:p>
    <w:p w14:paraId="333187E4">
      <w:pPr>
        <w:spacing w:line="360" w:lineRule="auto"/>
        <w:ind w:firstLine="420"/>
        <w:rPr>
          <w:rFonts w:ascii="宋体" w:hAnsi="宋体"/>
          <w:szCs w:val="21"/>
        </w:rPr>
      </w:pPr>
      <w:r>
        <w:rPr>
          <w:rFonts w:hint="eastAsia" w:ascii="宋体" w:hAnsi="宋体"/>
          <w:szCs w:val="21"/>
        </w:rPr>
        <w:t>（1）供应商的名称（或者姓名）、地址、邮编、联系人及联系电话；</w:t>
      </w:r>
    </w:p>
    <w:p w14:paraId="5E0787B3">
      <w:pPr>
        <w:spacing w:line="360" w:lineRule="auto"/>
        <w:ind w:firstLine="420" w:firstLineChars="200"/>
        <w:rPr>
          <w:rFonts w:ascii="宋体" w:hAnsi="宋体"/>
          <w:szCs w:val="21"/>
        </w:rPr>
      </w:pPr>
      <w:r>
        <w:rPr>
          <w:rFonts w:hint="eastAsia" w:ascii="宋体" w:hAnsi="宋体"/>
          <w:szCs w:val="21"/>
        </w:rPr>
        <w:t>（2）质疑项目的名称、编号；</w:t>
      </w:r>
    </w:p>
    <w:p w14:paraId="5F0ACB2C">
      <w:pPr>
        <w:spacing w:line="360" w:lineRule="auto"/>
        <w:ind w:firstLine="420" w:firstLineChars="200"/>
        <w:rPr>
          <w:rFonts w:ascii="宋体" w:hAnsi="宋体"/>
          <w:szCs w:val="21"/>
        </w:rPr>
      </w:pPr>
      <w:r>
        <w:rPr>
          <w:rFonts w:hint="eastAsia" w:ascii="宋体" w:hAnsi="宋体"/>
          <w:szCs w:val="21"/>
        </w:rPr>
        <w:t>（3）具体、明确的质疑对象、质疑事项和质疑请求；</w:t>
      </w:r>
    </w:p>
    <w:p w14:paraId="2E640957">
      <w:pPr>
        <w:spacing w:line="360" w:lineRule="auto"/>
        <w:ind w:firstLine="420" w:firstLineChars="200"/>
        <w:rPr>
          <w:rFonts w:ascii="宋体" w:hAnsi="宋体"/>
          <w:szCs w:val="21"/>
        </w:rPr>
      </w:pPr>
      <w:r>
        <w:rPr>
          <w:rFonts w:hint="eastAsia" w:ascii="宋体" w:hAnsi="宋体"/>
          <w:szCs w:val="21"/>
        </w:rPr>
        <w:t>（4）因质疑事项而受损害的权益；</w:t>
      </w:r>
    </w:p>
    <w:p w14:paraId="3592AFCC">
      <w:pPr>
        <w:spacing w:line="360" w:lineRule="auto"/>
        <w:ind w:firstLine="420" w:firstLineChars="200"/>
        <w:rPr>
          <w:rFonts w:ascii="宋体" w:hAnsi="宋体"/>
          <w:szCs w:val="21"/>
        </w:rPr>
      </w:pPr>
      <w:r>
        <w:rPr>
          <w:rFonts w:hint="eastAsia" w:ascii="宋体" w:hAnsi="宋体"/>
          <w:szCs w:val="21"/>
        </w:rPr>
        <w:t>（5）事实依据；</w:t>
      </w:r>
    </w:p>
    <w:p w14:paraId="02BC549A">
      <w:pPr>
        <w:spacing w:line="360" w:lineRule="auto"/>
        <w:ind w:firstLine="420" w:firstLineChars="200"/>
        <w:rPr>
          <w:rFonts w:ascii="宋体" w:hAnsi="宋体"/>
          <w:szCs w:val="21"/>
        </w:rPr>
      </w:pPr>
      <w:r>
        <w:rPr>
          <w:rFonts w:hint="eastAsia" w:ascii="宋体" w:hAnsi="宋体"/>
          <w:szCs w:val="21"/>
        </w:rPr>
        <w:t>（6）必要的法律依据；</w:t>
      </w:r>
    </w:p>
    <w:p w14:paraId="73A8B887">
      <w:pPr>
        <w:spacing w:line="360" w:lineRule="auto"/>
        <w:ind w:firstLine="420" w:firstLineChars="200"/>
        <w:rPr>
          <w:rFonts w:ascii="宋体" w:hAnsi="宋体"/>
          <w:szCs w:val="21"/>
        </w:rPr>
      </w:pPr>
      <w:r>
        <w:rPr>
          <w:rFonts w:hint="eastAsia" w:ascii="宋体" w:hAnsi="宋体"/>
          <w:szCs w:val="21"/>
        </w:rPr>
        <w:t>（7）提出质疑的日期。</w:t>
      </w:r>
    </w:p>
    <w:p w14:paraId="226C9998">
      <w:pPr>
        <w:spacing w:line="360" w:lineRule="auto"/>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7BE0B90E">
      <w:pPr>
        <w:spacing w:line="360" w:lineRule="auto"/>
        <w:rPr>
          <w:rFonts w:ascii="宋体" w:hAnsi="宋体"/>
          <w:szCs w:val="21"/>
        </w:rPr>
      </w:pPr>
      <w:r>
        <w:rPr>
          <w:rFonts w:hint="eastAsia" w:ascii="宋体" w:hAnsi="宋体"/>
          <w:szCs w:val="21"/>
        </w:rPr>
        <w:t>35.4提交</w:t>
      </w:r>
      <w:r>
        <w:rPr>
          <w:rFonts w:ascii="宋体" w:hAnsi="宋体"/>
          <w:szCs w:val="21"/>
        </w:rPr>
        <w:t>材料</w:t>
      </w:r>
    </w:p>
    <w:p w14:paraId="48A06BB3">
      <w:pPr>
        <w:spacing w:line="360" w:lineRule="auto"/>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2C7946EB">
      <w:pPr>
        <w:spacing w:line="360" w:lineRule="auto"/>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71194F6">
      <w:pPr>
        <w:spacing w:line="360" w:lineRule="auto"/>
        <w:rPr>
          <w:rFonts w:ascii="宋体" w:hAnsi="宋体"/>
          <w:szCs w:val="21"/>
        </w:rPr>
      </w:pPr>
      <w:r>
        <w:rPr>
          <w:rFonts w:hint="eastAsia" w:ascii="宋体" w:hAnsi="宋体"/>
          <w:szCs w:val="21"/>
        </w:rPr>
        <w:t>35.5提交方式</w:t>
      </w:r>
    </w:p>
    <w:p w14:paraId="254AC1EA">
      <w:pPr>
        <w:spacing w:line="360" w:lineRule="auto"/>
        <w:ind w:firstLine="420"/>
        <w:rPr>
          <w:rFonts w:ascii="宋体" w:hAnsi="宋体"/>
          <w:b/>
          <w:bCs/>
          <w:szCs w:val="21"/>
        </w:rPr>
      </w:pPr>
      <w:r>
        <w:rPr>
          <w:rFonts w:hint="eastAsia" w:ascii="宋体" w:hAnsi="宋体"/>
          <w:szCs w:val="21"/>
        </w:rPr>
        <w:t>质疑供应商应根据本须知35.3.3、35.4款规定，至</w:t>
      </w:r>
      <w:r>
        <w:rPr>
          <w:rFonts w:hint="eastAsia" w:ascii="宋体" w:hAnsi="宋体"/>
          <w:bCs/>
          <w:szCs w:val="21"/>
        </w:rPr>
        <w:t>采购代理机构</w:t>
      </w:r>
      <w:r>
        <w:rPr>
          <w:rFonts w:hint="eastAsia" w:ascii="宋体" w:hAnsi="宋体"/>
          <w:szCs w:val="21"/>
        </w:rPr>
        <w:t>现场递交质疑材料</w:t>
      </w:r>
      <w:r>
        <w:rPr>
          <w:rFonts w:hint="eastAsia" w:ascii="宋体" w:hAnsi="宋体"/>
          <w:bCs/>
          <w:szCs w:val="21"/>
        </w:rPr>
        <w:t>，地址：深圳市福田区民田路171号新华保险大厦903深圳市中正招标有限公司，质疑咨询电话：0755-83026699。</w:t>
      </w:r>
    </w:p>
    <w:p w14:paraId="53C01AF5">
      <w:pPr>
        <w:spacing w:line="360" w:lineRule="auto"/>
        <w:rPr>
          <w:rFonts w:ascii="宋体" w:hAnsi="宋体"/>
          <w:szCs w:val="21"/>
        </w:rPr>
      </w:pPr>
      <w:r>
        <w:rPr>
          <w:rFonts w:hint="eastAsia" w:ascii="宋体" w:hAnsi="宋体"/>
          <w:szCs w:val="21"/>
        </w:rPr>
        <w:t>35.6质疑受理</w:t>
      </w:r>
      <w:r>
        <w:rPr>
          <w:rFonts w:ascii="宋体" w:hAnsi="宋体"/>
          <w:szCs w:val="21"/>
        </w:rPr>
        <w:t>程序</w:t>
      </w:r>
    </w:p>
    <w:p w14:paraId="193DCEA7">
      <w:pPr>
        <w:spacing w:line="360" w:lineRule="auto"/>
        <w:ind w:firstLine="420" w:firstLineChars="200"/>
        <w:rPr>
          <w:rFonts w:ascii="宋体" w:hAnsi="宋体"/>
          <w:szCs w:val="21"/>
        </w:rPr>
      </w:pPr>
      <w:r>
        <w:rPr>
          <w:rFonts w:hint="eastAsia" w:ascii="宋体" w:hAnsi="宋体"/>
          <w:szCs w:val="21"/>
        </w:rPr>
        <w:t>35.6.1供应商提交的质疑符合受理条件的，采购代理机构自收到质疑材料之日起即为受理，并向供应商出具质疑函受理回执并可以要求其递交质疑的法定代表人（负责人）或者授权代理人签署质疑文书送达地址确认书。</w:t>
      </w:r>
    </w:p>
    <w:p w14:paraId="388A5234">
      <w:pPr>
        <w:spacing w:line="360" w:lineRule="auto"/>
        <w:ind w:firstLine="420" w:firstLineChars="200"/>
        <w:rPr>
          <w:rFonts w:ascii="宋体" w:hAnsi="宋体"/>
          <w:szCs w:val="21"/>
        </w:rPr>
      </w:pPr>
      <w:r>
        <w:rPr>
          <w:rFonts w:hint="eastAsia" w:ascii="宋体" w:hAnsi="宋体"/>
          <w:szCs w:val="21"/>
        </w:rPr>
        <w:t>35.6.2供应商提交的质疑材料不符合质疑条件的，视情况处理：</w:t>
      </w:r>
    </w:p>
    <w:p w14:paraId="5638FD0D">
      <w:pPr>
        <w:spacing w:line="360" w:lineRule="auto"/>
        <w:ind w:firstLine="420" w:firstLineChars="200"/>
        <w:rPr>
          <w:rFonts w:ascii="宋体" w:hAnsi="宋体"/>
          <w:szCs w:val="21"/>
        </w:rPr>
      </w:pPr>
      <w:r>
        <w:rPr>
          <w:rFonts w:hint="eastAsia" w:ascii="宋体" w:hAnsi="宋体"/>
          <w:szCs w:val="21"/>
        </w:rPr>
        <w:t>供应商提交的质疑材料不全或者未按要求签字或者盖章的，采购代理机构应当一次性告知供应商需补正的内容和补正期限。</w:t>
      </w:r>
    </w:p>
    <w:p w14:paraId="1E5B0979">
      <w:pPr>
        <w:spacing w:line="360" w:lineRule="auto"/>
        <w:ind w:firstLine="420" w:firstLineChars="200"/>
        <w:rPr>
          <w:rFonts w:ascii="宋体" w:hAnsi="宋体"/>
          <w:szCs w:val="21"/>
        </w:rPr>
      </w:pPr>
      <w:r>
        <w:rPr>
          <w:rFonts w:hint="eastAsia" w:ascii="宋体" w:hAnsi="宋体"/>
          <w:szCs w:val="21"/>
        </w:rPr>
        <w:t>供应商提交的质疑存在下列情形之一的，不予受理：</w:t>
      </w:r>
    </w:p>
    <w:p w14:paraId="0C806E0D">
      <w:pPr>
        <w:spacing w:line="360" w:lineRule="auto"/>
        <w:ind w:firstLine="420" w:firstLineChars="200"/>
        <w:rPr>
          <w:rFonts w:ascii="宋体" w:hAnsi="宋体"/>
          <w:szCs w:val="21"/>
        </w:rPr>
      </w:pPr>
      <w:r>
        <w:rPr>
          <w:rFonts w:hint="eastAsia" w:ascii="宋体" w:hAnsi="宋体"/>
          <w:szCs w:val="21"/>
        </w:rPr>
        <w:t>（1）质疑主体不满足要求的；</w:t>
      </w:r>
    </w:p>
    <w:p w14:paraId="154F3F07">
      <w:pPr>
        <w:spacing w:line="360" w:lineRule="auto"/>
        <w:ind w:firstLine="420" w:firstLineChars="200"/>
        <w:rPr>
          <w:rFonts w:ascii="宋体" w:hAnsi="宋体"/>
          <w:szCs w:val="21"/>
        </w:rPr>
      </w:pPr>
      <w:r>
        <w:rPr>
          <w:rFonts w:hint="eastAsia" w:ascii="宋体" w:hAnsi="宋体"/>
          <w:szCs w:val="21"/>
        </w:rPr>
        <w:t>（2）供应商自身权益未受到损害的；</w:t>
      </w:r>
    </w:p>
    <w:p w14:paraId="678C8D60">
      <w:pPr>
        <w:spacing w:line="360" w:lineRule="auto"/>
        <w:ind w:firstLine="420" w:firstLineChars="200"/>
        <w:rPr>
          <w:rFonts w:ascii="宋体" w:hAnsi="宋体"/>
          <w:szCs w:val="21"/>
        </w:rPr>
      </w:pPr>
      <w:r>
        <w:rPr>
          <w:rFonts w:hint="eastAsia" w:ascii="宋体" w:hAnsi="宋体"/>
          <w:szCs w:val="21"/>
        </w:rPr>
        <w:t>（3）供应商未在法定质疑期限内提出质疑的；</w:t>
      </w:r>
    </w:p>
    <w:p w14:paraId="08D93FC1">
      <w:pPr>
        <w:spacing w:line="360" w:lineRule="auto"/>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732BC868">
      <w:pPr>
        <w:spacing w:line="360" w:lineRule="auto"/>
        <w:ind w:firstLine="420" w:firstLineChars="200"/>
        <w:rPr>
          <w:rFonts w:ascii="宋体" w:hAnsi="宋体"/>
          <w:szCs w:val="21"/>
        </w:rPr>
      </w:pPr>
      <w:r>
        <w:rPr>
          <w:rFonts w:hint="eastAsia" w:ascii="宋体" w:hAnsi="宋体"/>
          <w:szCs w:val="21"/>
        </w:rPr>
        <w:t>（5）其他不符合受理条件情形的。</w:t>
      </w:r>
    </w:p>
    <w:p w14:paraId="44EC6C56">
      <w:pPr>
        <w:spacing w:line="360" w:lineRule="auto"/>
        <w:ind w:firstLine="420" w:firstLineChars="200"/>
        <w:rPr>
          <w:rFonts w:ascii="宋体" w:hAnsi="宋体"/>
          <w:szCs w:val="21"/>
        </w:rPr>
      </w:pPr>
      <w:r>
        <w:rPr>
          <w:rFonts w:hint="eastAsia" w:ascii="宋体" w:hAnsi="宋体"/>
          <w:szCs w:val="21"/>
        </w:rPr>
        <w:t>质疑事项不予受理的，采购代理机构应当向供应商出具不符合质疑条件告知书。</w:t>
      </w:r>
    </w:p>
    <w:p w14:paraId="74A9D99B">
      <w:pPr>
        <w:spacing w:line="360" w:lineRule="auto"/>
        <w:rPr>
          <w:rFonts w:ascii="宋体" w:hAnsi="宋体"/>
          <w:szCs w:val="21"/>
        </w:rPr>
      </w:pPr>
      <w:r>
        <w:rPr>
          <w:rFonts w:hint="eastAsia" w:ascii="宋体" w:hAnsi="宋体"/>
          <w:szCs w:val="21"/>
        </w:rPr>
        <w:t xml:space="preserve">  35.7质疑答复时限</w:t>
      </w:r>
    </w:p>
    <w:p w14:paraId="4DFCEA3A">
      <w:pPr>
        <w:spacing w:line="360" w:lineRule="auto"/>
        <w:rPr>
          <w:rFonts w:ascii="宋体" w:hAnsi="宋体"/>
          <w:szCs w:val="21"/>
        </w:rPr>
      </w:pPr>
      <w:r>
        <w:rPr>
          <w:rFonts w:hint="eastAsia" w:ascii="宋体" w:hAnsi="宋体"/>
          <w:szCs w:val="21"/>
        </w:rPr>
        <w:t xml:space="preserve">    自收文之日起七个工作日内。</w:t>
      </w:r>
    </w:p>
    <w:p w14:paraId="6386E26B">
      <w:pPr>
        <w:spacing w:line="360" w:lineRule="auto"/>
        <w:rPr>
          <w:rFonts w:ascii="宋体" w:hAnsi="宋体"/>
          <w:szCs w:val="21"/>
        </w:rPr>
      </w:pPr>
      <w:r>
        <w:rPr>
          <w:rFonts w:hint="eastAsia" w:ascii="宋体" w:hAnsi="宋体"/>
          <w:szCs w:val="21"/>
        </w:rPr>
        <w:t xml:space="preserve">  35.8投诉</w:t>
      </w:r>
    </w:p>
    <w:p w14:paraId="0DD463E6">
      <w:pPr>
        <w:spacing w:line="360" w:lineRule="auto"/>
        <w:rPr>
          <w:rFonts w:ascii="宋体" w:hAnsi="宋体"/>
          <w:szCs w:val="21"/>
        </w:rPr>
      </w:pPr>
      <w:r>
        <w:rPr>
          <w:rFonts w:hint="eastAsia" w:ascii="宋体" w:hAnsi="宋体"/>
          <w:szCs w:val="21"/>
        </w:rPr>
        <w:t xml:space="preserve">    对质疑答复不满意或者未在规定时间内答复的，提出质疑的供应商可以在答复期满后15个工作日内向同级财政部门投诉。</w:t>
      </w:r>
      <w:bookmarkEnd w:id="35"/>
    </w:p>
    <w:p w14:paraId="35F3D373"/>
    <w:p w14:paraId="5A79B39A"/>
    <w:p w14:paraId="23C6512F"/>
    <w:p w14:paraId="458A5FA0"/>
    <w:p w14:paraId="0227FEC9"/>
    <w:p w14:paraId="2010D9F2"/>
    <w:p w14:paraId="1E0C92EE"/>
    <w:p w14:paraId="53EAF744"/>
    <w:p w14:paraId="72F9CB39"/>
    <w:p w14:paraId="3B5E13E2"/>
    <w:p w14:paraId="10D5A03E"/>
    <w:p w14:paraId="47715FB7"/>
    <w:p w14:paraId="49714119"/>
    <w:p w14:paraId="24D896C1"/>
    <w:p w14:paraId="456F9FC6"/>
    <w:p w14:paraId="5441A790"/>
    <w:p w14:paraId="3CCE2B28"/>
    <w:p w14:paraId="09B832AE">
      <w:pPr>
        <w:pStyle w:val="3"/>
      </w:pPr>
      <w:bookmarkStart w:id="37" w:name="_Toc171350594"/>
    </w:p>
    <w:p w14:paraId="1D247125">
      <w:pPr>
        <w:pStyle w:val="3"/>
        <w:sectPr>
          <w:pgSz w:w="11906" w:h="16838"/>
          <w:pgMar w:top="1134" w:right="1134" w:bottom="1134" w:left="1134" w:header="851" w:footer="992" w:gutter="0"/>
          <w:cols w:space="720" w:num="1"/>
          <w:titlePg/>
          <w:docGrid w:type="lines" w:linePitch="312" w:charSpace="0"/>
        </w:sectPr>
      </w:pPr>
    </w:p>
    <w:p w14:paraId="4709C6AC">
      <w:pPr>
        <w:pStyle w:val="3"/>
      </w:pPr>
      <w:r>
        <w:rPr>
          <w:rFonts w:hint="eastAsia"/>
        </w:rPr>
        <w:t>第七章  投标文件格式</w:t>
      </w:r>
      <w:bookmarkEnd w:id="37"/>
    </w:p>
    <w:p w14:paraId="1D48B36E">
      <w:pPr>
        <w:jc w:val="center"/>
        <w:rPr>
          <w:b/>
          <w:sz w:val="52"/>
          <w:szCs w:val="52"/>
        </w:rPr>
      </w:pPr>
    </w:p>
    <w:p w14:paraId="5E5C61D2">
      <w:pPr>
        <w:pStyle w:val="2"/>
        <w:spacing w:line="400" w:lineRule="exact"/>
        <w:rPr>
          <w:rFonts w:ascii="仿宋" w:hAnsi="仿宋" w:eastAsia="仿宋"/>
        </w:rPr>
      </w:pPr>
      <w:bookmarkStart w:id="38" w:name="_Toc44690431"/>
      <w:bookmarkStart w:id="39" w:name="_Toc171350595"/>
      <w:bookmarkStart w:id="40" w:name="_Toc44691163"/>
      <w:bookmarkStart w:id="41" w:name="_Toc25194"/>
      <w:bookmarkStart w:id="42" w:name="_Toc44690704"/>
      <w:bookmarkStart w:id="43" w:name="_Toc14934"/>
      <w:bookmarkStart w:id="44" w:name="_Toc44691395"/>
      <w:bookmarkStart w:id="45" w:name="_Toc31468"/>
      <w:bookmarkStart w:id="46" w:name="_Toc11772"/>
      <w:r>
        <w:rPr>
          <w:rFonts w:hint="eastAsia" w:ascii="仿宋" w:hAnsi="仿宋" w:eastAsia="仿宋"/>
        </w:rPr>
        <w:t>投标文件编制说明</w:t>
      </w:r>
      <w:bookmarkEnd w:id="38"/>
      <w:bookmarkEnd w:id="39"/>
      <w:bookmarkEnd w:id="40"/>
      <w:bookmarkEnd w:id="41"/>
      <w:bookmarkEnd w:id="42"/>
      <w:bookmarkEnd w:id="43"/>
      <w:bookmarkEnd w:id="44"/>
      <w:bookmarkEnd w:id="45"/>
      <w:bookmarkEnd w:id="46"/>
    </w:p>
    <w:tbl>
      <w:tblPr>
        <w:tblStyle w:val="50"/>
        <w:tblW w:w="10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957"/>
        <w:gridCol w:w="3004"/>
        <w:gridCol w:w="4161"/>
      </w:tblGrid>
      <w:tr w14:paraId="6E45F074">
        <w:tblPrEx>
          <w:tblCellMar>
            <w:top w:w="0" w:type="dxa"/>
            <w:left w:w="108" w:type="dxa"/>
            <w:bottom w:w="0" w:type="dxa"/>
            <w:right w:w="108" w:type="dxa"/>
          </w:tblCellMar>
        </w:tblPrEx>
        <w:trPr>
          <w:trHeight w:val="571" w:hRule="atLeast"/>
          <w:jc w:val="center"/>
        </w:trPr>
        <w:tc>
          <w:tcPr>
            <w:tcW w:w="959" w:type="dxa"/>
            <w:vAlign w:val="center"/>
          </w:tcPr>
          <w:p w14:paraId="05E41E34">
            <w:pPr>
              <w:spacing w:line="360" w:lineRule="auto"/>
              <w:jc w:val="center"/>
              <w:rPr>
                <w:rFonts w:ascii="宋体" w:hAnsi="宋体"/>
              </w:rPr>
            </w:pPr>
            <w:r>
              <w:rPr>
                <w:rFonts w:hint="eastAsia" w:ascii="宋体" w:hAnsi="宋体"/>
              </w:rPr>
              <w:t>序号</w:t>
            </w:r>
          </w:p>
        </w:tc>
        <w:tc>
          <w:tcPr>
            <w:tcW w:w="1957" w:type="dxa"/>
            <w:vAlign w:val="center"/>
          </w:tcPr>
          <w:p w14:paraId="084E846B">
            <w:pPr>
              <w:spacing w:line="360" w:lineRule="auto"/>
              <w:jc w:val="center"/>
              <w:rPr>
                <w:rFonts w:ascii="宋体" w:hAnsi="宋体"/>
              </w:rPr>
            </w:pPr>
            <w:r>
              <w:rPr>
                <w:rFonts w:hint="eastAsia" w:ascii="宋体" w:hAnsi="宋体"/>
              </w:rPr>
              <w:t>名称</w:t>
            </w:r>
          </w:p>
        </w:tc>
        <w:tc>
          <w:tcPr>
            <w:tcW w:w="3004" w:type="dxa"/>
            <w:vAlign w:val="center"/>
          </w:tcPr>
          <w:p w14:paraId="2438046A">
            <w:pPr>
              <w:spacing w:line="360" w:lineRule="auto"/>
              <w:jc w:val="center"/>
              <w:rPr>
                <w:rFonts w:ascii="宋体" w:hAnsi="宋体"/>
              </w:rPr>
            </w:pPr>
            <w:r>
              <w:rPr>
                <w:rFonts w:hint="eastAsia" w:ascii="宋体" w:hAnsi="宋体"/>
              </w:rPr>
              <w:t>内容规定</w:t>
            </w:r>
          </w:p>
        </w:tc>
        <w:tc>
          <w:tcPr>
            <w:tcW w:w="4161" w:type="dxa"/>
            <w:vAlign w:val="center"/>
          </w:tcPr>
          <w:p w14:paraId="3A42ED78">
            <w:pPr>
              <w:spacing w:line="360" w:lineRule="auto"/>
              <w:jc w:val="center"/>
              <w:rPr>
                <w:rFonts w:ascii="宋体" w:hAnsi="宋体"/>
              </w:rPr>
            </w:pPr>
            <w:r>
              <w:rPr>
                <w:rFonts w:hint="eastAsia" w:ascii="宋体" w:hAnsi="宋体"/>
              </w:rPr>
              <w:t>备注</w:t>
            </w:r>
          </w:p>
        </w:tc>
      </w:tr>
      <w:tr w14:paraId="15E9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959" w:type="dxa"/>
            <w:vAlign w:val="center"/>
          </w:tcPr>
          <w:p w14:paraId="0E82A06D">
            <w:pPr>
              <w:spacing w:line="360" w:lineRule="auto"/>
              <w:jc w:val="center"/>
              <w:rPr>
                <w:rFonts w:ascii="宋体" w:hAnsi="宋体"/>
              </w:rPr>
            </w:pPr>
            <w:r>
              <w:rPr>
                <w:rFonts w:hint="eastAsia" w:ascii="宋体" w:hAnsi="宋体"/>
              </w:rPr>
              <w:t>1</w:t>
            </w:r>
          </w:p>
        </w:tc>
        <w:tc>
          <w:tcPr>
            <w:tcW w:w="1957" w:type="dxa"/>
            <w:vAlign w:val="center"/>
          </w:tcPr>
          <w:p w14:paraId="27093DBF">
            <w:pPr>
              <w:spacing w:line="360" w:lineRule="auto"/>
              <w:jc w:val="center"/>
              <w:rPr>
                <w:rFonts w:ascii="宋体" w:hAnsi="宋体"/>
              </w:rPr>
            </w:pPr>
            <w:r>
              <w:rPr>
                <w:rFonts w:hint="eastAsia" w:ascii="宋体" w:hAnsi="宋体"/>
              </w:rPr>
              <w:t>投标文件的组成</w:t>
            </w:r>
          </w:p>
        </w:tc>
        <w:tc>
          <w:tcPr>
            <w:tcW w:w="3004" w:type="dxa"/>
            <w:vAlign w:val="center"/>
          </w:tcPr>
          <w:p w14:paraId="14799682">
            <w:pPr>
              <w:spacing w:line="360" w:lineRule="auto"/>
              <w:jc w:val="center"/>
              <w:rPr>
                <w:rFonts w:ascii="宋体" w:hAnsi="宋体"/>
              </w:rPr>
            </w:pPr>
            <w:r>
              <w:rPr>
                <w:rFonts w:hint="eastAsia" w:ascii="宋体" w:hAnsi="宋体"/>
              </w:rPr>
              <w:t>详见第六章“投标人须知”第10条</w:t>
            </w:r>
          </w:p>
        </w:tc>
        <w:tc>
          <w:tcPr>
            <w:tcW w:w="4161" w:type="dxa"/>
            <w:vAlign w:val="center"/>
          </w:tcPr>
          <w:p w14:paraId="04F57504">
            <w:pPr>
              <w:spacing w:line="360" w:lineRule="auto"/>
              <w:ind w:firstLine="4" w:firstLineChars="2"/>
              <w:rPr>
                <w:rFonts w:ascii="宋体" w:hAnsi="宋体"/>
              </w:rPr>
            </w:pPr>
            <w:r>
              <w:rPr>
                <w:rFonts w:hint="eastAsia" w:ascii="宋体" w:hAnsi="宋体"/>
              </w:rPr>
              <w:t>1.1 投标人选取本章相应格式编制投标文件，如没有相应格式的，由投标人根据招标要求自行编制。</w:t>
            </w:r>
          </w:p>
        </w:tc>
      </w:tr>
      <w:tr w14:paraId="1102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AEBC69A">
            <w:pPr>
              <w:spacing w:line="360" w:lineRule="auto"/>
              <w:jc w:val="center"/>
              <w:rPr>
                <w:rFonts w:ascii="宋体" w:hAnsi="宋体"/>
              </w:rPr>
            </w:pPr>
            <w:r>
              <w:rPr>
                <w:rFonts w:hint="eastAsia" w:ascii="宋体" w:hAnsi="宋体"/>
              </w:rPr>
              <w:t>2</w:t>
            </w:r>
          </w:p>
        </w:tc>
        <w:tc>
          <w:tcPr>
            <w:tcW w:w="1957" w:type="dxa"/>
            <w:vAlign w:val="center"/>
          </w:tcPr>
          <w:p w14:paraId="1388C4B4">
            <w:pPr>
              <w:spacing w:line="360" w:lineRule="auto"/>
              <w:jc w:val="center"/>
              <w:rPr>
                <w:rFonts w:ascii="宋体" w:hAnsi="宋体"/>
              </w:rPr>
            </w:pPr>
            <w:r>
              <w:rPr>
                <w:rFonts w:hint="eastAsia" w:ascii="宋体" w:hAnsi="宋体"/>
              </w:rPr>
              <w:t>投标文件的密封和标记</w:t>
            </w:r>
          </w:p>
        </w:tc>
        <w:tc>
          <w:tcPr>
            <w:tcW w:w="3004" w:type="dxa"/>
            <w:vAlign w:val="center"/>
          </w:tcPr>
          <w:p w14:paraId="2C1E8A3B">
            <w:pPr>
              <w:spacing w:line="360" w:lineRule="auto"/>
              <w:jc w:val="center"/>
              <w:rPr>
                <w:rFonts w:ascii="宋体" w:hAnsi="宋体"/>
              </w:rPr>
            </w:pPr>
            <w:r>
              <w:rPr>
                <w:rFonts w:hint="eastAsia" w:ascii="宋体" w:hAnsi="宋体"/>
              </w:rPr>
              <w:t>详见第六章“投标人须知”第17-18条</w:t>
            </w:r>
          </w:p>
        </w:tc>
        <w:tc>
          <w:tcPr>
            <w:tcW w:w="4161" w:type="dxa"/>
            <w:vAlign w:val="center"/>
          </w:tcPr>
          <w:p w14:paraId="714FB0DA">
            <w:pPr>
              <w:spacing w:line="360" w:lineRule="auto"/>
              <w:ind w:firstLine="4" w:firstLineChars="2"/>
              <w:rPr>
                <w:rFonts w:ascii="宋体" w:hAnsi="宋体"/>
              </w:rPr>
            </w:pPr>
            <w:r>
              <w:rPr>
                <w:rFonts w:hint="eastAsia" w:ascii="宋体" w:hAnsi="宋体"/>
              </w:rPr>
              <w:t>投标文件应按以下两部分，分别密封包装和标记：</w:t>
            </w:r>
          </w:p>
          <w:p w14:paraId="1C4C1EAC">
            <w:pPr>
              <w:spacing w:line="360" w:lineRule="auto"/>
              <w:ind w:firstLine="4" w:firstLineChars="2"/>
              <w:rPr>
                <w:rFonts w:ascii="宋体" w:hAnsi="宋体"/>
              </w:rPr>
            </w:pPr>
            <w:r>
              <w:rPr>
                <w:rFonts w:hint="eastAsia" w:ascii="宋体" w:hAnsi="宋体"/>
              </w:rPr>
              <w:t>2.1 投标文件正本、副本和密封好的备份光盘（或U盘）（封包1）。</w:t>
            </w:r>
          </w:p>
          <w:p w14:paraId="14B983AB">
            <w:pPr>
              <w:spacing w:line="360" w:lineRule="auto"/>
              <w:ind w:firstLine="4" w:firstLineChars="2"/>
              <w:rPr>
                <w:rFonts w:ascii="宋体" w:hAnsi="宋体"/>
              </w:rPr>
            </w:pPr>
            <w:r>
              <w:rPr>
                <w:rFonts w:hint="eastAsia" w:ascii="宋体" w:hAnsi="宋体"/>
              </w:rPr>
              <w:t>2.2 法定代表人（负责人）证明书、法定代表人（负责人）授权委托书和开标一览表（封包2）。</w:t>
            </w:r>
          </w:p>
          <w:p w14:paraId="0229BA17">
            <w:pPr>
              <w:spacing w:line="360" w:lineRule="auto"/>
              <w:ind w:firstLine="4" w:firstLineChars="2"/>
              <w:rPr>
                <w:rFonts w:ascii="宋体" w:hAnsi="宋体"/>
              </w:rPr>
            </w:pPr>
            <w:r>
              <w:rPr>
                <w:rFonts w:hint="eastAsia" w:ascii="宋体" w:hAnsi="宋体"/>
              </w:rPr>
              <w:t>注：</w:t>
            </w:r>
            <w:r>
              <w:rPr>
                <w:rFonts w:hint="eastAsia" w:ascii="宋体" w:hAnsi="宋体"/>
                <w:snapToGrid w:val="0"/>
                <w:kern w:val="0"/>
              </w:rPr>
              <w:t>投标文件必须标注页码并装订成册。</w:t>
            </w:r>
          </w:p>
        </w:tc>
      </w:tr>
      <w:tr w14:paraId="6629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29E27C5">
            <w:pPr>
              <w:spacing w:line="360" w:lineRule="auto"/>
              <w:jc w:val="center"/>
              <w:rPr>
                <w:rFonts w:ascii="宋体" w:hAnsi="宋体"/>
              </w:rPr>
            </w:pPr>
            <w:r>
              <w:rPr>
                <w:rFonts w:hint="eastAsia" w:ascii="宋体" w:hAnsi="宋体"/>
              </w:rPr>
              <w:t>3</w:t>
            </w:r>
          </w:p>
        </w:tc>
        <w:tc>
          <w:tcPr>
            <w:tcW w:w="1957" w:type="dxa"/>
            <w:vAlign w:val="center"/>
          </w:tcPr>
          <w:p w14:paraId="17BD1411">
            <w:pPr>
              <w:spacing w:line="360" w:lineRule="auto"/>
              <w:jc w:val="center"/>
              <w:rPr>
                <w:rFonts w:ascii="宋体" w:hAnsi="宋体"/>
              </w:rPr>
            </w:pPr>
            <w:r>
              <w:rPr>
                <w:rFonts w:hint="eastAsia" w:ascii="宋体" w:hAnsi="宋体"/>
              </w:rPr>
              <w:t>投标文件的签字和盖章</w:t>
            </w:r>
          </w:p>
        </w:tc>
        <w:tc>
          <w:tcPr>
            <w:tcW w:w="3004" w:type="dxa"/>
            <w:vAlign w:val="center"/>
          </w:tcPr>
          <w:p w14:paraId="53F6918E">
            <w:pPr>
              <w:spacing w:line="360" w:lineRule="auto"/>
              <w:jc w:val="left"/>
              <w:rPr>
                <w:rFonts w:ascii="宋体" w:hAnsi="宋体"/>
              </w:rPr>
            </w:pPr>
            <w:r>
              <w:rPr>
                <w:rFonts w:hint="eastAsia" w:ascii="宋体" w:hAnsi="宋体"/>
              </w:rPr>
              <w:t>投标文件应按招标文件要求签字和盖章（包括投标文件格式要求、评标标准对证明文件的要求等）。</w:t>
            </w:r>
          </w:p>
        </w:tc>
        <w:tc>
          <w:tcPr>
            <w:tcW w:w="4161" w:type="dxa"/>
            <w:vAlign w:val="center"/>
          </w:tcPr>
          <w:p w14:paraId="5AD90BAA">
            <w:pPr>
              <w:spacing w:line="360" w:lineRule="auto"/>
              <w:ind w:firstLine="4" w:firstLineChars="2"/>
              <w:rPr>
                <w:rFonts w:ascii="宋体" w:hAnsi="宋体"/>
              </w:rPr>
            </w:pPr>
            <w:r>
              <w:rPr>
                <w:rFonts w:hint="eastAsia" w:ascii="宋体" w:hAnsi="宋体"/>
              </w:rPr>
              <w:t>3.1 公章指投标人经备案的行政公章，不包括“投标专用章”、“业务专用章”、“合同专用章”、“财务专用章”等。</w:t>
            </w:r>
          </w:p>
          <w:p w14:paraId="597BE460">
            <w:pPr>
              <w:spacing w:line="360" w:lineRule="auto"/>
              <w:ind w:firstLine="4" w:firstLineChars="2"/>
              <w:rPr>
                <w:rFonts w:ascii="宋体" w:hAnsi="宋体"/>
              </w:rPr>
            </w:pPr>
            <w:r>
              <w:rPr>
                <w:rFonts w:hint="eastAsia" w:ascii="宋体" w:hAnsi="宋体"/>
              </w:rPr>
              <w:t>3.2 投标文件应加盖骑缝章。</w:t>
            </w:r>
          </w:p>
          <w:p w14:paraId="4569D50C">
            <w:pPr>
              <w:spacing w:line="360" w:lineRule="auto"/>
              <w:ind w:firstLine="4" w:firstLineChars="2"/>
              <w:rPr>
                <w:rFonts w:ascii="宋体" w:hAnsi="宋体"/>
              </w:rPr>
            </w:pPr>
            <w:r>
              <w:rPr>
                <w:rFonts w:hint="eastAsia" w:ascii="宋体" w:hAnsi="宋体"/>
              </w:rPr>
              <w:t>3.3 签字方式可以是手写方式、盖人名章方式或盖手签章方式。</w:t>
            </w:r>
          </w:p>
        </w:tc>
      </w:tr>
    </w:tbl>
    <w:p w14:paraId="3C2A6403">
      <w:pPr>
        <w:spacing w:line="360" w:lineRule="auto"/>
        <w:ind w:firstLine="420" w:firstLineChars="200"/>
        <w:rPr>
          <w:rFonts w:ascii="宋体" w:hAnsi="宋体"/>
        </w:rPr>
      </w:pPr>
    </w:p>
    <w:p w14:paraId="5D824F84">
      <w:pPr>
        <w:spacing w:line="360" w:lineRule="auto"/>
        <w:ind w:firstLine="420" w:firstLineChars="200"/>
        <w:rPr>
          <w:rFonts w:ascii="宋体" w:hAnsi="宋体"/>
        </w:rPr>
      </w:pPr>
    </w:p>
    <w:p w14:paraId="39F85CC4">
      <w:pPr>
        <w:adjustRightInd w:val="0"/>
        <w:spacing w:line="360" w:lineRule="auto"/>
        <w:rPr>
          <w:rFonts w:asciiTheme="minorEastAsia" w:hAnsiTheme="minorEastAsia" w:eastAsiaTheme="minorEastAsia"/>
          <w:b/>
          <w:snapToGrid w:val="0"/>
          <w:kern w:val="0"/>
          <w:sz w:val="28"/>
          <w:szCs w:val="28"/>
        </w:rPr>
      </w:pPr>
      <w:r>
        <w:rPr>
          <w:rFonts w:hint="eastAsia" w:asciiTheme="minorEastAsia" w:hAnsiTheme="minorEastAsia" w:eastAsiaTheme="minorEastAsia"/>
          <w:b/>
          <w:snapToGrid w:val="0"/>
          <w:kern w:val="0"/>
          <w:sz w:val="28"/>
          <w:szCs w:val="28"/>
          <w:highlight w:val="yellow"/>
        </w:rPr>
        <w:t>注：每个包组独立制作投标文件，并单独密封，不能将多个包组的投标文件打包制作或密封。未按要求制作投标文件的将导致投标无效。</w:t>
      </w:r>
    </w:p>
    <w:p w14:paraId="50380BCC"/>
    <w:p w14:paraId="7579C140"/>
    <w:p w14:paraId="3F08D264"/>
    <w:p w14:paraId="6E854C5D"/>
    <w:p w14:paraId="3121DF07">
      <w:pPr>
        <w:jc w:val="center"/>
        <w:rPr>
          <w:b/>
          <w:bCs/>
          <w:sz w:val="52"/>
        </w:rPr>
      </w:pPr>
    </w:p>
    <w:p w14:paraId="3D023296">
      <w:pPr>
        <w:jc w:val="center"/>
        <w:rPr>
          <w:b/>
          <w:bCs/>
          <w:sz w:val="52"/>
        </w:rPr>
      </w:pPr>
    </w:p>
    <w:p w14:paraId="2168AF76">
      <w:pPr>
        <w:jc w:val="center"/>
        <w:rPr>
          <w:b/>
          <w:bCs/>
          <w:sz w:val="52"/>
        </w:rPr>
      </w:pPr>
      <w:r>
        <w:rPr>
          <w:rFonts w:hint="eastAsia"/>
          <w:b/>
          <w:bCs/>
          <w:sz w:val="52"/>
        </w:rPr>
        <w:t>投 标 文 件</w:t>
      </w:r>
    </w:p>
    <w:p w14:paraId="082BAE54">
      <w:pPr>
        <w:jc w:val="center"/>
        <w:rPr>
          <w:b/>
          <w:bCs/>
        </w:rPr>
      </w:pPr>
    </w:p>
    <w:p w14:paraId="4945AA66">
      <w:pPr>
        <w:jc w:val="center"/>
        <w:rPr>
          <w:b/>
          <w:bCs/>
        </w:rPr>
      </w:pPr>
    </w:p>
    <w:p w14:paraId="38DB67A9">
      <w:pPr>
        <w:jc w:val="center"/>
        <w:rPr>
          <w:b/>
          <w:bCs/>
        </w:rPr>
      </w:pPr>
    </w:p>
    <w:p w14:paraId="12F2E9A0">
      <w:pPr>
        <w:jc w:val="center"/>
        <w:rPr>
          <w:b/>
          <w:bCs/>
        </w:rPr>
      </w:pPr>
    </w:p>
    <w:p w14:paraId="329C45EC">
      <w:pPr>
        <w:jc w:val="center"/>
        <w:rPr>
          <w:b/>
          <w:bCs/>
        </w:rPr>
      </w:pPr>
    </w:p>
    <w:p w14:paraId="38ED744F">
      <w:pPr>
        <w:jc w:val="center"/>
        <w:rPr>
          <w:b/>
          <w:bCs/>
        </w:rPr>
      </w:pPr>
    </w:p>
    <w:p w14:paraId="37ACEA87">
      <w:pPr>
        <w:jc w:val="center"/>
        <w:rPr>
          <w:rFonts w:ascii="宋体" w:hAnsi="宋体"/>
          <w:b/>
          <w:bCs/>
          <w:sz w:val="30"/>
          <w:szCs w:val="30"/>
        </w:rPr>
      </w:pPr>
      <w:r>
        <w:rPr>
          <w:rFonts w:hint="eastAsia" w:ascii="宋体" w:hAnsi="宋体"/>
          <w:b/>
          <w:bCs/>
          <w:sz w:val="30"/>
          <w:szCs w:val="30"/>
        </w:rPr>
        <w:t>（正本/副本）</w:t>
      </w:r>
    </w:p>
    <w:p w14:paraId="5406F8FA">
      <w:pPr>
        <w:jc w:val="center"/>
        <w:rPr>
          <w:b/>
          <w:bCs/>
        </w:rPr>
      </w:pPr>
    </w:p>
    <w:p w14:paraId="3F2982E8">
      <w:pPr>
        <w:jc w:val="center"/>
        <w:rPr>
          <w:b/>
          <w:bCs/>
        </w:rPr>
      </w:pPr>
    </w:p>
    <w:p w14:paraId="6931032F">
      <w:pPr>
        <w:jc w:val="center"/>
        <w:rPr>
          <w:b/>
          <w:bCs/>
        </w:rPr>
      </w:pPr>
    </w:p>
    <w:p w14:paraId="11FE950D">
      <w:pPr>
        <w:jc w:val="center"/>
        <w:rPr>
          <w:b/>
          <w:bCs/>
        </w:rPr>
      </w:pPr>
    </w:p>
    <w:p w14:paraId="22818174">
      <w:pPr>
        <w:jc w:val="center"/>
        <w:rPr>
          <w:b/>
          <w:bCs/>
        </w:rPr>
      </w:pPr>
    </w:p>
    <w:p w14:paraId="1AEA8E1A">
      <w:pPr>
        <w:jc w:val="center"/>
        <w:rPr>
          <w:b/>
          <w:bCs/>
        </w:rPr>
      </w:pPr>
    </w:p>
    <w:p w14:paraId="7701CE20">
      <w:pPr>
        <w:jc w:val="center"/>
        <w:rPr>
          <w:b/>
          <w:bCs/>
        </w:rPr>
      </w:pPr>
    </w:p>
    <w:p w14:paraId="16F47B06">
      <w:pPr>
        <w:jc w:val="center"/>
        <w:rPr>
          <w:b/>
          <w:bCs/>
        </w:rPr>
      </w:pPr>
    </w:p>
    <w:p w14:paraId="741D488E">
      <w:pPr>
        <w:jc w:val="center"/>
        <w:rPr>
          <w:b/>
          <w:bCs/>
        </w:rPr>
      </w:pPr>
    </w:p>
    <w:p w14:paraId="32789875">
      <w:pPr>
        <w:jc w:val="center"/>
        <w:rPr>
          <w:b/>
          <w:bCs/>
        </w:rPr>
      </w:pPr>
    </w:p>
    <w:p w14:paraId="23D6759E">
      <w:pPr>
        <w:spacing w:line="480" w:lineRule="auto"/>
        <w:ind w:firstLine="1275" w:firstLineChars="529"/>
        <w:rPr>
          <w:b/>
          <w:bCs/>
          <w:sz w:val="24"/>
          <w:u w:val="single"/>
        </w:rPr>
      </w:pPr>
      <w:r>
        <w:rPr>
          <w:rFonts w:hint="eastAsia"/>
          <w:b/>
          <w:bCs/>
          <w:sz w:val="24"/>
        </w:rPr>
        <w:t>项 目  名 称：</w:t>
      </w:r>
    </w:p>
    <w:p w14:paraId="712BE436">
      <w:pPr>
        <w:spacing w:line="480" w:lineRule="auto"/>
        <w:ind w:firstLine="1275" w:firstLineChars="529"/>
        <w:rPr>
          <w:b/>
          <w:bCs/>
          <w:sz w:val="24"/>
          <w:u w:val="single"/>
        </w:rPr>
      </w:pPr>
      <w:r>
        <w:rPr>
          <w:rFonts w:hint="eastAsia"/>
          <w:b/>
          <w:bCs/>
          <w:sz w:val="24"/>
        </w:rPr>
        <w:t>项 目  编 号：</w:t>
      </w:r>
    </w:p>
    <w:p w14:paraId="1966B359">
      <w:pPr>
        <w:spacing w:line="480" w:lineRule="auto"/>
        <w:ind w:firstLine="1275" w:firstLineChars="529"/>
        <w:rPr>
          <w:b/>
          <w:bCs/>
          <w:sz w:val="24"/>
          <w:u w:val="single"/>
        </w:rPr>
      </w:pPr>
      <w:r>
        <w:rPr>
          <w:rFonts w:hint="eastAsia"/>
          <w:b/>
          <w:bCs/>
          <w:sz w:val="24"/>
        </w:rPr>
        <w:t>包   组   号：</w:t>
      </w:r>
    </w:p>
    <w:p w14:paraId="578A4B8B">
      <w:pPr>
        <w:spacing w:line="480" w:lineRule="auto"/>
        <w:ind w:firstLine="1275" w:firstLineChars="529"/>
        <w:rPr>
          <w:b/>
          <w:bCs/>
          <w:sz w:val="24"/>
        </w:rPr>
      </w:pPr>
      <w:r>
        <w:rPr>
          <w:rFonts w:hint="eastAsia"/>
          <w:b/>
          <w:bCs/>
          <w:sz w:val="24"/>
        </w:rPr>
        <w:t>法定代表人或</w:t>
      </w:r>
    </w:p>
    <w:p w14:paraId="6320176B">
      <w:pPr>
        <w:spacing w:line="480" w:lineRule="auto"/>
        <w:ind w:firstLine="1275" w:firstLineChars="529"/>
        <w:rPr>
          <w:sz w:val="24"/>
          <w:u w:val="dotted"/>
        </w:rPr>
      </w:pPr>
      <w:r>
        <w:rPr>
          <w:rFonts w:hint="eastAsia"/>
          <w:b/>
          <w:bCs/>
          <w:sz w:val="24"/>
        </w:rPr>
        <w:t>委 托 代理人：</w:t>
      </w:r>
    </w:p>
    <w:p w14:paraId="259CA5F6">
      <w:pPr>
        <w:spacing w:line="480" w:lineRule="auto"/>
        <w:ind w:firstLine="1275" w:firstLineChars="529"/>
        <w:rPr>
          <w:b/>
          <w:bCs/>
          <w:sz w:val="24"/>
          <w:u w:val="dotted"/>
        </w:rPr>
      </w:pPr>
      <w:r>
        <w:rPr>
          <w:rFonts w:hint="eastAsia"/>
          <w:b/>
          <w:bCs/>
          <w:sz w:val="24"/>
        </w:rPr>
        <w:t>投   标   人：</w:t>
      </w:r>
    </w:p>
    <w:p w14:paraId="4347F112">
      <w:pPr>
        <w:spacing w:line="480" w:lineRule="auto"/>
        <w:ind w:firstLine="1275" w:firstLineChars="529"/>
      </w:pPr>
      <w:r>
        <w:rPr>
          <w:rFonts w:hint="eastAsia"/>
          <w:b/>
          <w:bCs/>
          <w:sz w:val="24"/>
        </w:rPr>
        <w:t>日        期：年月日</w:t>
      </w:r>
    </w:p>
    <w:p w14:paraId="1AA46FBF">
      <w:pPr>
        <w:rPr>
          <w:b/>
          <w:bCs/>
        </w:rPr>
      </w:pPr>
    </w:p>
    <w:p w14:paraId="28912F9A">
      <w:pPr>
        <w:spacing w:line="400" w:lineRule="exact"/>
        <w:rPr>
          <w:rFonts w:ascii="仿宋" w:hAnsi="仿宋" w:eastAsia="仿宋"/>
        </w:rPr>
      </w:pPr>
      <w:bookmarkStart w:id="47" w:name="_投标文件格式（第一册）"/>
      <w:bookmarkEnd w:id="47"/>
      <w:bookmarkStart w:id="48" w:name="q0"/>
    </w:p>
    <w:p w14:paraId="5A9A3DDF">
      <w:pPr>
        <w:spacing w:line="400" w:lineRule="exact"/>
        <w:rPr>
          <w:rFonts w:ascii="仿宋" w:hAnsi="仿宋" w:eastAsia="仿宋"/>
        </w:rPr>
      </w:pPr>
    </w:p>
    <w:p w14:paraId="01A069CA">
      <w:pPr>
        <w:spacing w:line="400" w:lineRule="exact"/>
        <w:rPr>
          <w:rFonts w:ascii="仿宋" w:hAnsi="仿宋" w:eastAsia="仿宋"/>
        </w:rPr>
      </w:pPr>
    </w:p>
    <w:p w14:paraId="1ED23660">
      <w:pPr>
        <w:rPr>
          <w:rFonts w:ascii="仿宋" w:hAnsi="仿宋" w:eastAsia="仿宋"/>
        </w:rPr>
      </w:pPr>
      <w:bookmarkStart w:id="49" w:name="_Toc171350596"/>
      <w:r>
        <w:rPr>
          <w:rFonts w:hint="eastAsia" w:ascii="仿宋" w:hAnsi="仿宋" w:eastAsia="仿宋"/>
        </w:rPr>
        <w:br w:type="page"/>
      </w:r>
    </w:p>
    <w:p w14:paraId="33ECBF4A">
      <w:pPr>
        <w:pStyle w:val="2"/>
        <w:spacing w:line="400" w:lineRule="exact"/>
        <w:rPr>
          <w:rFonts w:ascii="仿宋" w:hAnsi="仿宋" w:eastAsia="仿宋"/>
        </w:rPr>
      </w:pPr>
      <w:r>
        <w:rPr>
          <w:rFonts w:hint="eastAsia" w:ascii="仿宋" w:hAnsi="仿宋" w:eastAsia="仿宋"/>
        </w:rPr>
        <w:t>投标文件格式</w:t>
      </w:r>
      <w:bookmarkEnd w:id="49"/>
    </w:p>
    <w:bookmarkEnd w:id="48"/>
    <w:p w14:paraId="5CF470A7">
      <w:pPr>
        <w:numPr>
          <w:ilvl w:val="0"/>
          <w:numId w:val="7"/>
        </w:numPr>
        <w:adjustRightInd w:val="0"/>
        <w:spacing w:line="360" w:lineRule="auto"/>
        <w:rPr>
          <w:rFonts w:ascii="宋体" w:hAnsi="宋体"/>
          <w:snapToGrid w:val="0"/>
          <w:kern w:val="0"/>
          <w:szCs w:val="21"/>
        </w:rPr>
      </w:pPr>
      <w:r>
        <w:rPr>
          <w:rFonts w:hint="eastAsia" w:ascii="宋体" w:hAnsi="宋体"/>
          <w:snapToGrid w:val="0"/>
          <w:kern w:val="0"/>
          <w:szCs w:val="21"/>
        </w:rPr>
        <w:t>目录（自拟）</w:t>
      </w:r>
    </w:p>
    <w:p w14:paraId="07B0DC6C">
      <w:pPr>
        <w:numPr>
          <w:ilvl w:val="0"/>
          <w:numId w:val="7"/>
        </w:numPr>
        <w:adjustRightInd w:val="0"/>
        <w:spacing w:line="360" w:lineRule="auto"/>
        <w:rPr>
          <w:rFonts w:ascii="宋体" w:hAnsi="宋体"/>
          <w:snapToGrid w:val="0"/>
          <w:kern w:val="0"/>
          <w:szCs w:val="21"/>
        </w:rPr>
      </w:pPr>
      <w:r>
        <w:rPr>
          <w:rFonts w:hint="eastAsia" w:ascii="宋体" w:hAnsi="宋体"/>
          <w:snapToGrid w:val="0"/>
          <w:kern w:val="0"/>
          <w:szCs w:val="21"/>
        </w:rPr>
        <w:t>评标指引表</w:t>
      </w:r>
    </w:p>
    <w:p w14:paraId="2F2FEDEA">
      <w:pPr>
        <w:numPr>
          <w:ilvl w:val="0"/>
          <w:numId w:val="7"/>
        </w:numPr>
        <w:adjustRightInd w:val="0"/>
        <w:spacing w:line="360" w:lineRule="auto"/>
        <w:rPr>
          <w:rFonts w:ascii="宋体" w:hAnsi="宋体"/>
          <w:snapToGrid w:val="0"/>
          <w:kern w:val="0"/>
          <w:szCs w:val="21"/>
        </w:rPr>
      </w:pPr>
      <w:r>
        <w:rPr>
          <w:rFonts w:hint="eastAsia" w:ascii="宋体" w:hAnsi="宋体"/>
          <w:snapToGrid w:val="0"/>
          <w:kern w:val="0"/>
          <w:szCs w:val="21"/>
        </w:rPr>
        <w:t>投标人资格证明文件（格式1）</w:t>
      </w:r>
    </w:p>
    <w:p w14:paraId="4EBC56ED">
      <w:pPr>
        <w:numPr>
          <w:ilvl w:val="0"/>
          <w:numId w:val="7"/>
        </w:numPr>
        <w:adjustRightInd w:val="0"/>
        <w:spacing w:line="360" w:lineRule="auto"/>
        <w:rPr>
          <w:rFonts w:ascii="宋体" w:hAnsi="宋体"/>
          <w:snapToGrid w:val="0"/>
          <w:kern w:val="0"/>
          <w:szCs w:val="21"/>
        </w:rPr>
      </w:pPr>
      <w:r>
        <w:rPr>
          <w:rFonts w:hint="eastAsia" w:ascii="宋体" w:hAnsi="宋体"/>
          <w:snapToGrid w:val="0"/>
          <w:kern w:val="0"/>
          <w:szCs w:val="21"/>
        </w:rPr>
        <w:t>法定代表人证明书及授权委托书（格式2）</w:t>
      </w:r>
    </w:p>
    <w:p w14:paraId="6300E448">
      <w:pPr>
        <w:numPr>
          <w:ilvl w:val="0"/>
          <w:numId w:val="7"/>
        </w:numPr>
        <w:adjustRightInd w:val="0"/>
        <w:spacing w:line="360" w:lineRule="auto"/>
        <w:rPr>
          <w:rFonts w:ascii="宋体" w:hAnsi="宋体"/>
          <w:snapToGrid w:val="0"/>
          <w:kern w:val="0"/>
          <w:szCs w:val="21"/>
        </w:rPr>
      </w:pPr>
      <w:r>
        <w:rPr>
          <w:rFonts w:hint="eastAsia" w:ascii="宋体" w:hAnsi="宋体"/>
          <w:snapToGrid w:val="0"/>
          <w:kern w:val="0"/>
          <w:szCs w:val="21"/>
        </w:rPr>
        <w:t>投标函（格式3）</w:t>
      </w:r>
    </w:p>
    <w:p w14:paraId="6ECC19BF">
      <w:pPr>
        <w:numPr>
          <w:ilvl w:val="0"/>
          <w:numId w:val="7"/>
        </w:numPr>
        <w:adjustRightInd w:val="0"/>
        <w:spacing w:line="360" w:lineRule="auto"/>
        <w:rPr>
          <w:rFonts w:ascii="宋体" w:hAnsi="宋体"/>
          <w:snapToGrid w:val="0"/>
          <w:kern w:val="0"/>
          <w:szCs w:val="21"/>
        </w:rPr>
      </w:pPr>
      <w:r>
        <w:rPr>
          <w:rFonts w:hint="eastAsia" w:ascii="宋体" w:hAnsi="宋体"/>
          <w:snapToGrid w:val="0"/>
          <w:kern w:val="0"/>
          <w:szCs w:val="21"/>
        </w:rPr>
        <w:t>评分中涉及的承诺及声明函（格式4）</w:t>
      </w:r>
    </w:p>
    <w:p w14:paraId="719ECBDE">
      <w:pPr>
        <w:numPr>
          <w:ilvl w:val="0"/>
          <w:numId w:val="7"/>
        </w:numPr>
        <w:adjustRightInd w:val="0"/>
        <w:spacing w:line="360" w:lineRule="auto"/>
        <w:rPr>
          <w:rFonts w:ascii="宋体" w:hAnsi="宋体"/>
          <w:snapToGrid w:val="0"/>
          <w:kern w:val="0"/>
          <w:szCs w:val="21"/>
        </w:rPr>
      </w:pPr>
      <w:r>
        <w:rPr>
          <w:rFonts w:hint="eastAsia" w:ascii="宋体" w:hAnsi="宋体"/>
          <w:snapToGrid w:val="0"/>
          <w:kern w:val="0"/>
          <w:szCs w:val="21"/>
        </w:rPr>
        <w:t>开标一览表（格式5）</w:t>
      </w:r>
    </w:p>
    <w:p w14:paraId="3F929E9A">
      <w:pPr>
        <w:adjustRightInd w:val="0"/>
        <w:spacing w:line="360" w:lineRule="auto"/>
        <w:ind w:firstLine="422" w:firstLineChars="200"/>
        <w:rPr>
          <w:rFonts w:ascii="宋体" w:hAnsi="宋体"/>
          <w:b/>
          <w:bCs/>
          <w:snapToGrid w:val="0"/>
          <w:kern w:val="0"/>
          <w:szCs w:val="21"/>
        </w:rPr>
      </w:pPr>
      <w:r>
        <w:rPr>
          <w:rFonts w:hint="eastAsia" w:ascii="宋体" w:hAnsi="宋体"/>
          <w:b/>
          <w:snapToGrid w:val="0"/>
          <w:kern w:val="0"/>
          <w:szCs w:val="21"/>
        </w:rPr>
        <w:t>注：此表应与“法定代表人（负责人）证明书、法定代表人（负责人）授权委托书”一起密封于一信封，在递交投标文件时单独交予</w:t>
      </w:r>
      <w:r>
        <w:rPr>
          <w:rFonts w:hint="eastAsia" w:ascii="宋体" w:hAnsi="宋体"/>
          <w:b/>
          <w:bCs/>
          <w:snapToGrid w:val="0"/>
          <w:kern w:val="0"/>
          <w:szCs w:val="21"/>
        </w:rPr>
        <w:t>采购代理机构。</w:t>
      </w:r>
    </w:p>
    <w:p w14:paraId="5B1B28E9">
      <w:pPr>
        <w:numPr>
          <w:ilvl w:val="0"/>
          <w:numId w:val="7"/>
        </w:numPr>
        <w:adjustRightInd w:val="0"/>
        <w:spacing w:line="360" w:lineRule="auto"/>
        <w:rPr>
          <w:rFonts w:ascii="宋体" w:hAnsi="宋体"/>
          <w:snapToGrid w:val="0"/>
          <w:kern w:val="0"/>
          <w:szCs w:val="21"/>
        </w:rPr>
      </w:pPr>
      <w:r>
        <w:rPr>
          <w:rFonts w:hint="eastAsia" w:ascii="宋体" w:hAnsi="宋体"/>
          <w:snapToGrid w:val="0"/>
          <w:kern w:val="0"/>
          <w:szCs w:val="21"/>
        </w:rPr>
        <w:t>报价表（格式6）</w:t>
      </w:r>
    </w:p>
    <w:p w14:paraId="3852C1C8">
      <w:pPr>
        <w:pStyle w:val="457"/>
        <w:numPr>
          <w:ilvl w:val="0"/>
          <w:numId w:val="7"/>
        </w:numPr>
        <w:adjustRightInd w:val="0"/>
        <w:spacing w:line="360" w:lineRule="auto"/>
        <w:ind w:firstLineChars="0"/>
        <w:rPr>
          <w:rFonts w:ascii="宋体" w:hAnsi="宋体"/>
          <w:snapToGrid w:val="0"/>
          <w:kern w:val="0"/>
          <w:szCs w:val="21"/>
        </w:rPr>
      </w:pPr>
      <w:r>
        <w:rPr>
          <w:rFonts w:hint="eastAsia" w:ascii="宋体" w:hAnsi="宋体"/>
          <w:snapToGrid w:val="0"/>
          <w:kern w:val="0"/>
        </w:rPr>
        <w:t>服务方案</w:t>
      </w:r>
      <w:r>
        <w:rPr>
          <w:rFonts w:ascii="宋体" w:hAnsi="宋体"/>
          <w:snapToGrid w:val="0"/>
          <w:kern w:val="0"/>
          <w:szCs w:val="21"/>
        </w:rPr>
        <w:t>（格式</w:t>
      </w:r>
      <w:r>
        <w:rPr>
          <w:rFonts w:hint="eastAsia" w:ascii="宋体" w:hAnsi="宋体"/>
          <w:snapToGrid w:val="0"/>
          <w:kern w:val="0"/>
          <w:szCs w:val="21"/>
        </w:rPr>
        <w:t>7</w:t>
      </w:r>
      <w:r>
        <w:rPr>
          <w:rFonts w:ascii="宋体" w:hAnsi="宋体"/>
          <w:snapToGrid w:val="0"/>
          <w:kern w:val="0"/>
          <w:szCs w:val="21"/>
        </w:rPr>
        <w:t>）</w:t>
      </w:r>
    </w:p>
    <w:p w14:paraId="78D0824D">
      <w:pPr>
        <w:pStyle w:val="457"/>
        <w:numPr>
          <w:ilvl w:val="0"/>
          <w:numId w:val="7"/>
        </w:numPr>
        <w:adjustRightInd w:val="0"/>
        <w:spacing w:line="360" w:lineRule="auto"/>
        <w:ind w:firstLineChars="0"/>
        <w:rPr>
          <w:rFonts w:ascii="宋体" w:hAnsi="宋体"/>
          <w:snapToGrid w:val="0"/>
          <w:kern w:val="0"/>
        </w:rPr>
      </w:pPr>
      <w:r>
        <w:rPr>
          <w:rFonts w:ascii="宋体" w:hAnsi="宋体"/>
          <w:snapToGrid w:val="0"/>
          <w:kern w:val="0"/>
        </w:rPr>
        <w:t>投标人情况介绍</w:t>
      </w:r>
      <w:r>
        <w:rPr>
          <w:rFonts w:hint="eastAsia" w:ascii="宋体" w:hAnsi="宋体"/>
          <w:snapToGrid w:val="0"/>
          <w:kern w:val="0"/>
        </w:rPr>
        <w:t>（</w:t>
      </w:r>
      <w:r>
        <w:rPr>
          <w:rFonts w:ascii="宋体" w:hAnsi="宋体"/>
          <w:snapToGrid w:val="0"/>
          <w:kern w:val="0"/>
        </w:rPr>
        <w:t>格式</w:t>
      </w:r>
      <w:r>
        <w:rPr>
          <w:rFonts w:hint="eastAsia" w:ascii="宋体" w:hAnsi="宋体"/>
          <w:snapToGrid w:val="0"/>
          <w:kern w:val="0"/>
        </w:rPr>
        <w:t>8</w:t>
      </w:r>
      <w:r>
        <w:rPr>
          <w:rFonts w:ascii="宋体" w:hAnsi="宋体"/>
          <w:snapToGrid w:val="0"/>
          <w:kern w:val="0"/>
        </w:rPr>
        <w:t>）</w:t>
      </w:r>
    </w:p>
    <w:p w14:paraId="551FF736">
      <w:pPr>
        <w:pStyle w:val="457"/>
        <w:numPr>
          <w:ilvl w:val="0"/>
          <w:numId w:val="7"/>
        </w:numPr>
        <w:adjustRightInd w:val="0"/>
        <w:spacing w:line="360" w:lineRule="auto"/>
        <w:ind w:firstLineChars="0"/>
        <w:rPr>
          <w:rFonts w:ascii="宋体" w:hAnsi="宋体"/>
          <w:snapToGrid w:val="0"/>
          <w:kern w:val="0"/>
          <w:szCs w:val="21"/>
        </w:rPr>
      </w:pPr>
      <w:r>
        <w:rPr>
          <w:rFonts w:hint="eastAsia" w:ascii="宋体" w:hAnsi="宋体"/>
          <w:snapToGrid w:val="0"/>
          <w:kern w:val="0"/>
          <w:szCs w:val="21"/>
        </w:rPr>
        <w:t>偏离</w:t>
      </w:r>
      <w:r>
        <w:rPr>
          <w:rFonts w:ascii="宋体" w:hAnsi="宋体"/>
          <w:snapToGrid w:val="0"/>
          <w:kern w:val="0"/>
          <w:szCs w:val="21"/>
        </w:rPr>
        <w:t>表（格式</w:t>
      </w:r>
      <w:r>
        <w:rPr>
          <w:rFonts w:hint="eastAsia" w:ascii="宋体" w:hAnsi="宋体"/>
          <w:snapToGrid w:val="0"/>
          <w:kern w:val="0"/>
          <w:szCs w:val="21"/>
        </w:rPr>
        <w:t>9</w:t>
      </w:r>
      <w:r>
        <w:rPr>
          <w:rFonts w:ascii="宋体" w:hAnsi="宋体"/>
          <w:snapToGrid w:val="0"/>
          <w:kern w:val="0"/>
          <w:szCs w:val="21"/>
        </w:rPr>
        <w:t>）</w:t>
      </w:r>
    </w:p>
    <w:p w14:paraId="764D1EFA">
      <w:pPr>
        <w:pStyle w:val="457"/>
        <w:numPr>
          <w:ilvl w:val="0"/>
          <w:numId w:val="7"/>
        </w:numPr>
        <w:adjustRightInd w:val="0"/>
        <w:spacing w:line="360" w:lineRule="auto"/>
        <w:ind w:firstLineChars="0"/>
        <w:rPr>
          <w:rFonts w:ascii="宋体" w:hAnsi="宋体"/>
          <w:snapToGrid w:val="0"/>
          <w:kern w:val="0"/>
          <w:szCs w:val="21"/>
        </w:rPr>
      </w:pPr>
      <w:r>
        <w:rPr>
          <w:rFonts w:hint="eastAsia" w:ascii="宋体" w:hAnsi="宋体"/>
          <w:snapToGrid w:val="0"/>
          <w:kern w:val="0"/>
        </w:rPr>
        <w:t>招标文件要求的其他资料或投标人认为需要补充的资料</w:t>
      </w:r>
      <w:r>
        <w:rPr>
          <w:rFonts w:hint="eastAsia" w:ascii="宋体" w:hAnsi="宋体"/>
          <w:snapToGrid w:val="0"/>
          <w:kern w:val="0"/>
          <w:szCs w:val="21"/>
        </w:rPr>
        <w:t>（格式10）</w:t>
      </w:r>
    </w:p>
    <w:p w14:paraId="22481F9A">
      <w:pPr>
        <w:adjustRightInd w:val="0"/>
        <w:spacing w:line="300" w:lineRule="auto"/>
        <w:ind w:left="-2"/>
        <w:rPr>
          <w:rFonts w:ascii="宋体" w:hAnsi="宋体"/>
          <w:snapToGrid w:val="0"/>
          <w:kern w:val="0"/>
          <w:szCs w:val="21"/>
        </w:rPr>
      </w:pPr>
    </w:p>
    <w:p w14:paraId="35080C32">
      <w:pPr>
        <w:adjustRightInd w:val="0"/>
        <w:spacing w:line="300" w:lineRule="auto"/>
        <w:ind w:left="-2"/>
        <w:rPr>
          <w:rFonts w:ascii="宋体" w:hAnsi="宋体"/>
          <w:snapToGrid w:val="0"/>
          <w:kern w:val="0"/>
          <w:szCs w:val="21"/>
        </w:rPr>
      </w:pPr>
    </w:p>
    <w:p w14:paraId="78F7F10D">
      <w:pPr>
        <w:adjustRightInd w:val="0"/>
        <w:spacing w:line="300" w:lineRule="auto"/>
        <w:ind w:left="-2"/>
        <w:rPr>
          <w:rFonts w:ascii="宋体" w:hAnsi="宋体"/>
          <w:snapToGrid w:val="0"/>
          <w:kern w:val="0"/>
          <w:szCs w:val="21"/>
        </w:rPr>
      </w:pPr>
    </w:p>
    <w:p w14:paraId="2D16554C">
      <w:pPr>
        <w:ind w:hanging="2"/>
        <w:rPr>
          <w:b/>
          <w:bCs/>
          <w:sz w:val="28"/>
        </w:rPr>
      </w:pPr>
    </w:p>
    <w:p w14:paraId="3E97F85E">
      <w:pPr>
        <w:adjustRightInd w:val="0"/>
        <w:snapToGrid w:val="0"/>
        <w:spacing w:line="300" w:lineRule="auto"/>
        <w:jc w:val="center"/>
      </w:pPr>
      <w:bookmarkStart w:id="50" w:name="_格式1__投标人资格证明文件"/>
      <w:bookmarkEnd w:id="50"/>
    </w:p>
    <w:p w14:paraId="4701EB3B">
      <w:pPr>
        <w:adjustRightInd w:val="0"/>
        <w:snapToGrid w:val="0"/>
        <w:spacing w:line="300" w:lineRule="auto"/>
        <w:jc w:val="center"/>
      </w:pPr>
    </w:p>
    <w:p w14:paraId="57165F0E">
      <w:pPr>
        <w:adjustRightInd w:val="0"/>
        <w:snapToGrid w:val="0"/>
        <w:spacing w:line="300" w:lineRule="auto"/>
        <w:jc w:val="center"/>
      </w:pPr>
    </w:p>
    <w:p w14:paraId="0BD3F235">
      <w:pPr>
        <w:adjustRightInd w:val="0"/>
        <w:snapToGrid w:val="0"/>
        <w:spacing w:line="300" w:lineRule="auto"/>
        <w:jc w:val="center"/>
      </w:pPr>
    </w:p>
    <w:p w14:paraId="75C7BE88">
      <w:pPr>
        <w:adjustRightInd w:val="0"/>
        <w:snapToGrid w:val="0"/>
        <w:spacing w:line="300" w:lineRule="auto"/>
        <w:jc w:val="center"/>
      </w:pPr>
    </w:p>
    <w:p w14:paraId="6EB96CE9">
      <w:pPr>
        <w:adjustRightInd w:val="0"/>
        <w:snapToGrid w:val="0"/>
        <w:spacing w:line="300" w:lineRule="auto"/>
        <w:jc w:val="center"/>
      </w:pPr>
    </w:p>
    <w:p w14:paraId="2BA9C17F">
      <w:pPr>
        <w:adjustRightInd w:val="0"/>
        <w:snapToGrid w:val="0"/>
        <w:spacing w:line="300" w:lineRule="auto"/>
        <w:jc w:val="center"/>
      </w:pPr>
    </w:p>
    <w:p w14:paraId="68693BFF">
      <w:pPr>
        <w:adjustRightInd w:val="0"/>
        <w:snapToGrid w:val="0"/>
        <w:spacing w:line="300" w:lineRule="auto"/>
        <w:jc w:val="center"/>
      </w:pPr>
    </w:p>
    <w:p w14:paraId="6B24AA9B">
      <w:pPr>
        <w:adjustRightInd w:val="0"/>
        <w:snapToGrid w:val="0"/>
        <w:spacing w:line="300" w:lineRule="auto"/>
        <w:jc w:val="center"/>
      </w:pPr>
    </w:p>
    <w:p w14:paraId="2D745583">
      <w:pPr>
        <w:adjustRightInd w:val="0"/>
        <w:snapToGrid w:val="0"/>
        <w:spacing w:line="300" w:lineRule="auto"/>
        <w:jc w:val="center"/>
      </w:pPr>
    </w:p>
    <w:p w14:paraId="2A2BF064">
      <w:pPr>
        <w:adjustRightInd w:val="0"/>
        <w:snapToGrid w:val="0"/>
        <w:spacing w:line="300" w:lineRule="auto"/>
        <w:jc w:val="center"/>
      </w:pPr>
    </w:p>
    <w:p w14:paraId="192EB241">
      <w:pPr>
        <w:adjustRightInd w:val="0"/>
        <w:snapToGrid w:val="0"/>
        <w:spacing w:line="300" w:lineRule="auto"/>
        <w:jc w:val="center"/>
      </w:pPr>
    </w:p>
    <w:p w14:paraId="577220AF">
      <w:pPr>
        <w:adjustRightInd w:val="0"/>
        <w:snapToGrid w:val="0"/>
        <w:spacing w:line="300" w:lineRule="auto"/>
        <w:jc w:val="center"/>
      </w:pPr>
    </w:p>
    <w:p w14:paraId="4A5717F0">
      <w:pPr>
        <w:adjustRightInd w:val="0"/>
        <w:snapToGrid w:val="0"/>
        <w:spacing w:line="300" w:lineRule="auto"/>
        <w:jc w:val="center"/>
      </w:pPr>
    </w:p>
    <w:p w14:paraId="10317C60">
      <w:pPr>
        <w:adjustRightInd w:val="0"/>
        <w:snapToGrid w:val="0"/>
        <w:spacing w:line="300" w:lineRule="auto"/>
        <w:jc w:val="center"/>
      </w:pPr>
    </w:p>
    <w:p w14:paraId="1063DE06">
      <w:pPr>
        <w:pStyle w:val="2"/>
        <w:spacing w:line="400" w:lineRule="exact"/>
        <w:rPr>
          <w:rFonts w:ascii="仿宋" w:hAnsi="仿宋" w:eastAsia="仿宋"/>
        </w:rPr>
        <w:sectPr>
          <w:pgSz w:w="11906" w:h="16838"/>
          <w:pgMar w:top="1134" w:right="1134" w:bottom="1134" w:left="1134" w:header="851" w:footer="992" w:gutter="0"/>
          <w:cols w:space="720" w:num="1"/>
          <w:titlePg/>
          <w:docGrid w:type="lines" w:linePitch="312" w:charSpace="0"/>
        </w:sectPr>
      </w:pPr>
      <w:bookmarkStart w:id="51" w:name="_Toc171350597"/>
      <w:bookmarkStart w:id="52" w:name="_Toc73613640"/>
    </w:p>
    <w:p w14:paraId="59F348D9">
      <w:pPr>
        <w:pStyle w:val="2"/>
        <w:spacing w:line="400" w:lineRule="exact"/>
        <w:rPr>
          <w:rFonts w:ascii="仿宋" w:hAnsi="仿宋" w:eastAsia="仿宋"/>
        </w:rPr>
      </w:pPr>
      <w:r>
        <w:rPr>
          <w:rFonts w:hint="eastAsia" w:ascii="仿宋" w:hAnsi="仿宋" w:eastAsia="仿宋"/>
        </w:rPr>
        <w:t>评标指引表</w:t>
      </w:r>
      <w:bookmarkEnd w:id="51"/>
      <w:bookmarkEnd w:id="52"/>
    </w:p>
    <w:p w14:paraId="759ED82E">
      <w:pPr>
        <w:jc w:val="center"/>
        <w:rPr>
          <w:b/>
          <w:szCs w:val="21"/>
        </w:rPr>
      </w:pPr>
    </w:p>
    <w:p w14:paraId="6389AE32">
      <w:pPr>
        <w:spacing w:line="360" w:lineRule="auto"/>
        <w:ind w:firstLine="420" w:firstLineChars="200"/>
        <w:rPr>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14:paraId="3D636362">
      <w:pPr>
        <w:spacing w:line="360" w:lineRule="exact"/>
        <w:rPr>
          <w:b/>
          <w:szCs w:val="21"/>
        </w:rPr>
      </w:pPr>
    </w:p>
    <w:tbl>
      <w:tblPr>
        <w:tblStyle w:val="50"/>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563"/>
        <w:gridCol w:w="2039"/>
        <w:gridCol w:w="1385"/>
      </w:tblGrid>
      <w:tr w14:paraId="7134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980" w:type="dxa"/>
            <w:gridSpan w:val="4"/>
            <w:vAlign w:val="center"/>
          </w:tcPr>
          <w:p w14:paraId="1E5684CB">
            <w:pPr>
              <w:spacing w:line="360" w:lineRule="exact"/>
              <w:jc w:val="center"/>
              <w:rPr>
                <w:rFonts w:ascii="宋体" w:hAnsi="宋体"/>
                <w:b/>
                <w:szCs w:val="21"/>
              </w:rPr>
            </w:pPr>
            <w:r>
              <w:rPr>
                <w:rFonts w:hint="eastAsia" w:ascii="宋体" w:hAnsi="宋体"/>
                <w:b/>
                <w:szCs w:val="21"/>
              </w:rPr>
              <w:t>一、综合评分指引（评分内容见第四章  评标方法和标准）</w:t>
            </w:r>
          </w:p>
        </w:tc>
      </w:tr>
      <w:tr w14:paraId="6199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93" w:type="dxa"/>
            <w:vAlign w:val="center"/>
          </w:tcPr>
          <w:p w14:paraId="02C0FE7C">
            <w:pPr>
              <w:spacing w:line="360" w:lineRule="exact"/>
              <w:jc w:val="center"/>
              <w:rPr>
                <w:rFonts w:ascii="宋体" w:hAnsi="宋体"/>
                <w:szCs w:val="21"/>
              </w:rPr>
            </w:pPr>
            <w:r>
              <w:rPr>
                <w:rFonts w:hint="eastAsia" w:ascii="宋体" w:hAnsi="宋体"/>
                <w:szCs w:val="21"/>
              </w:rPr>
              <w:t>评分类别</w:t>
            </w:r>
          </w:p>
        </w:tc>
        <w:tc>
          <w:tcPr>
            <w:tcW w:w="4563" w:type="dxa"/>
            <w:vAlign w:val="center"/>
          </w:tcPr>
          <w:p w14:paraId="6F81510F">
            <w:pPr>
              <w:spacing w:line="360" w:lineRule="exact"/>
              <w:jc w:val="center"/>
              <w:rPr>
                <w:rFonts w:ascii="宋体" w:hAnsi="宋体"/>
                <w:szCs w:val="21"/>
              </w:rPr>
            </w:pPr>
            <w:r>
              <w:rPr>
                <w:rFonts w:hint="eastAsia" w:ascii="宋体" w:hAnsi="宋体"/>
                <w:szCs w:val="21"/>
              </w:rPr>
              <w:t>评分内容</w:t>
            </w:r>
          </w:p>
        </w:tc>
        <w:tc>
          <w:tcPr>
            <w:tcW w:w="2039" w:type="dxa"/>
            <w:vAlign w:val="center"/>
          </w:tcPr>
          <w:p w14:paraId="57057E17">
            <w:pPr>
              <w:spacing w:line="360" w:lineRule="exact"/>
              <w:jc w:val="center"/>
              <w:rPr>
                <w:rFonts w:ascii="宋体" w:hAnsi="宋体"/>
                <w:szCs w:val="21"/>
              </w:rPr>
            </w:pPr>
            <w:r>
              <w:rPr>
                <w:rFonts w:hint="eastAsia" w:ascii="宋体" w:hAnsi="宋体"/>
                <w:szCs w:val="21"/>
              </w:rPr>
              <w:t>证明文件起止页码</w:t>
            </w:r>
          </w:p>
        </w:tc>
        <w:tc>
          <w:tcPr>
            <w:tcW w:w="1385" w:type="dxa"/>
            <w:vAlign w:val="center"/>
          </w:tcPr>
          <w:p w14:paraId="233EF23F">
            <w:pPr>
              <w:spacing w:line="360" w:lineRule="exact"/>
              <w:jc w:val="center"/>
              <w:rPr>
                <w:rFonts w:ascii="宋体" w:hAnsi="宋体"/>
                <w:szCs w:val="21"/>
              </w:rPr>
            </w:pPr>
            <w:r>
              <w:rPr>
                <w:rFonts w:hint="eastAsia" w:ascii="宋体" w:hAnsi="宋体"/>
                <w:szCs w:val="21"/>
              </w:rPr>
              <w:t>备注</w:t>
            </w:r>
          </w:p>
        </w:tc>
      </w:tr>
      <w:tr w14:paraId="0D16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993" w:type="dxa"/>
            <w:vAlign w:val="center"/>
          </w:tcPr>
          <w:p w14:paraId="5BAABD76">
            <w:pPr>
              <w:spacing w:line="360" w:lineRule="exact"/>
              <w:jc w:val="center"/>
              <w:rPr>
                <w:rFonts w:ascii="宋体" w:hAnsi="宋体"/>
                <w:szCs w:val="21"/>
              </w:rPr>
            </w:pPr>
            <w:r>
              <w:rPr>
                <w:rFonts w:hint="eastAsia" w:ascii="宋体" w:hAnsi="宋体"/>
                <w:szCs w:val="21"/>
              </w:rPr>
              <w:t>价格部分</w:t>
            </w:r>
          </w:p>
        </w:tc>
        <w:tc>
          <w:tcPr>
            <w:tcW w:w="4563" w:type="dxa"/>
            <w:vAlign w:val="center"/>
          </w:tcPr>
          <w:p w14:paraId="7E5F8A08">
            <w:pPr>
              <w:rPr>
                <w:rFonts w:ascii="宋体" w:hAnsi="宋体"/>
              </w:rPr>
            </w:pPr>
            <w:r>
              <w:rPr>
                <w:rFonts w:hint="eastAsia" w:ascii="宋体" w:hAnsi="宋体"/>
                <w:snapToGrid w:val="0"/>
                <w:kern w:val="0"/>
                <w:szCs w:val="21"/>
              </w:rPr>
              <w:t>小型企业、微型企业、监狱企业、残疾人福利性单位证明文件</w:t>
            </w:r>
            <w:r>
              <w:rPr>
                <w:rFonts w:hint="eastAsia" w:ascii="宋体" w:hAnsi="宋体"/>
                <w:szCs w:val="21"/>
              </w:rPr>
              <w:t>，详见“第四章  评标方法和标准”政府采购扶持政策</w:t>
            </w:r>
            <w:r>
              <w:rPr>
                <w:rFonts w:hint="eastAsia" w:ascii="宋体" w:hAnsi="宋体"/>
                <w:bCs/>
                <w:szCs w:val="21"/>
              </w:rPr>
              <w:t>。</w:t>
            </w:r>
          </w:p>
        </w:tc>
        <w:tc>
          <w:tcPr>
            <w:tcW w:w="2039" w:type="dxa"/>
            <w:vAlign w:val="center"/>
          </w:tcPr>
          <w:p w14:paraId="222CC816">
            <w:pPr>
              <w:spacing w:line="360" w:lineRule="exact"/>
              <w:jc w:val="center"/>
              <w:rPr>
                <w:rFonts w:ascii="宋体" w:hAnsi="宋体"/>
                <w:b/>
                <w:szCs w:val="21"/>
              </w:rPr>
            </w:pPr>
          </w:p>
        </w:tc>
        <w:tc>
          <w:tcPr>
            <w:tcW w:w="1385" w:type="dxa"/>
            <w:vAlign w:val="center"/>
          </w:tcPr>
          <w:p w14:paraId="18D7F2EF">
            <w:pPr>
              <w:spacing w:line="360" w:lineRule="exact"/>
              <w:jc w:val="center"/>
              <w:rPr>
                <w:rFonts w:ascii="宋体" w:hAnsi="宋体"/>
                <w:b/>
                <w:szCs w:val="21"/>
              </w:rPr>
            </w:pPr>
          </w:p>
        </w:tc>
      </w:tr>
      <w:tr w14:paraId="76E2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93" w:type="dxa"/>
            <w:vMerge w:val="restart"/>
            <w:vAlign w:val="center"/>
          </w:tcPr>
          <w:p w14:paraId="73E1CDE9">
            <w:pPr>
              <w:spacing w:line="360" w:lineRule="exact"/>
              <w:jc w:val="center"/>
              <w:rPr>
                <w:rFonts w:ascii="宋体" w:hAnsi="宋体"/>
                <w:szCs w:val="21"/>
              </w:rPr>
            </w:pPr>
            <w:r>
              <w:rPr>
                <w:rFonts w:hint="eastAsia" w:ascii="宋体" w:hAnsi="宋体"/>
                <w:szCs w:val="21"/>
              </w:rPr>
              <w:t>技术部分</w:t>
            </w:r>
          </w:p>
        </w:tc>
        <w:tc>
          <w:tcPr>
            <w:tcW w:w="4563" w:type="dxa"/>
          </w:tcPr>
          <w:p w14:paraId="048EDCB1">
            <w:pPr>
              <w:spacing w:line="360" w:lineRule="exact"/>
              <w:jc w:val="center"/>
              <w:rPr>
                <w:rFonts w:ascii="宋体" w:hAnsi="宋体"/>
                <w:szCs w:val="21"/>
              </w:rPr>
            </w:pPr>
            <w:r>
              <w:rPr>
                <w:rFonts w:hint="eastAsia" w:ascii="宋体" w:hAnsi="宋体"/>
                <w:szCs w:val="21"/>
              </w:rPr>
              <w:t>1.……</w:t>
            </w:r>
          </w:p>
        </w:tc>
        <w:tc>
          <w:tcPr>
            <w:tcW w:w="2039" w:type="dxa"/>
            <w:vAlign w:val="center"/>
          </w:tcPr>
          <w:p w14:paraId="281024F0">
            <w:pPr>
              <w:spacing w:line="360" w:lineRule="exact"/>
              <w:jc w:val="center"/>
              <w:rPr>
                <w:rFonts w:ascii="宋体" w:hAnsi="宋体"/>
                <w:b/>
                <w:szCs w:val="21"/>
              </w:rPr>
            </w:pPr>
          </w:p>
        </w:tc>
        <w:tc>
          <w:tcPr>
            <w:tcW w:w="1385" w:type="dxa"/>
            <w:vAlign w:val="center"/>
          </w:tcPr>
          <w:p w14:paraId="641159E1">
            <w:pPr>
              <w:spacing w:line="360" w:lineRule="exact"/>
              <w:jc w:val="center"/>
              <w:rPr>
                <w:rFonts w:ascii="宋体" w:hAnsi="宋体"/>
                <w:b/>
                <w:szCs w:val="21"/>
              </w:rPr>
            </w:pPr>
          </w:p>
        </w:tc>
      </w:tr>
      <w:tr w14:paraId="2D15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93" w:type="dxa"/>
            <w:vMerge w:val="continue"/>
            <w:vAlign w:val="center"/>
          </w:tcPr>
          <w:p w14:paraId="67AC724E">
            <w:pPr>
              <w:spacing w:line="360" w:lineRule="exact"/>
              <w:jc w:val="center"/>
              <w:rPr>
                <w:rFonts w:ascii="宋体" w:hAnsi="宋体"/>
                <w:szCs w:val="21"/>
              </w:rPr>
            </w:pPr>
          </w:p>
        </w:tc>
        <w:tc>
          <w:tcPr>
            <w:tcW w:w="4563" w:type="dxa"/>
          </w:tcPr>
          <w:p w14:paraId="765729BA">
            <w:pPr>
              <w:spacing w:line="360" w:lineRule="exact"/>
              <w:jc w:val="center"/>
              <w:rPr>
                <w:rFonts w:ascii="宋体" w:hAnsi="宋体"/>
                <w:szCs w:val="21"/>
              </w:rPr>
            </w:pPr>
            <w:r>
              <w:rPr>
                <w:rFonts w:hint="eastAsia" w:ascii="宋体" w:hAnsi="宋体"/>
                <w:szCs w:val="21"/>
              </w:rPr>
              <w:t>2.……</w:t>
            </w:r>
          </w:p>
        </w:tc>
        <w:tc>
          <w:tcPr>
            <w:tcW w:w="2039" w:type="dxa"/>
            <w:vAlign w:val="center"/>
          </w:tcPr>
          <w:p w14:paraId="6614E29D">
            <w:pPr>
              <w:spacing w:line="360" w:lineRule="exact"/>
              <w:jc w:val="center"/>
              <w:rPr>
                <w:rFonts w:ascii="宋体" w:hAnsi="宋体"/>
                <w:b/>
                <w:szCs w:val="21"/>
              </w:rPr>
            </w:pPr>
          </w:p>
        </w:tc>
        <w:tc>
          <w:tcPr>
            <w:tcW w:w="1385" w:type="dxa"/>
            <w:vAlign w:val="center"/>
          </w:tcPr>
          <w:p w14:paraId="6DB92B96">
            <w:pPr>
              <w:spacing w:line="360" w:lineRule="exact"/>
              <w:jc w:val="center"/>
              <w:rPr>
                <w:rFonts w:ascii="宋体" w:hAnsi="宋体"/>
                <w:b/>
                <w:szCs w:val="21"/>
              </w:rPr>
            </w:pPr>
          </w:p>
        </w:tc>
      </w:tr>
      <w:tr w14:paraId="6333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93" w:type="dxa"/>
            <w:vMerge w:val="continue"/>
            <w:vAlign w:val="center"/>
          </w:tcPr>
          <w:p w14:paraId="1D17B58A">
            <w:pPr>
              <w:spacing w:line="360" w:lineRule="exact"/>
              <w:jc w:val="center"/>
              <w:rPr>
                <w:rFonts w:ascii="宋体" w:hAnsi="宋体"/>
                <w:szCs w:val="21"/>
              </w:rPr>
            </w:pPr>
          </w:p>
        </w:tc>
        <w:tc>
          <w:tcPr>
            <w:tcW w:w="4563" w:type="dxa"/>
          </w:tcPr>
          <w:p w14:paraId="6DE4AB6A">
            <w:pPr>
              <w:spacing w:line="360" w:lineRule="exact"/>
              <w:jc w:val="center"/>
              <w:rPr>
                <w:rFonts w:ascii="宋体" w:hAnsi="宋体"/>
                <w:szCs w:val="21"/>
              </w:rPr>
            </w:pPr>
            <w:r>
              <w:rPr>
                <w:rFonts w:hint="eastAsia" w:ascii="宋体" w:hAnsi="宋体"/>
                <w:szCs w:val="21"/>
              </w:rPr>
              <w:t>……</w:t>
            </w:r>
          </w:p>
        </w:tc>
        <w:tc>
          <w:tcPr>
            <w:tcW w:w="2039" w:type="dxa"/>
            <w:vAlign w:val="center"/>
          </w:tcPr>
          <w:p w14:paraId="0D0F7BD0">
            <w:pPr>
              <w:spacing w:line="360" w:lineRule="exact"/>
              <w:jc w:val="center"/>
              <w:rPr>
                <w:rFonts w:ascii="宋体" w:hAnsi="宋体"/>
                <w:b/>
                <w:szCs w:val="21"/>
              </w:rPr>
            </w:pPr>
          </w:p>
        </w:tc>
        <w:tc>
          <w:tcPr>
            <w:tcW w:w="1385" w:type="dxa"/>
            <w:vAlign w:val="center"/>
          </w:tcPr>
          <w:p w14:paraId="765835CF">
            <w:pPr>
              <w:spacing w:line="360" w:lineRule="exact"/>
              <w:jc w:val="center"/>
              <w:rPr>
                <w:rFonts w:ascii="宋体" w:hAnsi="宋体"/>
                <w:b/>
                <w:szCs w:val="21"/>
              </w:rPr>
            </w:pPr>
          </w:p>
        </w:tc>
      </w:tr>
      <w:tr w14:paraId="5832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93" w:type="dxa"/>
            <w:vMerge w:val="restart"/>
            <w:vAlign w:val="center"/>
          </w:tcPr>
          <w:p w14:paraId="6776CDAF">
            <w:pPr>
              <w:spacing w:line="360" w:lineRule="exact"/>
              <w:jc w:val="center"/>
              <w:rPr>
                <w:rFonts w:ascii="宋体" w:hAnsi="宋体"/>
                <w:szCs w:val="21"/>
              </w:rPr>
            </w:pPr>
            <w:r>
              <w:rPr>
                <w:rFonts w:hint="eastAsia" w:ascii="宋体" w:hAnsi="宋体"/>
                <w:szCs w:val="21"/>
              </w:rPr>
              <w:t>商务部分</w:t>
            </w:r>
          </w:p>
        </w:tc>
        <w:tc>
          <w:tcPr>
            <w:tcW w:w="4563" w:type="dxa"/>
          </w:tcPr>
          <w:p w14:paraId="59C70AD9">
            <w:pPr>
              <w:spacing w:line="360" w:lineRule="exact"/>
              <w:jc w:val="center"/>
              <w:rPr>
                <w:rFonts w:ascii="宋体" w:hAnsi="宋体"/>
                <w:szCs w:val="21"/>
              </w:rPr>
            </w:pPr>
            <w:r>
              <w:rPr>
                <w:rFonts w:hint="eastAsia" w:ascii="宋体" w:hAnsi="宋体"/>
                <w:szCs w:val="21"/>
              </w:rPr>
              <w:t>1.……</w:t>
            </w:r>
          </w:p>
        </w:tc>
        <w:tc>
          <w:tcPr>
            <w:tcW w:w="2039" w:type="dxa"/>
            <w:vAlign w:val="center"/>
          </w:tcPr>
          <w:p w14:paraId="66F402F1">
            <w:pPr>
              <w:spacing w:line="360" w:lineRule="exact"/>
              <w:jc w:val="center"/>
              <w:rPr>
                <w:rFonts w:ascii="宋体" w:hAnsi="宋体"/>
                <w:b/>
                <w:szCs w:val="21"/>
              </w:rPr>
            </w:pPr>
          </w:p>
        </w:tc>
        <w:tc>
          <w:tcPr>
            <w:tcW w:w="1385" w:type="dxa"/>
            <w:vAlign w:val="center"/>
          </w:tcPr>
          <w:p w14:paraId="79CEAEA1">
            <w:pPr>
              <w:spacing w:line="360" w:lineRule="exact"/>
              <w:jc w:val="center"/>
              <w:rPr>
                <w:rFonts w:ascii="宋体" w:hAnsi="宋体"/>
                <w:b/>
                <w:szCs w:val="21"/>
              </w:rPr>
            </w:pPr>
          </w:p>
        </w:tc>
      </w:tr>
      <w:tr w14:paraId="30DB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93" w:type="dxa"/>
            <w:vMerge w:val="continue"/>
          </w:tcPr>
          <w:p w14:paraId="7F8837C1">
            <w:pPr>
              <w:spacing w:line="360" w:lineRule="exact"/>
              <w:jc w:val="center"/>
              <w:rPr>
                <w:rFonts w:ascii="宋体" w:hAnsi="宋体"/>
                <w:szCs w:val="21"/>
              </w:rPr>
            </w:pPr>
          </w:p>
        </w:tc>
        <w:tc>
          <w:tcPr>
            <w:tcW w:w="4563" w:type="dxa"/>
          </w:tcPr>
          <w:p w14:paraId="1D637F89">
            <w:pPr>
              <w:spacing w:line="360" w:lineRule="exact"/>
              <w:jc w:val="center"/>
              <w:rPr>
                <w:rFonts w:ascii="宋体" w:hAnsi="宋体"/>
                <w:szCs w:val="21"/>
              </w:rPr>
            </w:pPr>
            <w:r>
              <w:rPr>
                <w:rFonts w:hint="eastAsia" w:ascii="宋体" w:hAnsi="宋体"/>
                <w:szCs w:val="21"/>
              </w:rPr>
              <w:t>2.……</w:t>
            </w:r>
          </w:p>
        </w:tc>
        <w:tc>
          <w:tcPr>
            <w:tcW w:w="2039" w:type="dxa"/>
            <w:vAlign w:val="center"/>
          </w:tcPr>
          <w:p w14:paraId="2C0B190B">
            <w:pPr>
              <w:spacing w:line="360" w:lineRule="exact"/>
              <w:jc w:val="center"/>
              <w:rPr>
                <w:rFonts w:ascii="宋体" w:hAnsi="宋体"/>
                <w:b/>
                <w:szCs w:val="21"/>
              </w:rPr>
            </w:pPr>
          </w:p>
        </w:tc>
        <w:tc>
          <w:tcPr>
            <w:tcW w:w="1385" w:type="dxa"/>
            <w:vAlign w:val="center"/>
          </w:tcPr>
          <w:p w14:paraId="2D356D8F">
            <w:pPr>
              <w:spacing w:line="360" w:lineRule="exact"/>
              <w:jc w:val="center"/>
              <w:rPr>
                <w:rFonts w:ascii="宋体" w:hAnsi="宋体"/>
                <w:b/>
                <w:szCs w:val="21"/>
              </w:rPr>
            </w:pPr>
          </w:p>
        </w:tc>
      </w:tr>
      <w:tr w14:paraId="6ED8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93" w:type="dxa"/>
            <w:vMerge w:val="continue"/>
          </w:tcPr>
          <w:p w14:paraId="5981B55D">
            <w:pPr>
              <w:spacing w:line="360" w:lineRule="exact"/>
              <w:jc w:val="center"/>
              <w:rPr>
                <w:rFonts w:ascii="宋体" w:hAnsi="宋体"/>
                <w:szCs w:val="21"/>
              </w:rPr>
            </w:pPr>
          </w:p>
        </w:tc>
        <w:tc>
          <w:tcPr>
            <w:tcW w:w="4563" w:type="dxa"/>
          </w:tcPr>
          <w:p w14:paraId="582C2132">
            <w:pPr>
              <w:spacing w:line="360" w:lineRule="exact"/>
              <w:jc w:val="center"/>
              <w:rPr>
                <w:rFonts w:ascii="宋体" w:hAnsi="宋体"/>
                <w:szCs w:val="21"/>
              </w:rPr>
            </w:pPr>
            <w:r>
              <w:rPr>
                <w:rFonts w:hint="eastAsia" w:ascii="宋体" w:hAnsi="宋体"/>
                <w:szCs w:val="21"/>
              </w:rPr>
              <w:t>……</w:t>
            </w:r>
          </w:p>
        </w:tc>
        <w:tc>
          <w:tcPr>
            <w:tcW w:w="2039" w:type="dxa"/>
            <w:vAlign w:val="center"/>
          </w:tcPr>
          <w:p w14:paraId="58521617">
            <w:pPr>
              <w:spacing w:line="360" w:lineRule="exact"/>
              <w:jc w:val="center"/>
              <w:rPr>
                <w:rFonts w:ascii="宋体" w:hAnsi="宋体"/>
                <w:b/>
                <w:szCs w:val="21"/>
              </w:rPr>
            </w:pPr>
          </w:p>
        </w:tc>
        <w:tc>
          <w:tcPr>
            <w:tcW w:w="1385" w:type="dxa"/>
            <w:vAlign w:val="center"/>
          </w:tcPr>
          <w:p w14:paraId="49A25680">
            <w:pPr>
              <w:spacing w:line="360" w:lineRule="exact"/>
              <w:jc w:val="center"/>
              <w:rPr>
                <w:rFonts w:ascii="宋体" w:hAnsi="宋体"/>
                <w:b/>
                <w:szCs w:val="21"/>
              </w:rPr>
            </w:pPr>
          </w:p>
        </w:tc>
      </w:tr>
    </w:tbl>
    <w:p w14:paraId="66C345D7">
      <w:pPr>
        <w:spacing w:line="360" w:lineRule="exact"/>
        <w:rPr>
          <w:b/>
          <w:szCs w:val="21"/>
        </w:rPr>
      </w:pPr>
    </w:p>
    <w:p w14:paraId="653F7321">
      <w:pPr>
        <w:pStyle w:val="27"/>
        <w:spacing w:line="360" w:lineRule="auto"/>
        <w:ind w:firstLine="424" w:firstLineChars="201"/>
        <w:rPr>
          <w:b/>
        </w:rPr>
      </w:pPr>
      <w:r>
        <w:rPr>
          <w:rFonts w:hint="eastAsia" w:hAnsi="宋体"/>
          <w:b/>
          <w:szCs w:val="21"/>
        </w:rPr>
        <w:t>注：请投标人按照招标文件规定的审查和评分内容，自上而下的顺序填写本表</w:t>
      </w:r>
      <w:r>
        <w:rPr>
          <w:rFonts w:hint="eastAsia"/>
          <w:b/>
          <w:szCs w:val="21"/>
        </w:rPr>
        <w:t>。因项目次序混乱而影响评标结果者，投标人自负其责。</w:t>
      </w:r>
    </w:p>
    <w:p w14:paraId="70349F14">
      <w:pPr>
        <w:jc w:val="center"/>
      </w:pPr>
    </w:p>
    <w:p w14:paraId="7361B8CC"/>
    <w:p w14:paraId="1D013047"/>
    <w:p w14:paraId="578B904B"/>
    <w:p w14:paraId="6C2B6E03"/>
    <w:p w14:paraId="6BE59025"/>
    <w:p w14:paraId="215FD820"/>
    <w:p w14:paraId="4ED01FD4"/>
    <w:p w14:paraId="4566B853"/>
    <w:p w14:paraId="2A39FC23"/>
    <w:p w14:paraId="6D77A5D1"/>
    <w:p w14:paraId="562D8963"/>
    <w:p w14:paraId="49FCD8D3"/>
    <w:p w14:paraId="69D7E686"/>
    <w:p w14:paraId="329B58D4"/>
    <w:p w14:paraId="3F9E1987"/>
    <w:p w14:paraId="41021042">
      <w:pPr>
        <w:pStyle w:val="5"/>
        <w:tabs>
          <w:tab w:val="left" w:pos="371"/>
        </w:tabs>
        <w:spacing w:before="120" w:after="120"/>
        <w:ind w:left="-1" w:leftChars="-1" w:hanging="1"/>
        <w:jc w:val="center"/>
        <w:rPr>
          <w:rFonts w:ascii="宋体" w:hAnsi="宋体"/>
          <w:snapToGrid w:val="0"/>
          <w:kern w:val="0"/>
        </w:rPr>
      </w:pPr>
      <w:bookmarkStart w:id="53" w:name="_Toc171350598"/>
      <w:bookmarkStart w:id="54" w:name="_Toc44691396"/>
      <w:bookmarkStart w:id="55" w:name="_Toc44691164"/>
      <w:bookmarkStart w:id="56" w:name="_Toc44690432"/>
      <w:bookmarkStart w:id="57" w:name="_Toc135293182"/>
      <w:bookmarkStart w:id="58" w:name="_Toc44690705"/>
      <w:r>
        <w:rPr>
          <w:rFonts w:hint="eastAsia" w:ascii="宋体" w:hAnsi="宋体"/>
        </w:rPr>
        <w:t>格式1  投标人资格证明文件</w:t>
      </w:r>
      <w:bookmarkEnd w:id="53"/>
      <w:bookmarkEnd w:id="54"/>
      <w:bookmarkEnd w:id="55"/>
      <w:bookmarkEnd w:id="56"/>
      <w:bookmarkEnd w:id="57"/>
      <w:bookmarkEnd w:id="58"/>
    </w:p>
    <w:p w14:paraId="38CF1077">
      <w:pPr>
        <w:adjustRightInd w:val="0"/>
        <w:snapToGrid w:val="0"/>
        <w:spacing w:line="360" w:lineRule="auto"/>
        <w:rPr>
          <w:rFonts w:ascii="宋体" w:hAnsi="宋体"/>
          <w:bCs/>
          <w:snapToGrid w:val="0"/>
          <w:kern w:val="0"/>
          <w:szCs w:val="21"/>
        </w:rPr>
      </w:pPr>
    </w:p>
    <w:p w14:paraId="0B38E1CC">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1.满足《中华人民共和国政府采购法》第二十二条规定</w:t>
      </w:r>
      <w:r>
        <w:rPr>
          <w:rFonts w:hint="eastAsia" w:ascii="宋体" w:hAnsi="宋体" w:cs="宋体"/>
          <w:snapToGrid w:val="0"/>
          <w:kern w:val="0"/>
          <w:szCs w:val="21"/>
          <w:highlight w:val="yellow"/>
        </w:rPr>
        <w:t>【须提供声明函（格式自拟）以及具有独立承担民事责任能力的法人或其他组织的营业执照或法人证书等证明材料复印件或扫描件。如果是分支机构参与投标，还须同时提供其具有独立法人资格的上级主体出具的有效授权书及上级主体的营业执照或法人证书等证明材料复印件或扫描件；本项目不接受总公司与分支机构同时参与投标，也不接受同一总公司有两个或以上分支机构参与投标，如出现以上情形，该两家或以上投标人均按无效投标处理】</w:t>
      </w:r>
      <w:r>
        <w:rPr>
          <w:rFonts w:hint="eastAsia" w:ascii="宋体" w:hAnsi="宋体" w:cs="宋体"/>
          <w:snapToGrid w:val="0"/>
          <w:kern w:val="0"/>
          <w:szCs w:val="21"/>
        </w:rPr>
        <w:t>：</w:t>
      </w:r>
    </w:p>
    <w:p w14:paraId="39BD0AAB">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（1）具有独立承担民事责任的能力；</w:t>
      </w:r>
    </w:p>
    <w:p w14:paraId="0EB10EBF">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（2）具有良好的商业信誉和健全的财务会计制度；</w:t>
      </w:r>
    </w:p>
    <w:p w14:paraId="25180903">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（3）具有履行合同所必需的设备和专业技术能力；</w:t>
      </w:r>
    </w:p>
    <w:p w14:paraId="18B37BB2">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（4）有依法缴纳税收和社会保障资金的良好记录；</w:t>
      </w:r>
    </w:p>
    <w:p w14:paraId="33D89B5B">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（5）参加政府采购活动前三年内，在经营活动中没有重大违法记录；</w:t>
      </w:r>
    </w:p>
    <w:p w14:paraId="0900B450">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（6）法律、行政法规规定的其他条件。</w:t>
      </w:r>
    </w:p>
    <w:p w14:paraId="2D2EFA7A">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2.落实政府采购政策需满足的资格要求：</w:t>
      </w:r>
    </w:p>
    <w:p w14:paraId="2EC46298">
      <w:pPr>
        <w:adjustRightInd w:val="0"/>
        <w:snapToGrid w:val="0"/>
        <w:spacing w:line="360" w:lineRule="auto"/>
        <w:rPr>
          <w:rFonts w:ascii="宋体" w:hAnsi="宋体" w:cs="宋体"/>
          <w:snapToGrid w:val="0"/>
          <w:kern w:val="0"/>
          <w:szCs w:val="21"/>
          <w:highlight w:val="yellow"/>
        </w:rPr>
      </w:pPr>
      <w:r>
        <w:rPr>
          <w:rFonts w:hint="eastAsia" w:ascii="宋体" w:hAnsi="宋体" w:cs="宋体"/>
          <w:snapToGrid w:val="0"/>
          <w:kern w:val="0"/>
          <w:szCs w:val="21"/>
          <w:highlight w:val="yellow"/>
        </w:rPr>
        <w:t>（1）本项目A包非专门面向中小企业采购；</w:t>
      </w:r>
    </w:p>
    <w:p w14:paraId="6DA0CE23">
      <w:pPr>
        <w:adjustRightInd w:val="0"/>
        <w:snapToGrid w:val="0"/>
        <w:spacing w:line="360" w:lineRule="auto"/>
        <w:rPr>
          <w:rFonts w:ascii="宋体" w:hAnsi="宋体" w:cs="宋体"/>
          <w:snapToGrid w:val="0"/>
          <w:kern w:val="0"/>
          <w:szCs w:val="21"/>
          <w:highlight w:val="yellow"/>
        </w:rPr>
      </w:pPr>
      <w:r>
        <w:rPr>
          <w:rFonts w:hint="eastAsia" w:ascii="宋体" w:hAnsi="宋体" w:cs="宋体"/>
          <w:snapToGrid w:val="0"/>
          <w:kern w:val="0"/>
          <w:szCs w:val="21"/>
          <w:highlight w:val="yellow"/>
        </w:rPr>
        <w:t>（2）本项目B包专门面向中小企业采购（提供符合要求的《中小企业声明函》，且供应商属于中型企业、小型企业或微型企业；如供应商为残疾人福利性单位或监狱企业，视同小型、微型企业，提供《残疾人福利性单位声明函》或《监狱企业声明函》及监狱企业证明文件亦视为符合）。</w:t>
      </w:r>
    </w:p>
    <w:p w14:paraId="2C23FC25">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3.本项目的特定资格要求：</w:t>
      </w:r>
    </w:p>
    <w:p w14:paraId="005E1AC3">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（1）参与本项目采购活动前三年内，在经营活动中没有重大违法记录</w:t>
      </w:r>
      <w:r>
        <w:rPr>
          <w:rFonts w:hint="eastAsia" w:ascii="宋体" w:hAnsi="宋体" w:cs="宋体"/>
          <w:snapToGrid w:val="0"/>
          <w:kern w:val="0"/>
          <w:szCs w:val="21"/>
          <w:highlight w:val="yellow"/>
        </w:rPr>
        <w:t>（由投标人提供声明函，格式自拟）</w:t>
      </w:r>
      <w:r>
        <w:rPr>
          <w:rFonts w:hint="eastAsia" w:ascii="宋体" w:hAnsi="宋体" w:cs="宋体"/>
          <w:snapToGrid w:val="0"/>
          <w:kern w:val="0"/>
          <w:szCs w:val="21"/>
        </w:rPr>
        <w:t>；</w:t>
      </w:r>
    </w:p>
    <w:p w14:paraId="3331856E">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（2）参与本项目政府采购活动时不存在被有关部门禁止参与政府采购活动且在有效期内的情况</w:t>
      </w:r>
      <w:r>
        <w:rPr>
          <w:rFonts w:hint="eastAsia" w:ascii="宋体" w:hAnsi="宋体" w:cs="宋体"/>
          <w:snapToGrid w:val="0"/>
          <w:kern w:val="0"/>
          <w:szCs w:val="21"/>
          <w:highlight w:val="yellow"/>
        </w:rPr>
        <w:t>（由投标人提供声明函，格式自拟）</w:t>
      </w:r>
      <w:r>
        <w:rPr>
          <w:rFonts w:hint="eastAsia" w:ascii="宋体" w:hAnsi="宋体" w:cs="宋体"/>
          <w:snapToGrid w:val="0"/>
          <w:kern w:val="0"/>
          <w:szCs w:val="21"/>
        </w:rPr>
        <w:t>；</w:t>
      </w:r>
    </w:p>
    <w:p w14:paraId="11D4BCEF">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（3）除单一来源采购项目外，为采购项目提供整体设计、规范编制或者项目管理、监理、检测等服务的供应商，不得再参加该采购项目的其他采购活动</w:t>
      </w:r>
      <w:r>
        <w:rPr>
          <w:rFonts w:hint="eastAsia" w:ascii="宋体" w:hAnsi="宋体" w:cs="宋体"/>
          <w:snapToGrid w:val="0"/>
          <w:kern w:val="0"/>
          <w:szCs w:val="21"/>
          <w:highlight w:val="yellow"/>
        </w:rPr>
        <w:t>（由投标人提供声明函，格式自拟）</w:t>
      </w:r>
      <w:r>
        <w:rPr>
          <w:rFonts w:hint="eastAsia" w:ascii="宋体" w:hAnsi="宋体" w:cs="宋体"/>
          <w:snapToGrid w:val="0"/>
          <w:kern w:val="0"/>
          <w:szCs w:val="21"/>
        </w:rPr>
        <w:t>；</w:t>
      </w:r>
    </w:p>
    <w:p w14:paraId="2430E602">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（4）参与本项目政府采购活动不存在与其他采购参加人串通投标，隐瞒真实情况，提供虚假资料等违法违规情形</w:t>
      </w:r>
      <w:r>
        <w:rPr>
          <w:rFonts w:hint="eastAsia" w:ascii="宋体" w:hAnsi="宋体" w:cs="宋体"/>
          <w:snapToGrid w:val="0"/>
          <w:kern w:val="0"/>
          <w:szCs w:val="21"/>
          <w:highlight w:val="yellow"/>
        </w:rPr>
        <w:t>（由投标人提供声明函，格式自拟）</w:t>
      </w:r>
      <w:r>
        <w:rPr>
          <w:rFonts w:hint="eastAsia" w:ascii="宋体" w:hAnsi="宋体" w:cs="宋体"/>
          <w:snapToGrid w:val="0"/>
          <w:kern w:val="0"/>
          <w:szCs w:val="21"/>
        </w:rPr>
        <w:t>；</w:t>
      </w:r>
    </w:p>
    <w:p w14:paraId="6EBD803E">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5）单位负责人为同一人或者存在直接控股、管理关系的不同供应商，不得参加同一合同项下的政府采购活动，招标代理机构通过国家企业信用信息公示系统（https://www.gsxt.gov.cn/index.html）或机关赋码和事业单位登记管理网（http://www.gjsy.gov.cn/sydwfrxxcx/）或全国社会组织信用信息公示平台（https://xxgs.chinanpo.mca.gov.cn/gsxt/newList）网站查询投标人信息，投标人无需提供证明材料；</w:t>
      </w:r>
    </w:p>
    <w:p w14:paraId="5E2223DC">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6）未被列入失信被执行人、重大税收违法案件当事人名单及政府采购严重违法失信行为记录名单（信用中国网“信用服务”栏的“重大税收违法失信主体”、“失信被执行人”，中国政府采购网“政府采购严重违法失信行为记录名单”为投标人信用信息查询渠道，相关信息以开标当日的查询结果为准。由招标代理机构查询，投标人无需提供证明材料）；</w:t>
      </w:r>
    </w:p>
    <w:p w14:paraId="4914C8E6">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（7）本项目不接受联合体投标，不允许挂靠、分包或转包</w:t>
      </w:r>
      <w:r>
        <w:rPr>
          <w:rFonts w:hint="eastAsia" w:ascii="宋体" w:hAnsi="宋体" w:cs="宋体"/>
          <w:snapToGrid w:val="0"/>
          <w:kern w:val="0"/>
          <w:szCs w:val="21"/>
          <w:highlight w:val="yellow"/>
        </w:rPr>
        <w:t>（由投标人提供声明函，格式自拟）</w:t>
      </w:r>
      <w:r>
        <w:rPr>
          <w:rFonts w:hint="eastAsia" w:ascii="宋体" w:hAnsi="宋体" w:cs="宋体"/>
          <w:snapToGrid w:val="0"/>
          <w:kern w:val="0"/>
          <w:szCs w:val="21"/>
        </w:rPr>
        <w:t>；</w:t>
      </w:r>
    </w:p>
    <w:p w14:paraId="4CC5C1B2">
      <w:pPr>
        <w:adjustRightInd w:val="0"/>
        <w:snapToGrid w:val="0"/>
        <w:spacing w:line="360" w:lineRule="auto"/>
        <w:rPr>
          <w:rFonts w:ascii="宋体" w:hAnsi="宋体" w:cs="宋体"/>
          <w:snapToGrid w:val="0"/>
          <w:kern w:val="0"/>
          <w:szCs w:val="21"/>
          <w:highlight w:val="yellow"/>
        </w:rPr>
      </w:pPr>
      <w:r>
        <w:rPr>
          <w:rFonts w:hint="eastAsia" w:ascii="宋体" w:hAnsi="宋体" w:cs="宋体"/>
          <w:snapToGrid w:val="0"/>
          <w:kern w:val="0"/>
          <w:szCs w:val="21"/>
          <w:highlight w:val="yellow"/>
        </w:rPr>
        <w:t>（8）投标人须至少满足下列任一条件：</w:t>
      </w:r>
    </w:p>
    <w:p w14:paraId="5C9DCA8A">
      <w:pPr>
        <w:adjustRightInd w:val="0"/>
        <w:snapToGrid w:val="0"/>
        <w:spacing w:line="360" w:lineRule="auto"/>
        <w:rPr>
          <w:rFonts w:ascii="宋体" w:hAnsi="宋体" w:cs="宋体"/>
          <w:snapToGrid w:val="0"/>
          <w:kern w:val="0"/>
          <w:szCs w:val="21"/>
          <w:highlight w:val="yellow"/>
        </w:rPr>
      </w:pPr>
      <w:r>
        <w:rPr>
          <w:rFonts w:hint="eastAsia" w:ascii="宋体" w:hAnsi="宋体" w:cs="宋体"/>
          <w:snapToGrid w:val="0"/>
          <w:kern w:val="0"/>
          <w:szCs w:val="21"/>
          <w:highlight w:val="yellow"/>
        </w:rPr>
        <w:t>①行政主管部门颁发的有效的《劳务派遣经营许可证》（提供《劳务派遣经营许可证》复印件或扫描件）；</w:t>
      </w:r>
    </w:p>
    <w:p w14:paraId="6033E7D9">
      <w:pPr>
        <w:adjustRightInd w:val="0"/>
        <w:snapToGrid w:val="0"/>
        <w:spacing w:line="360" w:lineRule="auto"/>
        <w:rPr>
          <w:bCs/>
          <w:snapToGrid w:val="0"/>
          <w:kern w:val="0"/>
          <w:szCs w:val="21"/>
        </w:rPr>
      </w:pPr>
      <w:r>
        <w:rPr>
          <w:rFonts w:hint="eastAsia" w:ascii="宋体" w:hAnsi="宋体" w:cs="宋体"/>
          <w:snapToGrid w:val="0"/>
          <w:kern w:val="0"/>
          <w:szCs w:val="21"/>
          <w:highlight w:val="yellow"/>
        </w:rPr>
        <w:t>②公安机关颁发的有效的《保安服务许可证》（提供《保安服务许可证》复印件或扫描件）；非深圳市登记注册的投标人应同时提供在深圳市公安机关的备案证明复印件或扫描件，或承诺中标后在合同履行前完成在深圳市公安机关的备案（提供《承诺函》，格式自拟）；如国家另有规定的，则适用其规定，投标人须提供相关证明材料</w:t>
      </w:r>
      <w:r>
        <w:rPr>
          <w:rFonts w:hint="eastAsia" w:ascii="宋体" w:hAnsi="宋体" w:cs="宋体"/>
          <w:snapToGrid w:val="0"/>
          <w:kern w:val="0"/>
          <w:szCs w:val="21"/>
        </w:rPr>
        <w:t>；</w:t>
      </w:r>
    </w:p>
    <w:p w14:paraId="7AE4B4D7">
      <w:pPr>
        <w:adjustRightInd w:val="0"/>
        <w:snapToGrid w:val="0"/>
        <w:spacing w:line="360" w:lineRule="auto"/>
        <w:rPr>
          <w:rFonts w:ascii="宋体" w:hAnsi="宋体" w:cs="宋体"/>
          <w:snapToGrid w:val="0"/>
          <w:kern w:val="0"/>
          <w:szCs w:val="21"/>
        </w:rPr>
      </w:pPr>
      <w:r>
        <w:rPr>
          <w:rFonts w:hint="eastAsia" w:ascii="宋体" w:hAnsi="宋体" w:cs="宋体"/>
          <w:snapToGrid w:val="0"/>
          <w:kern w:val="0"/>
          <w:szCs w:val="21"/>
        </w:rPr>
        <w:t>4、其它资格证明材料（如有，按第一章投标邀请“申请人的资格要求”提供）。</w:t>
      </w:r>
    </w:p>
    <w:p w14:paraId="29FE5A17">
      <w:pPr>
        <w:adjustRightInd w:val="0"/>
        <w:snapToGrid w:val="0"/>
        <w:spacing w:line="360" w:lineRule="auto"/>
        <w:ind w:firstLine="424" w:firstLineChars="202"/>
        <w:rPr>
          <w:rFonts w:ascii="宋体" w:hAnsi="宋体"/>
          <w:bCs/>
          <w:snapToGrid w:val="0"/>
          <w:kern w:val="0"/>
        </w:rPr>
      </w:pPr>
    </w:p>
    <w:p w14:paraId="6C09E37C">
      <w:pPr>
        <w:adjustRightInd w:val="0"/>
        <w:snapToGrid w:val="0"/>
        <w:spacing w:line="360" w:lineRule="auto"/>
        <w:rPr>
          <w:rFonts w:ascii="楷体_GB2312" w:eastAsia="楷体_GB2312"/>
          <w:b/>
          <w:bCs/>
          <w:snapToGrid w:val="0"/>
          <w:kern w:val="0"/>
          <w:szCs w:val="21"/>
        </w:rPr>
      </w:pPr>
      <w:r>
        <w:rPr>
          <w:rFonts w:hint="eastAsia" w:ascii="楷体_GB2312" w:eastAsia="楷体_GB2312"/>
          <w:b/>
          <w:bCs/>
          <w:snapToGrid w:val="0"/>
          <w:kern w:val="0"/>
          <w:szCs w:val="21"/>
        </w:rPr>
        <w:t>注：投标人提供的以上资料若为复印件或扫描件需加盖公章</w:t>
      </w:r>
    </w:p>
    <w:p w14:paraId="4BACA103">
      <w:pPr>
        <w:rPr>
          <w:snapToGrid w:val="0"/>
          <w:kern w:val="0"/>
        </w:rPr>
      </w:pPr>
      <w:r>
        <w:rPr>
          <w:snapToGrid w:val="0"/>
          <w:kern w:val="0"/>
        </w:rPr>
        <w:br w:type="page"/>
      </w:r>
    </w:p>
    <w:p w14:paraId="5752C933">
      <w:pPr>
        <w:adjustRightInd w:val="0"/>
        <w:snapToGrid w:val="0"/>
        <w:spacing w:line="300" w:lineRule="auto"/>
        <w:jc w:val="right"/>
        <w:rPr>
          <w:snapToGrid w:val="0"/>
          <w:kern w:val="0"/>
        </w:rPr>
      </w:pPr>
    </w:p>
    <w:p w14:paraId="6D16CC49">
      <w:pPr>
        <w:rPr>
          <w:rFonts w:ascii="Calibri" w:hAnsi="Calibri"/>
          <w:szCs w:val="22"/>
        </w:rPr>
      </w:pPr>
    </w:p>
    <w:p w14:paraId="169F63B9">
      <w:pPr>
        <w:adjustRightInd w:val="0"/>
        <w:spacing w:line="300" w:lineRule="auto"/>
        <w:ind w:hanging="2"/>
        <w:jc w:val="center"/>
        <w:rPr>
          <w:sz w:val="28"/>
          <w:szCs w:val="28"/>
        </w:rPr>
      </w:pPr>
      <w:r>
        <w:rPr>
          <w:rFonts w:hint="eastAsia"/>
          <w:b/>
          <w:snapToGrid w:val="0"/>
          <w:kern w:val="0"/>
          <w:sz w:val="28"/>
          <w:szCs w:val="28"/>
        </w:rPr>
        <w:t>声明函</w:t>
      </w:r>
    </w:p>
    <w:p w14:paraId="30420B28">
      <w:pPr>
        <w:spacing w:line="400" w:lineRule="exact"/>
        <w:rPr>
          <w:rFonts w:ascii="宋体" w:hAnsi="宋体" w:cs="Courier New"/>
          <w:snapToGrid w:val="0"/>
          <w:szCs w:val="18"/>
        </w:rPr>
      </w:pPr>
    </w:p>
    <w:p w14:paraId="4D0AB3C0">
      <w:pPr>
        <w:spacing w:line="400" w:lineRule="exact"/>
        <w:rPr>
          <w:rFonts w:ascii="宋体" w:hAnsi="宋体" w:cs="Courier New"/>
          <w:snapToGrid w:val="0"/>
          <w:szCs w:val="18"/>
        </w:rPr>
      </w:pPr>
      <w:r>
        <w:rPr>
          <w:rFonts w:hint="eastAsia" w:ascii="宋体" w:hAnsi="宋体" w:cs="Courier New"/>
          <w:snapToGrid w:val="0"/>
          <w:szCs w:val="18"/>
        </w:rPr>
        <w:t>深圳市中正招标有限公司：</w:t>
      </w:r>
    </w:p>
    <w:p w14:paraId="36B3A491">
      <w:pPr>
        <w:spacing w:line="400" w:lineRule="exact"/>
        <w:ind w:firstLine="420" w:firstLineChars="200"/>
        <w:rPr>
          <w:rFonts w:ascii="宋体" w:hAnsi="宋体" w:cs="Courier New"/>
          <w:snapToGrid w:val="0"/>
          <w:szCs w:val="18"/>
        </w:rPr>
      </w:pPr>
      <w:r>
        <w:rPr>
          <w:rFonts w:hint="eastAsia" w:ascii="宋体" w:hAnsi="宋体" w:cs="Courier New"/>
          <w:snapToGrid w:val="0"/>
          <w:szCs w:val="18"/>
        </w:rPr>
        <w:t>我单位声明：</w:t>
      </w:r>
    </w:p>
    <w:p w14:paraId="21498FF0">
      <w:pPr>
        <w:spacing w:line="400" w:lineRule="exact"/>
        <w:ind w:firstLine="420" w:firstLineChars="200"/>
        <w:rPr>
          <w:rFonts w:ascii="宋体" w:hAnsi="宋体"/>
          <w:szCs w:val="21"/>
        </w:rPr>
      </w:pPr>
      <w:r>
        <w:rPr>
          <w:rFonts w:hint="eastAsia" w:ascii="宋体" w:hAnsi="宋体"/>
          <w:szCs w:val="21"/>
        </w:rPr>
        <w:t>1.我单位符合《中华人民共和国政府采购法》第二十二条规定的下列条件：</w:t>
      </w:r>
    </w:p>
    <w:p w14:paraId="32339A17">
      <w:pPr>
        <w:spacing w:line="400" w:lineRule="exact"/>
        <w:ind w:firstLine="420" w:firstLineChars="200"/>
        <w:rPr>
          <w:rFonts w:ascii="宋体" w:hAnsi="宋体"/>
          <w:szCs w:val="21"/>
        </w:rPr>
      </w:pPr>
      <w:r>
        <w:rPr>
          <w:rFonts w:hint="eastAsia" w:ascii="宋体" w:hAnsi="宋体"/>
          <w:szCs w:val="21"/>
        </w:rPr>
        <w:t>（1）具有独立承担民事责任的能力；</w:t>
      </w:r>
    </w:p>
    <w:p w14:paraId="11E0CA61">
      <w:pPr>
        <w:spacing w:line="400" w:lineRule="exact"/>
        <w:ind w:firstLine="420" w:firstLineChars="200"/>
        <w:rPr>
          <w:rFonts w:ascii="宋体" w:hAnsi="宋体"/>
          <w:szCs w:val="21"/>
        </w:rPr>
      </w:pPr>
      <w:r>
        <w:rPr>
          <w:rFonts w:hint="eastAsia" w:ascii="宋体" w:hAnsi="宋体"/>
          <w:szCs w:val="21"/>
        </w:rPr>
        <w:t>（2）具有良好的商业信誉和健全的财务会计制度；</w:t>
      </w:r>
    </w:p>
    <w:p w14:paraId="5DBB0C38">
      <w:pPr>
        <w:spacing w:line="400" w:lineRule="exact"/>
        <w:ind w:firstLine="420" w:firstLineChars="200"/>
        <w:rPr>
          <w:rFonts w:ascii="宋体" w:hAnsi="宋体"/>
          <w:szCs w:val="21"/>
        </w:rPr>
      </w:pPr>
      <w:r>
        <w:rPr>
          <w:rFonts w:hint="eastAsia" w:ascii="宋体" w:hAnsi="宋体"/>
          <w:szCs w:val="21"/>
        </w:rPr>
        <w:t>（3）具有履行合同所必需的设备和专业技术能力；</w:t>
      </w:r>
    </w:p>
    <w:p w14:paraId="730723B0">
      <w:pPr>
        <w:spacing w:line="400" w:lineRule="exact"/>
        <w:ind w:firstLine="420" w:firstLineChars="200"/>
        <w:rPr>
          <w:rFonts w:ascii="宋体" w:hAnsi="宋体"/>
          <w:szCs w:val="21"/>
        </w:rPr>
      </w:pPr>
      <w:r>
        <w:rPr>
          <w:rFonts w:hint="eastAsia" w:ascii="宋体" w:hAnsi="宋体"/>
          <w:szCs w:val="21"/>
        </w:rPr>
        <w:t>（4）有依法缴纳税收和社会保障资金的良好记录；</w:t>
      </w:r>
    </w:p>
    <w:p w14:paraId="6639AA0E">
      <w:pPr>
        <w:spacing w:line="400" w:lineRule="exact"/>
        <w:ind w:firstLine="420" w:firstLineChars="200"/>
        <w:rPr>
          <w:rFonts w:ascii="宋体" w:hAnsi="宋体"/>
          <w:szCs w:val="21"/>
        </w:rPr>
      </w:pPr>
      <w:r>
        <w:rPr>
          <w:rFonts w:hint="eastAsia" w:ascii="宋体" w:hAnsi="宋体"/>
          <w:szCs w:val="21"/>
        </w:rPr>
        <w:t>（5）参加政府采购活动前三年内，在经营活动中没有重大违法记录；</w:t>
      </w:r>
    </w:p>
    <w:p w14:paraId="08EC154C">
      <w:pPr>
        <w:spacing w:line="400" w:lineRule="exact"/>
        <w:ind w:firstLine="420" w:firstLineChars="200"/>
        <w:rPr>
          <w:rFonts w:ascii="宋体" w:hAnsi="宋体"/>
          <w:szCs w:val="21"/>
        </w:rPr>
      </w:pPr>
      <w:r>
        <w:rPr>
          <w:rFonts w:hint="eastAsia" w:ascii="宋体" w:hAnsi="宋体"/>
          <w:szCs w:val="21"/>
        </w:rPr>
        <w:t>（6）法律、行政法规规定的其他条件。</w:t>
      </w:r>
    </w:p>
    <w:p w14:paraId="25D2B8A9">
      <w:pPr>
        <w:spacing w:line="400" w:lineRule="exact"/>
        <w:ind w:firstLine="420" w:firstLineChars="200"/>
        <w:rPr>
          <w:rFonts w:ascii="宋体" w:hAnsi="宋体"/>
          <w:szCs w:val="21"/>
        </w:rPr>
      </w:pPr>
      <w:r>
        <w:rPr>
          <w:rFonts w:hint="eastAsia" w:ascii="宋体" w:hAnsi="宋体"/>
          <w:szCs w:val="21"/>
        </w:rPr>
        <w:t>2.我单位参</w:t>
      </w:r>
      <w:r>
        <w:rPr>
          <w:rFonts w:hint="eastAsia" w:ascii="宋体" w:hAnsi="宋体" w:cs="宋体"/>
          <w:snapToGrid w:val="0"/>
          <w:kern w:val="0"/>
          <w:szCs w:val="21"/>
        </w:rPr>
        <w:t>与本项目采购活动前三年内，在经营活动中没有重大违法记录</w:t>
      </w:r>
      <w:r>
        <w:rPr>
          <w:rFonts w:hint="eastAsia" w:ascii="宋体" w:hAnsi="宋体"/>
          <w:szCs w:val="21"/>
        </w:rPr>
        <w:t>。</w:t>
      </w:r>
    </w:p>
    <w:p w14:paraId="5F125EAF">
      <w:pPr>
        <w:spacing w:line="400" w:lineRule="exact"/>
        <w:ind w:firstLine="420" w:firstLineChars="200"/>
        <w:rPr>
          <w:rFonts w:ascii="宋体" w:hAnsi="宋体"/>
          <w:szCs w:val="21"/>
        </w:rPr>
      </w:pPr>
      <w:r>
        <w:rPr>
          <w:rFonts w:hint="eastAsia" w:ascii="宋体" w:hAnsi="宋体"/>
          <w:szCs w:val="21"/>
        </w:rPr>
        <w:t>3.我单位参与本项目政府采购活动时不存在被有关部门禁止参与政府采购活动且在有效期内的情况。</w:t>
      </w:r>
    </w:p>
    <w:p w14:paraId="684E041A">
      <w:pPr>
        <w:spacing w:line="400" w:lineRule="exact"/>
        <w:ind w:firstLine="420" w:firstLineChars="200"/>
        <w:rPr>
          <w:rFonts w:ascii="宋体" w:hAnsi="宋体"/>
          <w:szCs w:val="21"/>
        </w:rPr>
      </w:pPr>
      <w:r>
        <w:rPr>
          <w:rFonts w:hint="eastAsia" w:ascii="宋体" w:hAnsi="宋体"/>
          <w:szCs w:val="21"/>
        </w:rPr>
        <w:t>4.我单位承诺没有为采购项目提供整体设计、规范编制或者项目管理、监理、检测等服务。</w:t>
      </w:r>
    </w:p>
    <w:p w14:paraId="77154694">
      <w:pPr>
        <w:spacing w:line="400" w:lineRule="exact"/>
        <w:ind w:firstLine="420" w:firstLineChars="200"/>
        <w:rPr>
          <w:rFonts w:ascii="宋体" w:hAnsi="宋体"/>
          <w:szCs w:val="21"/>
        </w:rPr>
      </w:pPr>
      <w:r>
        <w:rPr>
          <w:rFonts w:hint="eastAsia" w:ascii="宋体" w:hAnsi="宋体"/>
          <w:szCs w:val="21"/>
        </w:rPr>
        <w:t>5.我单位参与本项目政府采购活动不存在与其他采购参加人串通投标，隐瞒真实情况，提供虚假资料等违法违规情形。</w:t>
      </w:r>
    </w:p>
    <w:p w14:paraId="336C5A48">
      <w:pPr>
        <w:spacing w:line="400" w:lineRule="exact"/>
        <w:ind w:firstLine="420" w:firstLineChars="200"/>
        <w:rPr>
          <w:rFonts w:ascii="宋体" w:hAnsi="宋体"/>
          <w:szCs w:val="21"/>
        </w:rPr>
      </w:pPr>
      <w:r>
        <w:rPr>
          <w:rFonts w:hint="eastAsia" w:ascii="宋体" w:hAnsi="宋体"/>
          <w:szCs w:val="21"/>
        </w:rPr>
        <w:t>6.我单位承诺非联合体投标，无</w:t>
      </w:r>
      <w:r>
        <w:rPr>
          <w:rFonts w:hint="eastAsia" w:ascii="宋体" w:hAnsi="宋体" w:cs="宋体"/>
          <w:snapToGrid w:val="0"/>
          <w:kern w:val="0"/>
          <w:szCs w:val="21"/>
        </w:rPr>
        <w:t>挂靠、分包或转包</w:t>
      </w:r>
      <w:r>
        <w:rPr>
          <w:rFonts w:hint="eastAsia" w:ascii="宋体" w:hAnsi="宋体"/>
          <w:color w:val="000000"/>
          <w:szCs w:val="21"/>
        </w:rPr>
        <w:t>。</w:t>
      </w:r>
    </w:p>
    <w:p w14:paraId="6A57E8E7">
      <w:pPr>
        <w:spacing w:line="360" w:lineRule="auto"/>
        <w:ind w:firstLine="600"/>
        <w:rPr>
          <w:rFonts w:cs="Courier New"/>
          <w:snapToGrid w:val="0"/>
          <w:szCs w:val="18"/>
        </w:rPr>
      </w:pPr>
    </w:p>
    <w:p w14:paraId="5339E850">
      <w:pPr>
        <w:adjustRightInd w:val="0"/>
        <w:snapToGrid w:val="0"/>
        <w:spacing w:line="300" w:lineRule="auto"/>
        <w:rPr>
          <w:snapToGrid w:val="0"/>
          <w:kern w:val="0"/>
        </w:rPr>
      </w:pPr>
    </w:p>
    <w:p w14:paraId="589274E5">
      <w:pPr>
        <w:adjustRightInd w:val="0"/>
        <w:snapToGrid w:val="0"/>
        <w:spacing w:line="300" w:lineRule="auto"/>
        <w:ind w:firstLine="6930" w:firstLineChars="3300"/>
        <w:rPr>
          <w:snapToGrid w:val="0"/>
          <w:kern w:val="0"/>
        </w:rPr>
      </w:pPr>
      <w:r>
        <w:rPr>
          <w:rFonts w:hint="eastAsia"/>
          <w:snapToGrid w:val="0"/>
          <w:kern w:val="0"/>
        </w:rPr>
        <w:t>投标单位：（盖公章）</w:t>
      </w:r>
    </w:p>
    <w:p w14:paraId="560B1B67">
      <w:pPr>
        <w:adjustRightInd w:val="0"/>
        <w:snapToGrid w:val="0"/>
        <w:spacing w:line="300" w:lineRule="auto"/>
        <w:rPr>
          <w:snapToGrid w:val="0"/>
          <w:kern w:val="0"/>
        </w:rPr>
      </w:pPr>
    </w:p>
    <w:p w14:paraId="68ECD6A4">
      <w:pPr>
        <w:adjustRightInd w:val="0"/>
        <w:snapToGrid w:val="0"/>
        <w:spacing w:line="300" w:lineRule="auto"/>
        <w:rPr>
          <w:snapToGrid w:val="0"/>
          <w:kern w:val="0"/>
        </w:rPr>
      </w:pPr>
    </w:p>
    <w:p w14:paraId="5B314CB8">
      <w:pPr>
        <w:adjustRightInd w:val="0"/>
        <w:snapToGrid w:val="0"/>
        <w:spacing w:line="300" w:lineRule="auto"/>
        <w:ind w:right="420"/>
        <w:rPr>
          <w:snapToGrid w:val="0"/>
          <w:kern w:val="0"/>
        </w:rPr>
      </w:pPr>
    </w:p>
    <w:p w14:paraId="109D2291">
      <w:pPr>
        <w:adjustRightInd w:val="0"/>
        <w:snapToGrid w:val="0"/>
        <w:spacing w:line="360" w:lineRule="auto"/>
        <w:ind w:firstLine="600"/>
        <w:jc w:val="right"/>
      </w:pPr>
      <w:r>
        <w:rPr>
          <w:rFonts w:hint="eastAsia"/>
        </w:rPr>
        <w:t>年     月    日</w:t>
      </w:r>
    </w:p>
    <w:p w14:paraId="5ABAADB7">
      <w:pPr>
        <w:adjustRightInd w:val="0"/>
        <w:snapToGrid w:val="0"/>
        <w:spacing w:line="312" w:lineRule="auto"/>
        <w:ind w:firstLine="568"/>
        <w:jc w:val="center"/>
        <w:rPr>
          <w:rFonts w:ascii="宋体" w:hAnsi="宋体"/>
          <w:b/>
          <w:bCs/>
          <w:kern w:val="0"/>
          <w:sz w:val="28"/>
          <w:szCs w:val="28"/>
        </w:rPr>
        <w:sectPr>
          <w:pgSz w:w="11906" w:h="16838"/>
          <w:pgMar w:top="1440" w:right="1417" w:bottom="1440" w:left="1417" w:header="851" w:footer="992" w:gutter="0"/>
          <w:cols w:space="720" w:num="1"/>
          <w:titlePg/>
          <w:docGrid w:type="lines" w:linePitch="312" w:charSpace="0"/>
        </w:sectPr>
      </w:pPr>
    </w:p>
    <w:p w14:paraId="0599C8EF">
      <w:pPr>
        <w:adjustRightInd w:val="0"/>
        <w:snapToGrid w:val="0"/>
        <w:spacing w:line="360" w:lineRule="auto"/>
        <w:ind w:firstLine="600"/>
        <w:jc w:val="right"/>
      </w:pPr>
    </w:p>
    <w:p w14:paraId="1C13DCA2">
      <w:pPr>
        <w:tabs>
          <w:tab w:val="left" w:pos="450"/>
        </w:tabs>
        <w:jc w:val="center"/>
        <w:rPr>
          <w:rFonts w:ascii="宋体" w:hAnsi="宋体"/>
          <w:b/>
          <w:sz w:val="28"/>
          <w:szCs w:val="28"/>
        </w:rPr>
      </w:pPr>
      <w:r>
        <w:rPr>
          <w:rFonts w:hint="eastAsia" w:ascii="宋体" w:hAnsi="宋体"/>
          <w:b/>
          <w:sz w:val="28"/>
          <w:szCs w:val="28"/>
        </w:rPr>
        <w:t>法定代表人（负责人）证明书（参考）</w:t>
      </w:r>
    </w:p>
    <w:p w14:paraId="127C7847">
      <w:pPr>
        <w:spacing w:line="400" w:lineRule="exact"/>
        <w:rPr>
          <w:rFonts w:ascii="宋体" w:hAnsi="宋体"/>
          <w:bCs/>
          <w:sz w:val="28"/>
        </w:rPr>
      </w:pPr>
    </w:p>
    <w:p w14:paraId="084605AF">
      <w:pPr>
        <w:tabs>
          <w:tab w:val="left" w:pos="900"/>
        </w:tabs>
        <w:spacing w:line="480" w:lineRule="auto"/>
        <w:ind w:firstLine="945" w:firstLineChars="450"/>
        <w:rPr>
          <w:rFonts w:ascii="宋体" w:hAnsi="宋体"/>
        </w:rPr>
      </w:pPr>
      <w:r>
        <w:rPr>
          <w:rFonts w:hint="eastAsia" w:ascii="宋体" w:hAnsi="宋体"/>
        </w:rPr>
        <w:t>______________同志，现任我单位职务，为法定代表人（负责人），特此证明。</w:t>
      </w:r>
    </w:p>
    <w:p w14:paraId="27147C71">
      <w:pPr>
        <w:spacing w:line="480" w:lineRule="auto"/>
        <w:ind w:firstLine="420" w:firstLineChars="200"/>
        <w:rPr>
          <w:rFonts w:ascii="宋体" w:hAnsi="宋体"/>
        </w:rPr>
      </w:pPr>
      <w:r>
        <w:rPr>
          <w:rFonts w:hint="eastAsia" w:ascii="宋体" w:hAnsi="宋体"/>
        </w:rPr>
        <w:t>有效日期与本公司投标文件中标注的投标有效期相同。签发日期：年月日</w:t>
      </w:r>
    </w:p>
    <w:p w14:paraId="4264D0F8">
      <w:pPr>
        <w:spacing w:line="480" w:lineRule="auto"/>
        <w:ind w:firstLine="420" w:firstLineChars="200"/>
        <w:rPr>
          <w:rFonts w:ascii="宋体" w:hAnsi="宋体"/>
        </w:rPr>
      </w:pPr>
      <w:r>
        <w:rPr>
          <w:rFonts w:hint="eastAsia" w:ascii="宋体" w:hAnsi="宋体"/>
        </w:rPr>
        <w:t>附：</w:t>
      </w:r>
    </w:p>
    <w:p w14:paraId="7BBB2A0E">
      <w:pPr>
        <w:spacing w:line="480" w:lineRule="auto"/>
        <w:ind w:firstLine="840" w:firstLineChars="400"/>
        <w:rPr>
          <w:rFonts w:ascii="宋体" w:hAnsi="宋体"/>
        </w:rPr>
      </w:pPr>
      <w:r>
        <w:rPr>
          <w:rFonts w:hint="eastAsia" w:ascii="宋体" w:hAnsi="宋体"/>
        </w:rPr>
        <w:t xml:space="preserve">营业执照（注册号）：                       </w:t>
      </w:r>
    </w:p>
    <w:p w14:paraId="5E47529D">
      <w:pPr>
        <w:spacing w:line="480" w:lineRule="auto"/>
        <w:ind w:firstLine="840" w:firstLineChars="400"/>
        <w:rPr>
          <w:rFonts w:ascii="宋体" w:hAnsi="宋体"/>
        </w:rPr>
      </w:pPr>
      <w:r>
        <w:rPr>
          <w:rFonts w:hint="eastAsia" w:ascii="宋体" w:hAnsi="宋体"/>
        </w:rPr>
        <w:t>经济性质：</w:t>
      </w:r>
    </w:p>
    <w:p w14:paraId="14C639C6">
      <w:pPr>
        <w:spacing w:line="480" w:lineRule="auto"/>
        <w:ind w:firstLine="840" w:firstLineChars="400"/>
        <w:rPr>
          <w:rFonts w:ascii="宋体" w:hAnsi="宋体"/>
        </w:rPr>
      </w:pPr>
      <w:r>
        <w:rPr>
          <w:rFonts w:hint="eastAsia" w:ascii="宋体" w:hAnsi="宋体"/>
        </w:rPr>
        <w:t>主营（产）：</w:t>
      </w:r>
    </w:p>
    <w:p w14:paraId="38818464">
      <w:pPr>
        <w:spacing w:line="480" w:lineRule="auto"/>
        <w:ind w:firstLine="840" w:firstLineChars="400"/>
        <w:rPr>
          <w:rFonts w:ascii="宋体" w:hAnsi="宋体"/>
        </w:rPr>
      </w:pPr>
      <w:r>
        <w:rPr>
          <w:rFonts w:hint="eastAsia" w:ascii="宋体" w:hAnsi="宋体"/>
        </w:rPr>
        <w:t>兼营（产）：</w:t>
      </w:r>
    </w:p>
    <w:p w14:paraId="1ED43C18">
      <w:pPr>
        <w:spacing w:line="480" w:lineRule="auto"/>
        <w:ind w:firstLine="960" w:firstLineChars="400"/>
        <w:rPr>
          <w:rFonts w:ascii="宋体" w:hAnsi="宋体"/>
          <w:sz w:val="24"/>
        </w:rPr>
      </w:pPr>
    </w:p>
    <w:p w14:paraId="1CCB1766">
      <w:pPr>
        <w:spacing w:line="500" w:lineRule="exact"/>
        <w:rPr>
          <w:rFonts w:ascii="宋体"/>
          <w:b/>
          <w:bCs/>
        </w:rPr>
      </w:pPr>
      <w:r>
        <w:rPr>
          <w:rFonts w:ascii="宋体"/>
          <w:b/>
          <w:bCs/>
        </w:rPr>
        <mc:AlternateContent>
          <mc:Choice Requires="wps">
            <w:drawing>
              <wp:anchor distT="0" distB="0" distL="114300" distR="114300" simplePos="0" relativeHeight="251672576" behindDoc="0" locked="0" layoutInCell="1" allowOverlap="1">
                <wp:simplePos x="0" y="0"/>
                <wp:positionH relativeFrom="column">
                  <wp:posOffset>3183255</wp:posOffset>
                </wp:positionH>
                <wp:positionV relativeFrom="paragraph">
                  <wp:posOffset>136525</wp:posOffset>
                </wp:positionV>
                <wp:extent cx="3086100" cy="1981200"/>
                <wp:effectExtent l="4445" t="5080" r="14605" b="13970"/>
                <wp:wrapNone/>
                <wp:docPr id="2" name="矩形 1"/>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8BA1A7">
                            <w:pPr>
                              <w:ind w:firstLine="1260" w:firstLineChars="600"/>
                            </w:pPr>
                            <w:r>
                              <w:rPr>
                                <w:rFonts w:hint="eastAsia"/>
                              </w:rPr>
                              <w:t>法定代表人（负责人）</w:t>
                            </w:r>
                          </w:p>
                          <w:p w14:paraId="728E967F">
                            <w:pPr>
                              <w:ind w:firstLine="1050" w:firstLineChars="500"/>
                            </w:pPr>
                            <w:r>
                              <w:rPr>
                                <w:rFonts w:hint="eastAsia"/>
                              </w:rPr>
                              <w:t xml:space="preserve"> 居民身份证复印件粘贴处</w:t>
                            </w:r>
                          </w:p>
                          <w:p w14:paraId="7DA46A64">
                            <w:pPr>
                              <w:ind w:firstLine="1050" w:firstLineChars="500"/>
                            </w:pPr>
                          </w:p>
                          <w:p w14:paraId="6A6795EE">
                            <w:pPr>
                              <w:ind w:firstLine="1785" w:firstLineChars="850"/>
                            </w:pPr>
                            <w:r>
                              <w:rPr>
                                <w:rFonts w:hint="eastAsia"/>
                              </w:rPr>
                              <w:t>（反面）</w:t>
                            </w:r>
                          </w:p>
                          <w:p w14:paraId="1E40E465">
                            <w:pPr>
                              <w:ind w:firstLine="1050" w:firstLineChars="500"/>
                            </w:pPr>
                          </w:p>
                          <w:p w14:paraId="6D7FDD2E"/>
                        </w:txbxContent>
                      </wps:txbx>
                      <wps:bodyPr upright="1"/>
                    </wps:wsp>
                  </a:graphicData>
                </a:graphic>
              </wp:anchor>
            </w:drawing>
          </mc:Choice>
          <mc:Fallback>
            <w:pict>
              <v:rect id="矩形 1" o:spid="_x0000_s1026" o:spt="1" style="position:absolute;left:0pt;margin-left:250.65pt;margin-top:10.75pt;height:156pt;width:243pt;z-index:251672576;mso-width-relative:page;mso-height-relative:page;" fillcolor="#FFFFFF" filled="t" stroked="t" coordsize="21600,21600" o:gfxdata="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Lbtl9gAAAAKAQAADwAAAAAAAAABACAAAAAiAAAAZHJz&#10;L2Rvd25yZXYueG1sUEsBAhQAFAAAAAgAh07iQEP8oOIEAgAAOAQAAA4AAAAAAAAAAQAgAAAAJwEA&#10;AGRycy9lMm9Eb2MueG1sUEsFBgAAAAAGAAYAWQEAAJ0FAAAAAA==&#10;">
                <v:fill on="t" focussize="0,0"/>
                <v:stroke color="#000000" joinstyle="miter"/>
                <v:imagedata o:title=""/>
                <o:lock v:ext="edit" aspectratio="f"/>
                <v:textbox>
                  <w:txbxContent>
                    <w:p w14:paraId="508BA1A7">
                      <w:pPr>
                        <w:ind w:firstLine="1260" w:firstLineChars="600"/>
                      </w:pPr>
                      <w:r>
                        <w:rPr>
                          <w:rFonts w:hint="eastAsia"/>
                        </w:rPr>
                        <w:t>法定代表人（负责人）</w:t>
                      </w:r>
                    </w:p>
                    <w:p w14:paraId="728E967F">
                      <w:pPr>
                        <w:ind w:firstLine="1050" w:firstLineChars="500"/>
                      </w:pPr>
                      <w:r>
                        <w:rPr>
                          <w:rFonts w:hint="eastAsia"/>
                        </w:rPr>
                        <w:t xml:space="preserve"> 居民身份证复印件粘贴处</w:t>
                      </w:r>
                    </w:p>
                    <w:p w14:paraId="7DA46A64">
                      <w:pPr>
                        <w:ind w:firstLine="1050" w:firstLineChars="500"/>
                      </w:pPr>
                    </w:p>
                    <w:p w14:paraId="6A6795EE">
                      <w:pPr>
                        <w:ind w:firstLine="1785" w:firstLineChars="850"/>
                      </w:pPr>
                      <w:r>
                        <w:rPr>
                          <w:rFonts w:hint="eastAsia"/>
                        </w:rPr>
                        <w:t>（反面）</w:t>
                      </w:r>
                    </w:p>
                    <w:p w14:paraId="1E40E465">
                      <w:pPr>
                        <w:ind w:firstLine="1050" w:firstLineChars="500"/>
                      </w:pPr>
                    </w:p>
                    <w:p w14:paraId="6D7FDD2E"/>
                  </w:txbxContent>
                </v:textbox>
              </v:rect>
            </w:pict>
          </mc:Fallback>
        </mc:AlternateContent>
      </w:r>
      <w:r>
        <w:rPr>
          <w:rFonts w:ascii="宋体"/>
          <w:b/>
          <w:bCs/>
        </w:rPr>
        <mc:AlternateContent>
          <mc:Choice Requires="wps">
            <w:drawing>
              <wp:anchor distT="0" distB="0" distL="114300" distR="114300" simplePos="0" relativeHeight="251671552" behindDoc="0" locked="0" layoutInCell="1" allowOverlap="1">
                <wp:simplePos x="0" y="0"/>
                <wp:positionH relativeFrom="column">
                  <wp:posOffset>-150495</wp:posOffset>
                </wp:positionH>
                <wp:positionV relativeFrom="paragraph">
                  <wp:posOffset>136525</wp:posOffset>
                </wp:positionV>
                <wp:extent cx="3086100" cy="1981200"/>
                <wp:effectExtent l="4445" t="5080" r="14605" b="13970"/>
                <wp:wrapNone/>
                <wp:docPr id="4" name="矩形 4"/>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929970">
                            <w:pPr>
                              <w:ind w:firstLine="1260" w:firstLineChars="600"/>
                              <w:jc w:val="left"/>
                            </w:pPr>
                            <w:r>
                              <w:rPr>
                                <w:rFonts w:hint="eastAsia"/>
                              </w:rPr>
                              <w:t>法定代表人（负责人）</w:t>
                            </w:r>
                          </w:p>
                          <w:p w14:paraId="4C2A19A7">
                            <w:pPr>
                              <w:ind w:firstLine="1050" w:firstLineChars="500"/>
                              <w:jc w:val="left"/>
                            </w:pPr>
                            <w:r>
                              <w:rPr>
                                <w:rFonts w:hint="eastAsia"/>
                              </w:rPr>
                              <w:t xml:space="preserve"> 居民身份证复印件粘贴处</w:t>
                            </w:r>
                          </w:p>
                          <w:p w14:paraId="17CD998A">
                            <w:pPr>
                              <w:ind w:firstLine="1050" w:firstLineChars="500"/>
                              <w:jc w:val="left"/>
                            </w:pPr>
                          </w:p>
                          <w:p w14:paraId="43326F1C">
                            <w:pPr>
                              <w:ind w:firstLine="1785" w:firstLineChars="850"/>
                              <w:jc w:val="left"/>
                            </w:pPr>
                            <w:r>
                              <w:rPr>
                                <w:rFonts w:hint="eastAsia"/>
                              </w:rPr>
                              <w:t>（正面）</w:t>
                            </w:r>
                          </w:p>
                          <w:p w14:paraId="0681E6CC">
                            <w:pPr>
                              <w:ind w:firstLine="1050" w:firstLineChars="500"/>
                              <w:jc w:val="left"/>
                            </w:pPr>
                          </w:p>
                          <w:p w14:paraId="369C24B3">
                            <w:pPr>
                              <w:jc w:val="left"/>
                            </w:pPr>
                          </w:p>
                        </w:txbxContent>
                      </wps:txbx>
                      <wps:bodyPr upright="1"/>
                    </wps:wsp>
                  </a:graphicData>
                </a:graphic>
              </wp:anchor>
            </w:drawing>
          </mc:Choice>
          <mc:Fallback>
            <w:pict>
              <v:rect id="_x0000_s1026" o:spid="_x0000_s1026" o:spt="1" style="position:absolute;left:0pt;margin-left:-11.85pt;margin-top:10.75pt;height:156pt;width:243pt;z-index:251671552;mso-width-relative:page;mso-height-relative:page;" fillcolor="#FFFFFF" filled="t" stroked="t" coordsize="21600,21600" o:gfxdata="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&#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f1/F2QAAAAoBAAAPAAAAAAAAAAEAIAAAACIAAABk&#10;cnMvZG93bnJldi54bWxQSwECFAAUAAAACACHTuJAKCN1+wUCAAA4BAAADgAAAAAAAAABACAAAAAo&#10;AQAAZHJzL2Uyb0RvYy54bWxQSwUGAAAAAAYABgBZAQAAnwUAAAAA&#10;">
                <v:fill on="t" focussize="0,0"/>
                <v:stroke color="#000000" joinstyle="miter"/>
                <v:imagedata o:title=""/>
                <o:lock v:ext="edit" aspectratio="f"/>
                <v:textbox>
                  <w:txbxContent>
                    <w:p w14:paraId="2B929970">
                      <w:pPr>
                        <w:ind w:firstLine="1260" w:firstLineChars="600"/>
                        <w:jc w:val="left"/>
                      </w:pPr>
                      <w:r>
                        <w:rPr>
                          <w:rFonts w:hint="eastAsia"/>
                        </w:rPr>
                        <w:t>法定代表人（负责人）</w:t>
                      </w:r>
                    </w:p>
                    <w:p w14:paraId="4C2A19A7">
                      <w:pPr>
                        <w:ind w:firstLine="1050" w:firstLineChars="500"/>
                        <w:jc w:val="left"/>
                      </w:pPr>
                      <w:r>
                        <w:rPr>
                          <w:rFonts w:hint="eastAsia"/>
                        </w:rPr>
                        <w:t xml:space="preserve"> 居民身份证复印件粘贴处</w:t>
                      </w:r>
                    </w:p>
                    <w:p w14:paraId="17CD998A">
                      <w:pPr>
                        <w:ind w:firstLine="1050" w:firstLineChars="500"/>
                        <w:jc w:val="left"/>
                      </w:pPr>
                    </w:p>
                    <w:p w14:paraId="43326F1C">
                      <w:pPr>
                        <w:ind w:firstLine="1785" w:firstLineChars="850"/>
                        <w:jc w:val="left"/>
                      </w:pPr>
                      <w:r>
                        <w:rPr>
                          <w:rFonts w:hint="eastAsia"/>
                        </w:rPr>
                        <w:t>（正面）</w:t>
                      </w:r>
                    </w:p>
                    <w:p w14:paraId="0681E6CC">
                      <w:pPr>
                        <w:ind w:firstLine="1050" w:firstLineChars="500"/>
                        <w:jc w:val="left"/>
                      </w:pPr>
                    </w:p>
                    <w:p w14:paraId="369C24B3">
                      <w:pPr>
                        <w:jc w:val="left"/>
                      </w:pPr>
                    </w:p>
                  </w:txbxContent>
                </v:textbox>
              </v:rect>
            </w:pict>
          </mc:Fallback>
        </mc:AlternateContent>
      </w:r>
    </w:p>
    <w:p w14:paraId="1F28516E">
      <w:pPr>
        <w:spacing w:line="500" w:lineRule="exact"/>
        <w:rPr>
          <w:rFonts w:ascii="宋体"/>
          <w:b/>
          <w:bCs/>
        </w:rPr>
      </w:pPr>
    </w:p>
    <w:p w14:paraId="535216B0">
      <w:pPr>
        <w:spacing w:line="500" w:lineRule="exact"/>
        <w:rPr>
          <w:rFonts w:ascii="宋体"/>
          <w:b/>
          <w:bCs/>
        </w:rPr>
      </w:pPr>
    </w:p>
    <w:p w14:paraId="3D8641DE">
      <w:pPr>
        <w:spacing w:line="500" w:lineRule="exact"/>
        <w:rPr>
          <w:rFonts w:ascii="宋体"/>
          <w:b/>
          <w:bCs/>
        </w:rPr>
      </w:pPr>
    </w:p>
    <w:p w14:paraId="6B8AE0B8">
      <w:pPr>
        <w:spacing w:line="500" w:lineRule="exact"/>
        <w:rPr>
          <w:rFonts w:ascii="宋体"/>
          <w:b/>
          <w:bCs/>
        </w:rPr>
      </w:pPr>
    </w:p>
    <w:p w14:paraId="41328161">
      <w:pPr>
        <w:spacing w:line="500" w:lineRule="exact"/>
        <w:rPr>
          <w:rFonts w:ascii="宋体"/>
          <w:b/>
          <w:bCs/>
        </w:rPr>
      </w:pPr>
    </w:p>
    <w:p w14:paraId="02A4E89B">
      <w:pPr>
        <w:spacing w:line="500" w:lineRule="exact"/>
        <w:rPr>
          <w:rFonts w:ascii="宋体"/>
          <w:b/>
          <w:bCs/>
        </w:rPr>
      </w:pPr>
    </w:p>
    <w:p w14:paraId="21B9D744">
      <w:pPr>
        <w:spacing w:line="360" w:lineRule="auto"/>
        <w:ind w:firstLine="539" w:firstLineChars="257"/>
        <w:rPr>
          <w:highlight w:val="yellow"/>
        </w:rPr>
      </w:pPr>
      <w:r>
        <w:rPr>
          <w:rFonts w:hint="eastAsia"/>
          <w:highlight w:val="yellow"/>
        </w:rPr>
        <w:t>注：必须提供有效的身份证件（有效期限未过期）。</w:t>
      </w:r>
    </w:p>
    <w:p w14:paraId="6BD350FE">
      <w:pPr>
        <w:spacing w:line="360" w:lineRule="auto"/>
        <w:ind w:firstLine="539" w:firstLineChars="257"/>
      </w:pPr>
    </w:p>
    <w:p w14:paraId="1CB5C141">
      <w:pPr>
        <w:spacing w:line="360" w:lineRule="auto"/>
        <w:ind w:firstLine="539" w:firstLineChars="257"/>
      </w:pPr>
    </w:p>
    <w:p w14:paraId="6A049942">
      <w:pPr>
        <w:spacing w:line="360" w:lineRule="auto"/>
        <w:ind w:firstLine="539" w:firstLineChars="257"/>
      </w:pPr>
      <w:r>
        <w:rPr>
          <w:rFonts w:hint="eastAsia"/>
        </w:rPr>
        <w:t>单位名称：（公章）</w:t>
      </w:r>
    </w:p>
    <w:p w14:paraId="27225F5F">
      <w:pPr>
        <w:spacing w:line="360" w:lineRule="auto"/>
        <w:ind w:firstLine="539" w:firstLineChars="257"/>
      </w:pPr>
    </w:p>
    <w:p w14:paraId="0E1749D9">
      <w:pPr>
        <w:spacing w:line="360" w:lineRule="auto"/>
        <w:ind w:firstLine="539" w:firstLineChars="257"/>
      </w:pPr>
      <w:r>
        <w:rPr>
          <w:rFonts w:hint="eastAsia"/>
        </w:rPr>
        <w:t>日期：年月 日</w:t>
      </w:r>
    </w:p>
    <w:p w14:paraId="01A1B23F">
      <w:pPr>
        <w:jc w:val="center"/>
        <w:rPr>
          <w:b/>
          <w:bCs/>
          <w:sz w:val="28"/>
        </w:rPr>
      </w:pPr>
    </w:p>
    <w:p w14:paraId="55D11339">
      <w:pPr>
        <w:jc w:val="center"/>
        <w:rPr>
          <w:b/>
          <w:bCs/>
          <w:sz w:val="28"/>
        </w:rPr>
      </w:pPr>
    </w:p>
    <w:p w14:paraId="7E8D6B9D">
      <w:pPr>
        <w:jc w:val="center"/>
        <w:rPr>
          <w:b/>
          <w:bCs/>
          <w:sz w:val="28"/>
        </w:rPr>
      </w:pPr>
    </w:p>
    <w:p w14:paraId="7C6D27CF">
      <w:pPr>
        <w:jc w:val="center"/>
        <w:rPr>
          <w:b/>
          <w:bCs/>
          <w:sz w:val="28"/>
        </w:rPr>
      </w:pPr>
    </w:p>
    <w:p w14:paraId="0255DA62">
      <w:pPr>
        <w:jc w:val="center"/>
        <w:rPr>
          <w:b/>
          <w:bCs/>
          <w:sz w:val="28"/>
        </w:rPr>
      </w:pPr>
      <w:r>
        <w:rPr>
          <w:rFonts w:hint="eastAsia"/>
          <w:b/>
          <w:bCs/>
          <w:sz w:val="28"/>
        </w:rPr>
        <w:t>法定代表人（负责人）授权委托书（参考）</w:t>
      </w:r>
    </w:p>
    <w:p w14:paraId="43CDDEB9"/>
    <w:p w14:paraId="3FCEE6DA">
      <w:pPr>
        <w:rPr>
          <w:b/>
          <w:bCs/>
        </w:rPr>
      </w:pPr>
      <w:r>
        <w:rPr>
          <w:rFonts w:hint="eastAsia"/>
        </w:rPr>
        <w:t>深圳市中正招标有限公司</w:t>
      </w:r>
      <w:r>
        <w:rPr>
          <w:rFonts w:hint="eastAsia"/>
          <w:b/>
          <w:bCs/>
        </w:rPr>
        <w:t>：</w:t>
      </w:r>
    </w:p>
    <w:p w14:paraId="5F9CB900">
      <w:pPr>
        <w:ind w:firstLine="630"/>
      </w:pPr>
    </w:p>
    <w:p w14:paraId="5810E521">
      <w:pPr>
        <w:adjustRightInd w:val="0"/>
        <w:snapToGrid w:val="0"/>
        <w:spacing w:line="360" w:lineRule="auto"/>
        <w:ind w:firstLine="629"/>
      </w:pPr>
      <w:r>
        <w:rPr>
          <w:rFonts w:hint="eastAsia"/>
        </w:rPr>
        <w:t>现委派</w:t>
      </w:r>
      <w:r>
        <w:rPr>
          <w:rFonts w:hint="eastAsia"/>
          <w:u w:val="single"/>
        </w:rPr>
        <w:t xml:space="preserve">  （姓名、职务） </w:t>
      </w:r>
      <w:r>
        <w:rPr>
          <w:rFonts w:hint="eastAsia"/>
        </w:rPr>
        <w:t>参加贵公司组织的</w:t>
      </w:r>
      <w:r>
        <w:rPr>
          <w:rFonts w:hint="eastAsia"/>
          <w:u w:val="single"/>
        </w:rPr>
        <w:t xml:space="preserve">（招标项目名称、编号） </w:t>
      </w:r>
      <w:r>
        <w:rPr>
          <w:rFonts w:hint="eastAsia"/>
        </w:rPr>
        <w:t>招标活动，全权代表我单位处理投标的有关事宜。</w:t>
      </w:r>
    </w:p>
    <w:p w14:paraId="7CB10921">
      <w:pPr>
        <w:adjustRightInd w:val="0"/>
        <w:snapToGrid w:val="0"/>
        <w:spacing w:line="360" w:lineRule="auto"/>
        <w:ind w:firstLine="629"/>
      </w:pPr>
    </w:p>
    <w:p w14:paraId="66222DF0">
      <w:pPr>
        <w:adjustRightInd w:val="0"/>
        <w:snapToGrid w:val="0"/>
        <w:spacing w:line="360" w:lineRule="auto"/>
        <w:ind w:firstLine="629"/>
        <w:rPr>
          <w:b/>
          <w:bCs/>
        </w:rPr>
      </w:pPr>
      <w:r>
        <w:rPr>
          <w:rFonts w:hint="eastAsia"/>
          <w:b/>
          <w:bCs/>
        </w:rPr>
        <w:t>附授权代表情况：</w:t>
      </w:r>
    </w:p>
    <w:p w14:paraId="4F471A66">
      <w:pPr>
        <w:adjustRightInd w:val="0"/>
        <w:snapToGrid w:val="0"/>
        <w:spacing w:line="360" w:lineRule="auto"/>
        <w:ind w:firstLine="629"/>
      </w:pPr>
      <w:r>
        <w:rPr>
          <w:rFonts w:hint="eastAsia"/>
        </w:rPr>
        <w:t>姓名：            性别：</w:t>
      </w:r>
    </w:p>
    <w:p w14:paraId="6AAF01D5">
      <w:pPr>
        <w:adjustRightInd w:val="0"/>
        <w:snapToGrid w:val="0"/>
        <w:spacing w:line="360" w:lineRule="auto"/>
        <w:ind w:firstLine="629"/>
        <w:rPr>
          <w:b/>
          <w:bCs/>
        </w:rPr>
      </w:pPr>
      <w:r>
        <w:rPr>
          <w:rFonts w:hint="eastAsia"/>
        </w:rPr>
        <w:t>年龄：</w:t>
      </w:r>
    </w:p>
    <w:p w14:paraId="382064DA">
      <w:pPr>
        <w:adjustRightInd w:val="0"/>
        <w:snapToGrid w:val="0"/>
        <w:spacing w:line="360" w:lineRule="auto"/>
        <w:ind w:firstLine="629"/>
      </w:pPr>
      <w:r>
        <w:rPr>
          <w:rFonts w:hint="eastAsia"/>
        </w:rPr>
        <w:t>职务：</w:t>
      </w:r>
    </w:p>
    <w:p w14:paraId="49053E1A">
      <w:pPr>
        <w:adjustRightInd w:val="0"/>
        <w:snapToGrid w:val="0"/>
        <w:spacing w:line="360" w:lineRule="auto"/>
        <w:ind w:firstLine="629"/>
      </w:pPr>
      <w:r>
        <w:rPr>
          <w:rFonts w:hint="eastAsia"/>
        </w:rPr>
        <w:t>身份证号码：</w:t>
      </w:r>
    </w:p>
    <w:p w14:paraId="02B9CC06">
      <w:pPr>
        <w:adjustRightInd w:val="0"/>
        <w:snapToGrid w:val="0"/>
        <w:spacing w:line="360" w:lineRule="auto"/>
        <w:ind w:firstLine="629"/>
        <w:rPr>
          <w:b/>
          <w:bCs/>
        </w:rPr>
      </w:pPr>
      <w:r>
        <w:rPr>
          <w:rFonts w:hint="eastAsia"/>
        </w:rPr>
        <w:t>邮编：</w:t>
      </w:r>
    </w:p>
    <w:p w14:paraId="07FBA26F">
      <w:pPr>
        <w:adjustRightInd w:val="0"/>
        <w:snapToGrid w:val="0"/>
        <w:spacing w:line="360" w:lineRule="auto"/>
        <w:ind w:firstLine="629"/>
      </w:pPr>
      <w:r>
        <w:rPr>
          <w:rFonts w:hint="eastAsia"/>
        </w:rPr>
        <w:t>通讯地址：</w:t>
      </w:r>
    </w:p>
    <w:p w14:paraId="3B3AFE6B">
      <w:pPr>
        <w:adjustRightInd w:val="0"/>
        <w:snapToGrid w:val="0"/>
        <w:spacing w:line="360" w:lineRule="auto"/>
        <w:ind w:firstLine="629"/>
      </w:pPr>
      <w:r>
        <w:rPr>
          <w:rFonts w:hint="eastAsia"/>
        </w:rPr>
        <w:t>电话：</w:t>
      </w:r>
    </w:p>
    <w:p w14:paraId="210D45F4">
      <w:pPr>
        <w:ind w:firstLine="630"/>
      </w:pPr>
      <w:r>
        <w:rPr>
          <w:rFonts w:hint="eastAsia"/>
        </w:rPr>
        <w:t>单位名称：（公章）</w:t>
      </w:r>
    </w:p>
    <w:p w14:paraId="2547A0E1">
      <w:pPr>
        <w:ind w:firstLine="630"/>
      </w:pPr>
    </w:p>
    <w:p w14:paraId="0A679EC9">
      <w:pPr>
        <w:ind w:firstLine="630"/>
      </w:pPr>
      <w:r>
        <w:rPr>
          <w:rFonts w:hint="eastAsia"/>
        </w:rPr>
        <w:t>法定代表人（单位负责人）：（签字）</w:t>
      </w:r>
    </w:p>
    <w:p w14:paraId="79FCCC43">
      <w:pPr>
        <w:ind w:firstLine="630"/>
      </w:pPr>
    </w:p>
    <w:p w14:paraId="59954B29">
      <w:pPr>
        <w:ind w:firstLine="630"/>
      </w:pPr>
      <w:r>
        <w:rPr>
          <w:rFonts w:hint="eastAsia"/>
        </w:rPr>
        <w:t>授权代表：（</w:t>
      </w:r>
      <w:r>
        <w:rPr>
          <w:snapToGrid w:val="0"/>
          <w:kern w:val="0"/>
        </w:rPr>
        <w:t>签字</w:t>
      </w:r>
      <w:r>
        <w:rPr>
          <w:rFonts w:hint="eastAsia"/>
        </w:rPr>
        <w:t>）</w:t>
      </w:r>
    </w:p>
    <w:p w14:paraId="6B23BB4B">
      <w:pPr>
        <w:ind w:firstLine="630"/>
      </w:pPr>
    </w:p>
    <w:p w14:paraId="5CF31F1D">
      <w:pPr>
        <w:adjustRightInd w:val="0"/>
        <w:snapToGrid w:val="0"/>
        <w:spacing w:line="300" w:lineRule="auto"/>
        <w:ind w:firstLine="5317" w:firstLineChars="2532"/>
      </w:pPr>
      <w:r>
        <w:rPr>
          <w:rFonts w:hint="eastAsia"/>
        </w:rPr>
        <w:t>年月日</w:t>
      </w:r>
    </w:p>
    <w:p w14:paraId="3A74F9E7">
      <w:pPr>
        <w:spacing w:line="440" w:lineRule="exact"/>
        <w:rPr>
          <w:rFonts w:ascii="黑体" w:eastAsia="黑体"/>
        </w:rPr>
      </w:pPr>
      <w:bookmarkStart w:id="59" w:name="_Toc226217114"/>
      <w:r>
        <w:rPr>
          <w:rFonts w:ascii="宋体"/>
        </w:rPr>
        <mc:AlternateContent>
          <mc:Choice Requires="wps">
            <w:drawing>
              <wp:anchor distT="0" distB="0" distL="114300" distR="114300" simplePos="0" relativeHeight="251673600" behindDoc="0" locked="0" layoutInCell="1" allowOverlap="1">
                <wp:simplePos x="0" y="0"/>
                <wp:positionH relativeFrom="column">
                  <wp:posOffset>-131445</wp:posOffset>
                </wp:positionH>
                <wp:positionV relativeFrom="paragraph">
                  <wp:posOffset>71120</wp:posOffset>
                </wp:positionV>
                <wp:extent cx="3086100" cy="1981200"/>
                <wp:effectExtent l="4445" t="5080" r="14605" b="13970"/>
                <wp:wrapNone/>
                <wp:docPr id="8" name="矩形 8"/>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150C85">
                            <w:pPr>
                              <w:ind w:firstLine="1260" w:firstLineChars="600"/>
                            </w:pPr>
                            <w:r>
                              <w:rPr>
                                <w:rFonts w:hint="eastAsia"/>
                              </w:rPr>
                              <w:t>被授权人（授权代表）</w:t>
                            </w:r>
                          </w:p>
                          <w:p w14:paraId="23185313">
                            <w:pPr>
                              <w:ind w:firstLine="1050" w:firstLineChars="500"/>
                            </w:pPr>
                            <w:r>
                              <w:rPr>
                                <w:rFonts w:hint="eastAsia"/>
                              </w:rPr>
                              <w:t>居民身份证复印件粘贴处</w:t>
                            </w:r>
                          </w:p>
                          <w:p w14:paraId="615C8842">
                            <w:pPr>
                              <w:ind w:firstLine="1050" w:firstLineChars="500"/>
                            </w:pPr>
                          </w:p>
                          <w:p w14:paraId="6929EE77">
                            <w:pPr>
                              <w:jc w:val="center"/>
                            </w:pPr>
                            <w:r>
                              <w:rPr>
                                <w:rFonts w:hint="eastAsia"/>
                              </w:rPr>
                              <w:t>（正面）</w:t>
                            </w:r>
                          </w:p>
                        </w:txbxContent>
                      </wps:txbx>
                      <wps:bodyPr upright="1"/>
                    </wps:wsp>
                  </a:graphicData>
                </a:graphic>
              </wp:anchor>
            </w:drawing>
          </mc:Choice>
          <mc:Fallback>
            <w:pict>
              <v:rect id="_x0000_s1026" o:spid="_x0000_s1026" o:spt="1" style="position:absolute;left:0pt;margin-left:-10.35pt;margin-top:5.6pt;height:156pt;width:243pt;z-index:251673600;mso-width-relative:page;mso-height-relative:page;" fillcolor="#FFFFFF" filled="t" stroked="t" coordsize="21600,21600" o:gfxdata="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KcuhdgAAAAKAQAADwAAAAAAAAABACAAAAAiAAAAZHJz&#10;L2Rvd25yZXYueG1sUEsBAhQAFAAAAAgAh07iQC8uJQwEAgAAOAQAAA4AAAAAAAAAAQAgAAAAJwEA&#10;AGRycy9lMm9Eb2MueG1sUEsFBgAAAAAGAAYAWQEAAJ0FAAAAAA==&#10;">
                <v:fill on="t" focussize="0,0"/>
                <v:stroke color="#000000" joinstyle="miter"/>
                <v:imagedata o:title=""/>
                <o:lock v:ext="edit" aspectratio="f"/>
                <v:textbox>
                  <w:txbxContent>
                    <w:p w14:paraId="2B150C85">
                      <w:pPr>
                        <w:ind w:firstLine="1260" w:firstLineChars="600"/>
                      </w:pPr>
                      <w:r>
                        <w:rPr>
                          <w:rFonts w:hint="eastAsia"/>
                        </w:rPr>
                        <w:t>被授权人（授权代表）</w:t>
                      </w:r>
                    </w:p>
                    <w:p w14:paraId="23185313">
                      <w:pPr>
                        <w:ind w:firstLine="1050" w:firstLineChars="500"/>
                      </w:pPr>
                      <w:r>
                        <w:rPr>
                          <w:rFonts w:hint="eastAsia"/>
                        </w:rPr>
                        <w:t>居民身份证复印件粘贴处</w:t>
                      </w:r>
                    </w:p>
                    <w:p w14:paraId="615C8842">
                      <w:pPr>
                        <w:ind w:firstLine="1050" w:firstLineChars="500"/>
                      </w:pPr>
                    </w:p>
                    <w:p w14:paraId="6929EE77">
                      <w:pPr>
                        <w:jc w:val="center"/>
                      </w:pPr>
                      <w:r>
                        <w:rPr>
                          <w:rFonts w:hint="eastAsia"/>
                        </w:rPr>
                        <w:t>（正面）</w:t>
                      </w:r>
                    </w:p>
                  </w:txbxContent>
                </v:textbox>
              </v:rect>
            </w:pict>
          </mc:Fallback>
        </mc:AlternateContent>
      </w:r>
      <w:r>
        <w:rPr>
          <w:rFonts w:ascii="黑体" w:eastAsia="黑体"/>
        </w:rPr>
        <mc:AlternateContent>
          <mc:Choice Requires="wps">
            <w:drawing>
              <wp:anchor distT="0" distB="0" distL="114300" distR="114300" simplePos="0" relativeHeight="251674624" behindDoc="0" locked="0" layoutInCell="1" allowOverlap="1">
                <wp:simplePos x="0" y="0"/>
                <wp:positionH relativeFrom="column">
                  <wp:posOffset>3173730</wp:posOffset>
                </wp:positionH>
                <wp:positionV relativeFrom="paragraph">
                  <wp:posOffset>71120</wp:posOffset>
                </wp:positionV>
                <wp:extent cx="3086100" cy="1981200"/>
                <wp:effectExtent l="4445" t="5080" r="14605" b="13970"/>
                <wp:wrapNone/>
                <wp:docPr id="7" name="矩形 7"/>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9AB66A">
                            <w:pPr>
                              <w:ind w:firstLine="1260" w:firstLineChars="600"/>
                            </w:pPr>
                            <w:r>
                              <w:rPr>
                                <w:rFonts w:hint="eastAsia"/>
                              </w:rPr>
                              <w:t>被授权人（授权代表）</w:t>
                            </w:r>
                          </w:p>
                          <w:p w14:paraId="55871966">
                            <w:pPr>
                              <w:ind w:firstLine="1050" w:firstLineChars="500"/>
                            </w:pPr>
                            <w:r>
                              <w:rPr>
                                <w:rFonts w:hint="eastAsia"/>
                              </w:rPr>
                              <w:t>居民身份证复印件粘贴处</w:t>
                            </w:r>
                          </w:p>
                          <w:p w14:paraId="6D0DA8A6">
                            <w:pPr>
                              <w:ind w:firstLine="1050" w:firstLineChars="500"/>
                            </w:pPr>
                          </w:p>
                          <w:p w14:paraId="3B5144BC">
                            <w:pPr>
                              <w:ind w:firstLine="1785" w:firstLineChars="850"/>
                            </w:pPr>
                            <w:r>
                              <w:rPr>
                                <w:rFonts w:hint="eastAsia"/>
                              </w:rPr>
                              <w:t>（反面）</w:t>
                            </w:r>
                          </w:p>
                          <w:p w14:paraId="1C529F2D"/>
                        </w:txbxContent>
                      </wps:txbx>
                      <wps:bodyPr upright="1"/>
                    </wps:wsp>
                  </a:graphicData>
                </a:graphic>
              </wp:anchor>
            </w:drawing>
          </mc:Choice>
          <mc:Fallback>
            <w:pict>
              <v:rect id="_x0000_s1026" o:spid="_x0000_s1026" o:spt="1" style="position:absolute;left:0pt;margin-left:249.9pt;margin-top:5.6pt;height:156pt;width:243pt;z-index:251674624;mso-width-relative:page;mso-height-relative:page;" fillcolor="#FFFFFF" filled="t" stroked="t" coordsize="21600,21600" o:gfxdata="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dm/rtgAAAAKAQAADwAAAAAAAAABACAAAAAiAAAAZHJz&#10;L2Rvd25yZXYueG1sUEsBAhQAFAAAAAgAh07iQNnixV0EAgAAOAQAAA4AAAAAAAAAAQAgAAAAJwEA&#10;AGRycy9lMm9Eb2MueG1sUEsFBgAAAAAGAAYAWQEAAJ0FAAAAAA==&#10;">
                <v:fill on="t" focussize="0,0"/>
                <v:stroke color="#000000" joinstyle="miter"/>
                <v:imagedata o:title=""/>
                <o:lock v:ext="edit" aspectratio="f"/>
                <v:textbox>
                  <w:txbxContent>
                    <w:p w14:paraId="389AB66A">
                      <w:pPr>
                        <w:ind w:firstLine="1260" w:firstLineChars="600"/>
                      </w:pPr>
                      <w:r>
                        <w:rPr>
                          <w:rFonts w:hint="eastAsia"/>
                        </w:rPr>
                        <w:t>被授权人（授权代表）</w:t>
                      </w:r>
                    </w:p>
                    <w:p w14:paraId="55871966">
                      <w:pPr>
                        <w:ind w:firstLine="1050" w:firstLineChars="500"/>
                      </w:pPr>
                      <w:r>
                        <w:rPr>
                          <w:rFonts w:hint="eastAsia"/>
                        </w:rPr>
                        <w:t>居民身份证复印件粘贴处</w:t>
                      </w:r>
                    </w:p>
                    <w:p w14:paraId="6D0DA8A6">
                      <w:pPr>
                        <w:ind w:firstLine="1050" w:firstLineChars="500"/>
                      </w:pPr>
                    </w:p>
                    <w:p w14:paraId="3B5144BC">
                      <w:pPr>
                        <w:ind w:firstLine="1785" w:firstLineChars="850"/>
                      </w:pPr>
                      <w:r>
                        <w:rPr>
                          <w:rFonts w:hint="eastAsia"/>
                        </w:rPr>
                        <w:t>（反面）</w:t>
                      </w:r>
                    </w:p>
                    <w:p w14:paraId="1C529F2D"/>
                  </w:txbxContent>
                </v:textbox>
              </v:rect>
            </w:pict>
          </mc:Fallback>
        </mc:AlternateContent>
      </w:r>
      <w:bookmarkEnd w:id="59"/>
    </w:p>
    <w:p w14:paraId="308D0588">
      <w:pPr>
        <w:spacing w:line="440" w:lineRule="exact"/>
        <w:rPr>
          <w:rFonts w:ascii="黑体" w:eastAsia="黑体"/>
        </w:rPr>
      </w:pPr>
    </w:p>
    <w:p w14:paraId="6505C5D8">
      <w:pPr>
        <w:spacing w:line="440" w:lineRule="exact"/>
        <w:rPr>
          <w:rFonts w:ascii="黑体" w:eastAsia="黑体"/>
        </w:rPr>
      </w:pPr>
    </w:p>
    <w:p w14:paraId="396FD041">
      <w:pPr>
        <w:spacing w:line="440" w:lineRule="exact"/>
        <w:rPr>
          <w:rFonts w:ascii="黑体" w:eastAsia="黑体"/>
        </w:rPr>
      </w:pPr>
    </w:p>
    <w:p w14:paraId="59D356BD">
      <w:pPr>
        <w:spacing w:line="440" w:lineRule="exact"/>
        <w:rPr>
          <w:rFonts w:ascii="黑体" w:eastAsia="黑体"/>
        </w:rPr>
      </w:pPr>
    </w:p>
    <w:p w14:paraId="4F2642A8">
      <w:pPr>
        <w:tabs>
          <w:tab w:val="left" w:pos="5115"/>
        </w:tabs>
        <w:spacing w:line="440" w:lineRule="exact"/>
        <w:rPr>
          <w:rFonts w:ascii="黑体" w:eastAsia="黑体"/>
        </w:rPr>
      </w:pPr>
      <w:r>
        <w:rPr>
          <w:rFonts w:ascii="黑体" w:eastAsia="黑体"/>
        </w:rPr>
        <w:tab/>
      </w:r>
    </w:p>
    <w:p w14:paraId="3A897C20">
      <w:pPr>
        <w:spacing w:line="440" w:lineRule="exact"/>
        <w:rPr>
          <w:rFonts w:ascii="黑体" w:eastAsia="黑体"/>
        </w:rPr>
      </w:pPr>
    </w:p>
    <w:p w14:paraId="1B78A452">
      <w:pPr>
        <w:adjustRightInd w:val="0"/>
        <w:snapToGrid w:val="0"/>
        <w:spacing w:line="300" w:lineRule="auto"/>
        <w:ind w:firstLine="5008" w:firstLineChars="2385"/>
      </w:pPr>
    </w:p>
    <w:p w14:paraId="71165406">
      <w:pPr>
        <w:adjustRightInd w:val="0"/>
        <w:snapToGrid w:val="0"/>
        <w:spacing w:line="300" w:lineRule="auto"/>
      </w:pPr>
    </w:p>
    <w:p w14:paraId="7D67F240">
      <w:pPr>
        <w:spacing w:line="360" w:lineRule="auto"/>
        <w:ind w:firstLine="539" w:firstLineChars="257"/>
        <w:rPr>
          <w:highlight w:val="yellow"/>
        </w:rPr>
      </w:pPr>
      <w:r>
        <w:rPr>
          <w:rFonts w:hint="eastAsia"/>
          <w:highlight w:val="yellow"/>
        </w:rPr>
        <w:t>注：必须提供有效的身份证件（有效期限未过期）。</w:t>
      </w:r>
    </w:p>
    <w:p w14:paraId="5F47A78E">
      <w:pPr>
        <w:adjustRightInd w:val="0"/>
        <w:snapToGrid w:val="0"/>
        <w:spacing w:line="300" w:lineRule="auto"/>
      </w:pPr>
    </w:p>
    <w:p w14:paraId="5A6EEEC7">
      <w:pPr>
        <w:adjustRightInd w:val="0"/>
        <w:snapToGrid w:val="0"/>
        <w:spacing w:line="300" w:lineRule="auto"/>
      </w:pPr>
      <w:r>
        <w:rPr>
          <w:rFonts w:hint="eastAsia" w:ascii="宋体" w:hAnsi="宋体"/>
          <w:b/>
          <w:sz w:val="24"/>
        </w:rPr>
        <w:t>法定代表人（负责人）证明书和法定代表人（负责人）授权委托书除装订于投标文件中外，还须另置一份按“投标人须知”18.4项要求单独密封。</w:t>
      </w:r>
    </w:p>
    <w:p w14:paraId="1E08B5E7">
      <w:pPr>
        <w:tabs>
          <w:tab w:val="left" w:pos="720"/>
        </w:tabs>
        <w:adjustRightInd w:val="0"/>
        <w:snapToGrid w:val="0"/>
        <w:spacing w:line="300" w:lineRule="auto"/>
        <w:rPr>
          <w:b/>
          <w:snapToGrid w:val="0"/>
          <w:kern w:val="0"/>
          <w:sz w:val="28"/>
        </w:rPr>
      </w:pPr>
    </w:p>
    <w:p w14:paraId="2F55EE9B">
      <w:pPr>
        <w:pStyle w:val="5"/>
        <w:tabs>
          <w:tab w:val="left" w:pos="371"/>
        </w:tabs>
        <w:spacing w:before="120" w:after="120"/>
        <w:ind w:left="-1" w:leftChars="-1" w:hanging="1"/>
        <w:jc w:val="center"/>
        <w:rPr>
          <w:rFonts w:ascii="宋体" w:hAnsi="宋体"/>
        </w:rPr>
      </w:pPr>
      <w:bookmarkStart w:id="60" w:name="_Toc135293184"/>
      <w:bookmarkStart w:id="61" w:name="_Toc171350600"/>
      <w:r>
        <w:rPr>
          <w:rFonts w:hint="eastAsia" w:ascii="宋体" w:hAnsi="宋体"/>
        </w:rPr>
        <w:t>格式3  投标函</w:t>
      </w:r>
      <w:bookmarkEnd w:id="60"/>
      <w:bookmarkEnd w:id="61"/>
    </w:p>
    <w:p w14:paraId="2EA5191A">
      <w:pPr>
        <w:adjustRightInd w:val="0"/>
        <w:snapToGrid w:val="0"/>
        <w:spacing w:line="312" w:lineRule="auto"/>
      </w:pPr>
    </w:p>
    <w:p w14:paraId="733F01D6">
      <w:pPr>
        <w:adjustRightInd w:val="0"/>
        <w:snapToGrid w:val="0"/>
        <w:spacing w:line="360" w:lineRule="auto"/>
        <w:rPr>
          <w:rFonts w:ascii="宋体" w:hAnsi="宋体"/>
          <w:b/>
          <w:bCs/>
        </w:rPr>
      </w:pPr>
      <w:r>
        <w:rPr>
          <w:rFonts w:ascii="宋体" w:hAnsi="宋体"/>
        </w:rPr>
        <w:t>深圳市中正招标有限公司：</w:t>
      </w:r>
    </w:p>
    <w:p w14:paraId="1E1220E0">
      <w:pPr>
        <w:adjustRightInd w:val="0"/>
        <w:snapToGrid w:val="0"/>
        <w:spacing w:line="360" w:lineRule="auto"/>
        <w:rPr>
          <w:rFonts w:ascii="宋体" w:hAnsi="宋体"/>
        </w:rPr>
      </w:pPr>
      <w:r>
        <w:rPr>
          <w:rFonts w:ascii="宋体" w:hAnsi="宋体"/>
        </w:rPr>
        <w:t xml:space="preserve">    我</w:t>
      </w:r>
      <w:r>
        <w:rPr>
          <w:rFonts w:hint="eastAsia" w:ascii="宋体" w:hAnsi="宋体" w:cs="Courier New"/>
          <w:snapToGrid w:val="0"/>
          <w:szCs w:val="18"/>
        </w:rPr>
        <w:t>单位</w:t>
      </w:r>
      <w:r>
        <w:rPr>
          <w:rFonts w:ascii="宋体" w:hAnsi="宋体"/>
        </w:rPr>
        <w:t>收到</w:t>
      </w:r>
      <w:r>
        <w:rPr>
          <w:rFonts w:hint="eastAsia" w:ascii="宋体" w:hAnsi="宋体"/>
        </w:rPr>
        <w:t>贵单位</w:t>
      </w:r>
      <w:r>
        <w:rPr>
          <w:rFonts w:ascii="宋体" w:hAnsi="宋体"/>
        </w:rPr>
        <w:t>组织的</w:t>
      </w:r>
      <w:r>
        <w:rPr>
          <w:rFonts w:ascii="宋体" w:hAnsi="宋体"/>
          <w:u w:val="single"/>
        </w:rPr>
        <w:t xml:space="preserve">（招标项目名称） </w:t>
      </w:r>
      <w:r>
        <w:rPr>
          <w:rFonts w:ascii="宋体" w:hAnsi="宋体"/>
        </w:rPr>
        <w:t>招标文件，经详细研究，我</w:t>
      </w:r>
      <w:r>
        <w:rPr>
          <w:rFonts w:hint="eastAsia" w:ascii="宋体" w:hAnsi="宋体" w:cs="Courier New"/>
          <w:snapToGrid w:val="0"/>
          <w:szCs w:val="18"/>
        </w:rPr>
        <w:t>单位</w:t>
      </w:r>
      <w:r>
        <w:rPr>
          <w:rFonts w:ascii="宋体" w:hAnsi="宋体"/>
        </w:rPr>
        <w:t>决定参加该项目</w:t>
      </w:r>
      <w:r>
        <w:rPr>
          <w:rFonts w:ascii="宋体" w:hAnsi="宋体"/>
          <w:u w:val="single"/>
        </w:rPr>
        <w:t xml:space="preserve"> （项目编号）  </w:t>
      </w:r>
      <w:r>
        <w:rPr>
          <w:rFonts w:ascii="宋体" w:hAnsi="宋体"/>
        </w:rPr>
        <w:t>招标的有关活动，并投标。为此，我</w:t>
      </w:r>
      <w:r>
        <w:rPr>
          <w:rFonts w:hint="eastAsia" w:ascii="宋体" w:hAnsi="宋体" w:cs="Courier New"/>
          <w:snapToGrid w:val="0"/>
          <w:szCs w:val="18"/>
        </w:rPr>
        <w:t>单位</w:t>
      </w:r>
      <w:r>
        <w:rPr>
          <w:rFonts w:ascii="宋体" w:hAnsi="宋体"/>
        </w:rPr>
        <w:t>谨郑重声明以下诸点，并对之负法律责任。</w:t>
      </w:r>
    </w:p>
    <w:p w14:paraId="31F75951">
      <w:pPr>
        <w:spacing w:line="360" w:lineRule="auto"/>
        <w:ind w:firstLine="424" w:firstLineChars="202"/>
        <w:jc w:val="left"/>
        <w:rPr>
          <w:rFonts w:ascii="宋体" w:hAnsi="宋体" w:cs="Courier New"/>
          <w:snapToGrid w:val="0"/>
          <w:szCs w:val="18"/>
        </w:rPr>
      </w:pPr>
      <w:r>
        <w:rPr>
          <w:rFonts w:hint="eastAsia" w:ascii="宋体" w:hAnsi="宋体" w:cs="Courier New"/>
          <w:snapToGrid w:val="0"/>
          <w:szCs w:val="18"/>
        </w:rPr>
        <w:t>1．</w:t>
      </w:r>
      <w:r>
        <w:rPr>
          <w:rFonts w:hint="eastAsia" w:ascii="宋体" w:hAnsi="宋体"/>
          <w:szCs w:val="21"/>
        </w:rPr>
        <w:t>我</w:t>
      </w:r>
      <w:r>
        <w:rPr>
          <w:rFonts w:hint="eastAsia" w:ascii="宋体" w:hAnsi="宋体" w:cs="Courier New"/>
          <w:snapToGrid w:val="0"/>
          <w:szCs w:val="18"/>
        </w:rPr>
        <w:t>单位</w:t>
      </w:r>
      <w:r>
        <w:rPr>
          <w:rFonts w:hint="eastAsia" w:ascii="宋体" w:hAnsi="宋体"/>
          <w:szCs w:val="21"/>
        </w:rPr>
        <w:t>愿以《开标一览表》中填写的投标报价并</w:t>
      </w:r>
      <w:r>
        <w:rPr>
          <w:rFonts w:hint="eastAsia" w:ascii="宋体" w:hAnsi="宋体" w:cs="Courier New"/>
          <w:snapToGrid w:val="0"/>
          <w:szCs w:val="18"/>
        </w:rPr>
        <w:t>按照招标文件中的一切要求，承担上述项目的全部工作。</w:t>
      </w:r>
    </w:p>
    <w:p w14:paraId="2D4E09D6">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2．我单位提交的投标文件为：投标书正本一份，副本五份，电子备份光盘（或U盘）二份（内容为投标文件正本盖章扫描件）。</w:t>
      </w:r>
    </w:p>
    <w:p w14:paraId="4A46F5A5">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3．如果我单位投标书被接受，我单位将履行招标文件中规定的每一项要求，按期、按质、按量完成任务。</w:t>
      </w:r>
    </w:p>
    <w:p w14:paraId="51B56DF8">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4．我单位愿意提供采购代理机构在招标文件中要求的所有资料，且</w:t>
      </w:r>
      <w:r>
        <w:rPr>
          <w:rFonts w:hint="eastAsia" w:ascii="宋体" w:hAnsi="宋体"/>
        </w:rPr>
        <w:t>所递交的投标文件在投标有效期（即</w:t>
      </w:r>
      <w:r>
        <w:rPr>
          <w:rFonts w:hint="eastAsia" w:ascii="宋体" w:hAnsi="宋体"/>
          <w:u w:val="single"/>
        </w:rPr>
        <w:t>90</w:t>
      </w:r>
      <w:r>
        <w:rPr>
          <w:rFonts w:hint="eastAsia" w:ascii="宋体" w:hAnsi="宋体"/>
        </w:rPr>
        <w:t>自然日）内有效，在此期间内我</w:t>
      </w:r>
      <w:r>
        <w:rPr>
          <w:rFonts w:hint="eastAsia" w:ascii="宋体" w:hAnsi="宋体" w:cs="Courier New"/>
          <w:snapToGrid w:val="0"/>
          <w:szCs w:val="18"/>
        </w:rPr>
        <w:t>单位</w:t>
      </w:r>
      <w:r>
        <w:rPr>
          <w:rFonts w:hint="eastAsia" w:ascii="宋体" w:hAnsi="宋体"/>
        </w:rPr>
        <w:t>的投标有可能中标，我</w:t>
      </w:r>
      <w:r>
        <w:rPr>
          <w:rFonts w:hint="eastAsia" w:ascii="宋体" w:hAnsi="宋体" w:cs="Courier New"/>
          <w:snapToGrid w:val="0"/>
          <w:szCs w:val="18"/>
        </w:rPr>
        <w:t>单位</w:t>
      </w:r>
      <w:r>
        <w:rPr>
          <w:rFonts w:hint="eastAsia" w:ascii="宋体" w:hAnsi="宋体"/>
        </w:rPr>
        <w:t>将受此约束。</w:t>
      </w:r>
    </w:p>
    <w:p w14:paraId="4A6AF63B">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5．我单位理解，最低报价不是中标的唯一条件。</w:t>
      </w:r>
    </w:p>
    <w:p w14:paraId="17317CD5">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6．我单位愿按《中华人民共和国民法典》履行自己的全部责任。</w:t>
      </w:r>
    </w:p>
    <w:p w14:paraId="06FEEB04">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7．我单位同意招标文件之规定，遵守有关招标的各项规定。</w:t>
      </w:r>
    </w:p>
    <w:p w14:paraId="3377DD91">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8</w:t>
      </w:r>
      <w:r>
        <w:rPr>
          <w:rFonts w:ascii="宋体" w:hAnsi="宋体" w:cs="Courier New"/>
          <w:snapToGrid w:val="0"/>
          <w:szCs w:val="18"/>
        </w:rPr>
        <w:t>.</w:t>
      </w:r>
      <w:r>
        <w:rPr>
          <w:rFonts w:hint="eastAsia" w:ascii="宋体" w:hAnsi="宋体"/>
        </w:rPr>
        <w:t>我单位承诺在收到代理服务费缴费通知后7个工作日内领取中标（成交）通知书，逾期将视为我单位放弃中标（成交）资格。</w:t>
      </w:r>
    </w:p>
    <w:p w14:paraId="2AB5BC2F">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9．所有有关本标书的函电，请按下列地址联系：</w:t>
      </w:r>
    </w:p>
    <w:p w14:paraId="54F42560">
      <w:pPr>
        <w:adjustRightInd w:val="0"/>
        <w:snapToGrid w:val="0"/>
        <w:spacing w:line="360" w:lineRule="auto"/>
        <w:ind w:firstLine="600"/>
      </w:pPr>
    </w:p>
    <w:p w14:paraId="23A1F801">
      <w:pPr>
        <w:adjustRightInd w:val="0"/>
        <w:snapToGrid w:val="0"/>
        <w:spacing w:line="360" w:lineRule="auto"/>
        <w:ind w:firstLine="426"/>
      </w:pPr>
      <w:r>
        <w:t>单    位： （盖</w:t>
      </w:r>
      <w:r>
        <w:rPr>
          <w:rFonts w:hint="eastAsia"/>
        </w:rPr>
        <w:t>公</w:t>
      </w:r>
      <w:r>
        <w:t>章）</w:t>
      </w:r>
    </w:p>
    <w:p w14:paraId="2DEFBCC2">
      <w:pPr>
        <w:adjustRightInd w:val="0"/>
        <w:snapToGrid w:val="0"/>
        <w:spacing w:line="360" w:lineRule="auto"/>
        <w:ind w:firstLine="426"/>
      </w:pPr>
      <w:r>
        <w:t xml:space="preserve">地    址： </w:t>
      </w:r>
    </w:p>
    <w:p w14:paraId="3DA79152">
      <w:pPr>
        <w:adjustRightInd w:val="0"/>
        <w:snapToGrid w:val="0"/>
        <w:spacing w:line="360" w:lineRule="auto"/>
        <w:ind w:firstLine="426"/>
      </w:pPr>
      <w:r>
        <w:t xml:space="preserve">电    话： </w:t>
      </w:r>
    </w:p>
    <w:p w14:paraId="739FEA4D">
      <w:pPr>
        <w:adjustRightInd w:val="0"/>
        <w:snapToGrid w:val="0"/>
        <w:spacing w:line="360" w:lineRule="auto"/>
        <w:ind w:firstLine="426"/>
      </w:pPr>
      <w:r>
        <w:t>传    真：</w:t>
      </w:r>
    </w:p>
    <w:p w14:paraId="55E23A85">
      <w:pPr>
        <w:adjustRightInd w:val="0"/>
        <w:snapToGrid w:val="0"/>
        <w:spacing w:line="360" w:lineRule="auto"/>
        <w:ind w:firstLine="426"/>
      </w:pPr>
      <w:r>
        <w:t>邮    编：</w:t>
      </w:r>
    </w:p>
    <w:p w14:paraId="2ACE3387">
      <w:pPr>
        <w:adjustRightInd w:val="0"/>
        <w:snapToGrid w:val="0"/>
        <w:spacing w:line="360" w:lineRule="auto"/>
        <w:ind w:firstLine="426"/>
      </w:pPr>
      <w:r>
        <w:t xml:space="preserve">联 系 人： </w:t>
      </w:r>
    </w:p>
    <w:p w14:paraId="3151B9F2">
      <w:pPr>
        <w:adjustRightInd w:val="0"/>
        <w:snapToGrid w:val="0"/>
        <w:spacing w:line="360" w:lineRule="auto"/>
        <w:ind w:firstLine="600"/>
      </w:pPr>
    </w:p>
    <w:p w14:paraId="66D4D6B3">
      <w:pPr>
        <w:adjustRightInd w:val="0"/>
        <w:snapToGrid w:val="0"/>
        <w:spacing w:line="360" w:lineRule="auto"/>
        <w:ind w:firstLine="600"/>
        <w:jc w:val="right"/>
      </w:pPr>
      <w:r>
        <w:rPr>
          <w:rFonts w:hint="eastAsia"/>
        </w:rPr>
        <w:t>年     月    日</w:t>
      </w:r>
    </w:p>
    <w:p w14:paraId="6D3DFDC0">
      <w:pPr>
        <w:tabs>
          <w:tab w:val="left" w:pos="371"/>
        </w:tabs>
        <w:spacing w:before="120" w:after="120"/>
        <w:ind w:left="-1" w:leftChars="-1" w:hanging="1"/>
        <w:jc w:val="center"/>
        <w:rPr>
          <w:rFonts w:ascii="宋体" w:hAnsi="宋体"/>
          <w:sz w:val="24"/>
        </w:rPr>
      </w:pPr>
    </w:p>
    <w:p w14:paraId="2F60E5DE">
      <w:pPr>
        <w:pStyle w:val="5"/>
        <w:tabs>
          <w:tab w:val="left" w:pos="371"/>
        </w:tabs>
        <w:spacing w:before="120" w:after="120"/>
        <w:ind w:left="-1" w:leftChars="-1" w:hanging="1"/>
        <w:jc w:val="center"/>
        <w:rPr>
          <w:rFonts w:ascii="宋体" w:hAnsi="宋体"/>
        </w:rPr>
        <w:sectPr>
          <w:headerReference r:id="rId7" w:type="default"/>
          <w:footerReference r:id="rId8" w:type="default"/>
          <w:pgSz w:w="11906" w:h="16838"/>
          <w:pgMar w:top="1134" w:right="1134" w:bottom="1134" w:left="1134" w:header="851" w:footer="992" w:gutter="0"/>
          <w:cols w:space="720" w:num="1"/>
          <w:titlePg/>
          <w:docGrid w:type="lines" w:linePitch="312" w:charSpace="0"/>
        </w:sectPr>
      </w:pPr>
      <w:bookmarkStart w:id="62" w:name="_Toc171350601"/>
      <w:bookmarkStart w:id="63" w:name="_Toc135293185"/>
    </w:p>
    <w:p w14:paraId="28318A1D">
      <w:pPr>
        <w:pStyle w:val="5"/>
        <w:tabs>
          <w:tab w:val="left" w:pos="371"/>
        </w:tabs>
        <w:spacing w:before="120" w:after="120"/>
        <w:ind w:left="-1" w:leftChars="-1" w:hanging="1"/>
        <w:jc w:val="center"/>
        <w:rPr>
          <w:rFonts w:ascii="宋体" w:hAnsi="宋体"/>
        </w:rPr>
      </w:pPr>
      <w:r>
        <w:rPr>
          <w:rFonts w:hint="eastAsia" w:ascii="宋体" w:hAnsi="宋体"/>
        </w:rPr>
        <w:t>格式4  评分中涉及的承诺及声明函</w:t>
      </w:r>
      <w:bookmarkEnd w:id="62"/>
      <w:bookmarkEnd w:id="63"/>
    </w:p>
    <w:p w14:paraId="779EC246">
      <w:pPr>
        <w:widowControl/>
        <w:snapToGrid w:val="0"/>
        <w:spacing w:line="360" w:lineRule="auto"/>
        <w:jc w:val="left"/>
        <w:rPr>
          <w:rFonts w:ascii="仿宋" w:hAnsi="仿宋" w:eastAsia="仿宋"/>
          <w:b/>
          <w:bCs/>
          <w:color w:val="FF0000"/>
          <w:kern w:val="0"/>
          <w:sz w:val="25"/>
          <w:szCs w:val="25"/>
        </w:rPr>
      </w:pPr>
    </w:p>
    <w:p w14:paraId="6EDA86D9">
      <w:pPr>
        <w:widowControl/>
        <w:snapToGrid w:val="0"/>
        <w:spacing w:line="360" w:lineRule="auto"/>
        <w:jc w:val="left"/>
        <w:outlineLvl w:val="3"/>
        <w:rPr>
          <w:rFonts w:ascii="仿宋" w:hAnsi="仿宋" w:eastAsia="仿宋"/>
          <w:b/>
          <w:bCs/>
          <w:kern w:val="0"/>
          <w:sz w:val="25"/>
          <w:szCs w:val="25"/>
        </w:rPr>
      </w:pPr>
      <w:r>
        <w:rPr>
          <w:rFonts w:hint="eastAsia" w:ascii="仿宋" w:hAnsi="仿宋" w:eastAsia="仿宋"/>
          <w:b/>
          <w:bCs/>
          <w:kern w:val="0"/>
          <w:sz w:val="25"/>
          <w:szCs w:val="25"/>
        </w:rPr>
        <w:t>填写指引：</w:t>
      </w:r>
    </w:p>
    <w:p w14:paraId="3A24A406">
      <w:pPr>
        <w:widowControl/>
        <w:snapToGrid w:val="0"/>
        <w:spacing w:line="360" w:lineRule="auto"/>
        <w:jc w:val="left"/>
        <w:rPr>
          <w:rFonts w:ascii="宋体" w:hAnsi="宋体"/>
          <w:kern w:val="0"/>
          <w:szCs w:val="21"/>
        </w:rPr>
      </w:pPr>
      <w:r>
        <w:rPr>
          <w:rFonts w:hint="eastAsia" w:ascii="宋体" w:hAnsi="宋体"/>
          <w:kern w:val="0"/>
          <w:szCs w:val="21"/>
        </w:rPr>
        <w:t xml:space="preserve">  1、该部分内容由投标人根据自身实际情况填写，投标人提供的声明函不属实的，属于提供虚假资料谋取中标，依照《中华人民共和国政府采购法》等国家有关规定追究相应责任。</w:t>
      </w:r>
    </w:p>
    <w:p w14:paraId="3D4CDC53">
      <w:pPr>
        <w:widowControl/>
        <w:snapToGrid w:val="0"/>
        <w:spacing w:line="360" w:lineRule="auto"/>
        <w:ind w:firstLine="555"/>
        <w:jc w:val="left"/>
        <w:rPr>
          <w:rFonts w:ascii="宋体" w:hAnsi="宋体"/>
          <w:kern w:val="0"/>
          <w:szCs w:val="21"/>
        </w:rPr>
      </w:pPr>
      <w:r>
        <w:rPr>
          <w:rFonts w:hint="eastAsia" w:ascii="宋体" w:hAnsi="宋体"/>
          <w:kern w:val="0"/>
          <w:szCs w:val="21"/>
        </w:rPr>
        <w:t>2、该部分内容填写需要参考的相关文件包括但不限于（具体内容详见附件）：</w:t>
      </w:r>
    </w:p>
    <w:p w14:paraId="51EABB91">
      <w:pPr>
        <w:widowControl/>
        <w:snapToGrid w:val="0"/>
        <w:spacing w:line="360" w:lineRule="auto"/>
        <w:ind w:firstLine="555"/>
        <w:jc w:val="left"/>
        <w:rPr>
          <w:rFonts w:ascii="宋体" w:hAnsi="宋体"/>
          <w:kern w:val="0"/>
          <w:szCs w:val="21"/>
        </w:rPr>
      </w:pPr>
      <w:r>
        <w:rPr>
          <w:rFonts w:hint="eastAsia" w:ascii="宋体" w:hAnsi="宋体"/>
          <w:kern w:val="0"/>
          <w:szCs w:val="21"/>
        </w:rPr>
        <w:t>(</w:t>
      </w:r>
      <w:r>
        <w:rPr>
          <w:rFonts w:ascii="宋体" w:hAnsi="宋体"/>
          <w:kern w:val="0"/>
          <w:szCs w:val="21"/>
        </w:rPr>
        <w:t>1</w:t>
      </w:r>
      <w:r>
        <w:rPr>
          <w:rFonts w:hint="eastAsia" w:ascii="宋体" w:hAnsi="宋体"/>
          <w:kern w:val="0"/>
          <w:szCs w:val="21"/>
        </w:rPr>
        <w:t>)财政部 工业和信息化部关于印发《政府采购促进中小企业发展管理办法》的通知（财库〔2020〕46号）</w:t>
      </w:r>
    </w:p>
    <w:p w14:paraId="7715B448">
      <w:pPr>
        <w:widowControl/>
        <w:snapToGrid w:val="0"/>
        <w:spacing w:line="360" w:lineRule="auto"/>
        <w:ind w:firstLine="555"/>
        <w:jc w:val="left"/>
        <w:rPr>
          <w:rFonts w:ascii="宋体" w:hAnsi="宋体"/>
          <w:kern w:val="0"/>
          <w:szCs w:val="21"/>
        </w:rPr>
      </w:pPr>
      <w:r>
        <w:rPr>
          <w:rFonts w:hint="eastAsia" w:ascii="宋体" w:hAnsi="宋体"/>
          <w:kern w:val="0"/>
          <w:szCs w:val="21"/>
        </w:rPr>
        <w:t>(</w:t>
      </w:r>
      <w:r>
        <w:rPr>
          <w:rFonts w:ascii="宋体" w:hAnsi="宋体"/>
          <w:kern w:val="0"/>
          <w:szCs w:val="21"/>
        </w:rPr>
        <w:t>2</w:t>
      </w:r>
      <w:r>
        <w:rPr>
          <w:rFonts w:hint="eastAsia" w:ascii="宋体" w:hAnsi="宋体"/>
          <w:kern w:val="0"/>
          <w:szCs w:val="21"/>
        </w:rPr>
        <w:t>)</w:t>
      </w:r>
      <w:bookmarkStart w:id="64" w:name="_Hlk71925120"/>
      <w:r>
        <w:rPr>
          <w:rFonts w:hint="eastAsia" w:ascii="宋体" w:hAnsi="宋体"/>
          <w:kern w:val="0"/>
          <w:szCs w:val="21"/>
        </w:rPr>
        <w:t>《关于印发中小企业划型标准规定的通知》（工信部联企业〔2011〕300 号</w:t>
      </w:r>
      <w:bookmarkEnd w:id="64"/>
      <w:r>
        <w:rPr>
          <w:rFonts w:hint="eastAsia" w:ascii="宋体" w:hAnsi="宋体"/>
          <w:kern w:val="0"/>
          <w:szCs w:val="21"/>
        </w:rPr>
        <w:t>）</w:t>
      </w:r>
    </w:p>
    <w:p w14:paraId="17051FAA">
      <w:pPr>
        <w:widowControl/>
        <w:snapToGrid w:val="0"/>
        <w:spacing w:line="360" w:lineRule="auto"/>
        <w:ind w:firstLine="555"/>
        <w:jc w:val="left"/>
        <w:rPr>
          <w:rFonts w:ascii="宋体" w:hAnsi="宋体"/>
          <w:kern w:val="0"/>
          <w:szCs w:val="21"/>
        </w:rPr>
      </w:pPr>
      <w:r>
        <w:rPr>
          <w:rFonts w:hint="eastAsia" w:ascii="宋体" w:hAnsi="宋体"/>
          <w:kern w:val="0"/>
          <w:szCs w:val="21"/>
        </w:rPr>
        <w:t>(3)国家统计局关于印发《统计上大中小微型企业划分办法 （2017）》的通知（国统字〔2017〕213 号）</w:t>
      </w:r>
    </w:p>
    <w:p w14:paraId="5A4BA026">
      <w:pPr>
        <w:widowControl/>
        <w:snapToGrid w:val="0"/>
        <w:spacing w:line="360" w:lineRule="auto"/>
        <w:ind w:firstLine="555"/>
        <w:jc w:val="left"/>
        <w:rPr>
          <w:rFonts w:ascii="宋体" w:hAnsi="宋体"/>
          <w:kern w:val="0"/>
          <w:szCs w:val="21"/>
        </w:rPr>
      </w:pPr>
      <w:r>
        <w:rPr>
          <w:rFonts w:hint="eastAsia" w:ascii="宋体" w:hAnsi="宋体"/>
          <w:kern w:val="0"/>
          <w:szCs w:val="21"/>
        </w:rPr>
        <w:t>(4)财政部 民政部 中国残疾人联合会关于促进残疾人就业 政府采购政策的通知（财库〔2017〕141号）</w:t>
      </w:r>
    </w:p>
    <w:p w14:paraId="65E28529">
      <w:pPr>
        <w:widowControl/>
        <w:snapToGrid w:val="0"/>
        <w:spacing w:line="360" w:lineRule="auto"/>
        <w:ind w:firstLine="555"/>
        <w:jc w:val="left"/>
        <w:rPr>
          <w:rFonts w:ascii="宋体" w:hAnsi="宋体"/>
          <w:szCs w:val="21"/>
        </w:rPr>
      </w:pPr>
      <w:r>
        <w:rPr>
          <w:rFonts w:hint="eastAsia" w:ascii="宋体" w:hAnsi="宋体"/>
          <w:kern w:val="0"/>
          <w:szCs w:val="21"/>
        </w:rPr>
        <w:t>(5)财政部 司法部关于政府采购支持监狱企业发展有关问题的通知（财库〔2014〕68号）</w:t>
      </w:r>
    </w:p>
    <w:p w14:paraId="34A44D5E">
      <w:pPr>
        <w:widowControl/>
        <w:snapToGrid w:val="0"/>
        <w:spacing w:line="360" w:lineRule="auto"/>
        <w:jc w:val="left"/>
        <w:rPr>
          <w:rFonts w:ascii="宋体" w:hAnsi="宋体"/>
          <w:kern w:val="0"/>
          <w:szCs w:val="21"/>
        </w:rPr>
      </w:pPr>
      <w:r>
        <w:rPr>
          <w:rFonts w:hint="eastAsia" w:ascii="宋体" w:hAnsi="宋体"/>
          <w:kern w:val="0"/>
          <w:szCs w:val="21"/>
        </w:rPr>
        <w:t xml:space="preserve">    3、请依照招标文件提供的格式和内容填写声明函，不要随意变更格式；满足多项优惠政策的投标人，不重复享受多项价格扣除政策。不符合要求的供应商可以不填写。</w:t>
      </w:r>
    </w:p>
    <w:p w14:paraId="24A6024D">
      <w:pPr>
        <w:widowControl/>
        <w:snapToGrid w:val="0"/>
        <w:spacing w:line="360" w:lineRule="auto"/>
        <w:jc w:val="left"/>
        <w:rPr>
          <w:rFonts w:ascii="宋体" w:hAnsi="宋体"/>
          <w:kern w:val="0"/>
          <w:szCs w:val="21"/>
        </w:rPr>
      </w:pPr>
      <w:r>
        <w:rPr>
          <w:rFonts w:hint="eastAsia" w:ascii="宋体" w:hAnsi="宋体"/>
          <w:kern w:val="0"/>
          <w:szCs w:val="21"/>
        </w:rPr>
        <w:t xml:space="preserve">    4、《中小企业声明函》填写要求：</w:t>
      </w:r>
    </w:p>
    <w:p w14:paraId="6E89740C">
      <w:pPr>
        <w:widowControl/>
        <w:snapToGrid w:val="0"/>
        <w:spacing w:line="360" w:lineRule="auto"/>
        <w:jc w:val="left"/>
        <w:rPr>
          <w:rFonts w:ascii="宋体" w:hAnsi="宋体"/>
          <w:kern w:val="0"/>
          <w:szCs w:val="21"/>
        </w:rPr>
      </w:pPr>
      <w:r>
        <w:rPr>
          <w:rFonts w:hint="eastAsia" w:ascii="宋体" w:hAnsi="宋体"/>
          <w:kern w:val="0"/>
          <w:szCs w:val="21"/>
        </w:rPr>
        <w:t xml:space="preserve">    （1）在“单位名称”下划线处如实填写</w:t>
      </w:r>
      <w:r>
        <w:rPr>
          <w:rFonts w:hint="eastAsia" w:ascii="宋体" w:hAnsi="宋体"/>
          <w:b/>
          <w:color w:val="FF0000"/>
          <w:kern w:val="0"/>
          <w:szCs w:val="21"/>
        </w:rPr>
        <w:t>采购人名称（详见采购人信息，非采购代理机构）</w:t>
      </w:r>
      <w:r>
        <w:rPr>
          <w:rFonts w:hint="eastAsia" w:ascii="宋体" w:hAnsi="宋体"/>
          <w:kern w:val="0"/>
          <w:szCs w:val="21"/>
        </w:rPr>
        <w:t>；</w:t>
      </w:r>
    </w:p>
    <w:p w14:paraId="3D2804B9">
      <w:pPr>
        <w:widowControl/>
        <w:snapToGrid w:val="0"/>
        <w:spacing w:line="360" w:lineRule="auto"/>
        <w:jc w:val="left"/>
        <w:rPr>
          <w:rFonts w:ascii="宋体" w:hAnsi="宋体"/>
          <w:kern w:val="0"/>
          <w:szCs w:val="21"/>
        </w:rPr>
      </w:pPr>
      <w:r>
        <w:rPr>
          <w:rFonts w:hint="eastAsia" w:ascii="宋体" w:hAnsi="宋体"/>
          <w:kern w:val="0"/>
          <w:szCs w:val="21"/>
        </w:rPr>
        <w:t xml:space="preserve">    （2）在“项目名称”下划线处如实填写</w:t>
      </w:r>
      <w:r>
        <w:rPr>
          <w:rFonts w:hint="eastAsia" w:ascii="宋体" w:hAnsi="宋体"/>
          <w:b/>
          <w:color w:val="FF0000"/>
          <w:kern w:val="0"/>
          <w:szCs w:val="21"/>
        </w:rPr>
        <w:t>采购项目名称</w:t>
      </w:r>
      <w:r>
        <w:rPr>
          <w:rFonts w:hint="eastAsia" w:ascii="宋体" w:hAnsi="宋体"/>
          <w:kern w:val="0"/>
          <w:szCs w:val="21"/>
        </w:rPr>
        <w:t>；</w:t>
      </w:r>
    </w:p>
    <w:p w14:paraId="75AFEC7A">
      <w:pPr>
        <w:widowControl/>
        <w:snapToGrid w:val="0"/>
        <w:spacing w:line="360" w:lineRule="auto"/>
        <w:jc w:val="left"/>
        <w:rPr>
          <w:rFonts w:ascii="宋体" w:hAnsi="宋体"/>
          <w:kern w:val="0"/>
          <w:szCs w:val="21"/>
        </w:rPr>
      </w:pPr>
      <w:r>
        <w:rPr>
          <w:rFonts w:hint="eastAsia" w:ascii="宋体" w:hAnsi="宋体"/>
          <w:kern w:val="0"/>
          <w:szCs w:val="21"/>
        </w:rPr>
        <w:t xml:space="preserve">    （3）在“标的名称”下划线处填写所采购标的（货物或服务或工程）的具体名称</w:t>
      </w:r>
      <w:r>
        <w:rPr>
          <w:rFonts w:hint="eastAsia" w:ascii="宋体" w:hAnsi="宋体"/>
          <w:b/>
          <w:bCs/>
          <w:color w:val="FF0000"/>
          <w:kern w:val="0"/>
          <w:szCs w:val="21"/>
        </w:rPr>
        <w:t>（具体详见第二章项目需求，如涉及多项标的，投标人需逐项进行响应）</w:t>
      </w:r>
      <w:r>
        <w:rPr>
          <w:rFonts w:hint="eastAsia" w:ascii="宋体" w:hAnsi="宋体"/>
          <w:kern w:val="0"/>
          <w:szCs w:val="21"/>
        </w:rPr>
        <w:t>；</w:t>
      </w:r>
    </w:p>
    <w:p w14:paraId="4BA44073">
      <w:pPr>
        <w:widowControl/>
        <w:snapToGrid w:val="0"/>
        <w:spacing w:line="360" w:lineRule="auto"/>
        <w:jc w:val="left"/>
        <w:rPr>
          <w:rFonts w:ascii="宋体" w:hAnsi="宋体"/>
          <w:kern w:val="0"/>
          <w:szCs w:val="21"/>
        </w:rPr>
      </w:pPr>
      <w:r>
        <w:rPr>
          <w:rFonts w:hint="eastAsia" w:ascii="宋体" w:hAnsi="宋体"/>
          <w:kern w:val="0"/>
          <w:szCs w:val="21"/>
        </w:rPr>
        <w:t xml:space="preserve">    （4）在“</w:t>
      </w:r>
      <w:r>
        <w:rPr>
          <w:rFonts w:ascii="宋体" w:hAnsi="宋体"/>
          <w:szCs w:val="21"/>
        </w:rPr>
        <w:t>采购文件</w:t>
      </w:r>
      <w:r>
        <w:rPr>
          <w:rFonts w:hint="eastAsia" w:ascii="宋体" w:hAnsi="宋体"/>
          <w:kern w:val="0"/>
          <w:szCs w:val="21"/>
        </w:rPr>
        <w:t>中明确的所属行业”下划线处填写采购文件规定的本项目所属行业</w:t>
      </w:r>
      <w:r>
        <w:rPr>
          <w:rFonts w:hint="eastAsia" w:ascii="宋体" w:hAnsi="宋体"/>
          <w:b/>
          <w:bCs/>
          <w:color w:val="FF0000"/>
          <w:kern w:val="0"/>
          <w:szCs w:val="21"/>
        </w:rPr>
        <w:t>（详见第四章 评标方法和标准）</w:t>
      </w:r>
      <w:r>
        <w:rPr>
          <w:rFonts w:hint="eastAsia" w:ascii="宋体" w:hAnsi="宋体"/>
          <w:kern w:val="0"/>
          <w:szCs w:val="21"/>
        </w:rPr>
        <w:t>；</w:t>
      </w:r>
    </w:p>
    <w:p w14:paraId="0B4DDBBF">
      <w:pPr>
        <w:widowControl/>
        <w:snapToGrid w:val="0"/>
        <w:spacing w:line="360" w:lineRule="auto"/>
        <w:jc w:val="left"/>
        <w:rPr>
          <w:rFonts w:ascii="宋体" w:hAnsi="宋体"/>
          <w:kern w:val="0"/>
          <w:szCs w:val="21"/>
        </w:rPr>
      </w:pPr>
      <w:r>
        <w:rPr>
          <w:rFonts w:hint="eastAsia" w:ascii="宋体" w:hAnsi="宋体"/>
          <w:kern w:val="0"/>
          <w:szCs w:val="21"/>
        </w:rPr>
        <w:t xml:space="preserve">    （5）在“从业人员”、“营业收入”、“资产总额”下划线处如实填写</w:t>
      </w:r>
      <w:r>
        <w:rPr>
          <w:rFonts w:hint="eastAsia" w:ascii="宋体" w:hAnsi="宋体"/>
          <w:b/>
          <w:color w:val="FF0000"/>
          <w:kern w:val="0"/>
          <w:szCs w:val="21"/>
        </w:rPr>
        <w:t>制造商（货物类）或承接企业（服务或工程类）</w:t>
      </w:r>
      <w:r>
        <w:rPr>
          <w:rFonts w:hint="eastAsia" w:asciiTheme="minorEastAsia" w:hAnsiTheme="minorEastAsia" w:eastAsiaTheme="minorEastAsia"/>
          <w:kern w:val="0"/>
          <w:szCs w:val="21"/>
        </w:rPr>
        <w:t>上一年度数据，从业人员、资产总额指标以上年度末数据为依据，营业收入指标以上年度累计数据为依据。无上年度数据的新成立企业可不填报。供应商应依据企业上年度从业人员、营业收入、资产总额等指标，按照《中小企业划型标准规定》（工信部联企业〔2011〕300 号）、《金融业企业划型标准规定》（银发〔2015〕309 号），判断《中小企业声明函》载明的货物制造商/服务承接商/工程承建商（根据项目属性确定）是否属于采购文件所属行业的中型企业/小型企业/微型企业</w:t>
      </w:r>
      <w:r>
        <w:rPr>
          <w:rFonts w:hint="eastAsia" w:ascii="宋体" w:hAnsi="宋体"/>
          <w:kern w:val="0"/>
          <w:szCs w:val="21"/>
        </w:rPr>
        <w:t>；</w:t>
      </w:r>
    </w:p>
    <w:p w14:paraId="5D633D10">
      <w:pPr>
        <w:widowControl/>
        <w:snapToGrid w:val="0"/>
        <w:spacing w:line="360" w:lineRule="auto"/>
        <w:ind w:firstLine="424" w:firstLineChars="202"/>
        <w:jc w:val="left"/>
        <w:rPr>
          <w:rFonts w:ascii="宋体" w:hAnsi="宋体"/>
          <w:kern w:val="0"/>
          <w:szCs w:val="21"/>
        </w:rPr>
      </w:pPr>
      <w:r>
        <w:rPr>
          <w:rFonts w:hint="eastAsia" w:ascii="宋体" w:hAnsi="宋体"/>
          <w:kern w:val="0"/>
          <w:szCs w:val="21"/>
        </w:rPr>
        <w:t>（6）在“中型企业、小型企业、微型企业”下划线处如实依照工信部联企业〔2011〕300号文填写相应的企业类型；</w:t>
      </w:r>
    </w:p>
    <w:p w14:paraId="7255BCE3">
      <w:pPr>
        <w:widowControl/>
        <w:snapToGrid w:val="0"/>
        <w:spacing w:line="360" w:lineRule="auto"/>
        <w:ind w:firstLine="426" w:firstLineChars="202"/>
        <w:jc w:val="left"/>
        <w:rPr>
          <w:rFonts w:ascii="宋体" w:hAnsi="宋体"/>
          <w:b/>
          <w:color w:val="FF0000"/>
          <w:kern w:val="0"/>
          <w:szCs w:val="21"/>
        </w:rPr>
      </w:pPr>
      <w:r>
        <w:rPr>
          <w:rFonts w:hint="eastAsia" w:ascii="宋体" w:hAnsi="宋体"/>
          <w:b/>
          <w:color w:val="FF0000"/>
          <w:kern w:val="0"/>
          <w:szCs w:val="21"/>
        </w:rPr>
        <w:t>（7）如为联合体投标或以分包形式投标的，需分别填写每家中小企业的企业名称、从业人员、营业收入、资产总额、企业类别（中型企业、小型企业、微型企业）等信息；</w:t>
      </w:r>
    </w:p>
    <w:p w14:paraId="6A7A8C7F">
      <w:pPr>
        <w:widowControl/>
        <w:snapToGrid w:val="0"/>
        <w:spacing w:line="360" w:lineRule="auto"/>
        <w:ind w:firstLine="352" w:firstLineChars="167"/>
        <w:jc w:val="left"/>
        <w:rPr>
          <w:rFonts w:asciiTheme="minorHAnsi" w:hAnsiTheme="minorHAnsi" w:eastAsiaTheme="minorEastAsia" w:cstheme="minorBidi"/>
          <w:szCs w:val="22"/>
        </w:rPr>
      </w:pPr>
      <w:r>
        <w:rPr>
          <w:rFonts w:hint="eastAsia" w:asciiTheme="minorEastAsia" w:hAnsiTheme="minorEastAsia" w:eastAsiaTheme="minorEastAsia"/>
          <w:b/>
          <w:color w:val="FF0000"/>
          <w:kern w:val="0"/>
          <w:szCs w:val="21"/>
        </w:rPr>
        <w:t>（8）</w:t>
      </w:r>
      <w:r>
        <w:rPr>
          <w:rFonts w:hint="eastAsia" w:asciiTheme="minorHAnsi" w:hAnsiTheme="minorHAnsi" w:eastAsiaTheme="minorEastAsia" w:cstheme="minorBidi"/>
          <w:b/>
          <w:color w:val="FF0000"/>
          <w:szCs w:val="22"/>
        </w:rPr>
        <w:t>《中小企业声明函》中制造商、承接/承建企业所属行业应当与招标文件要求的行业相一致</w:t>
      </w:r>
      <w:r>
        <w:rPr>
          <w:rFonts w:hint="eastAsia" w:asciiTheme="minorHAnsi" w:hAnsiTheme="minorHAnsi" w:eastAsiaTheme="minorEastAsia" w:cstheme="minorBidi"/>
          <w:color w:val="FF0000"/>
          <w:szCs w:val="22"/>
        </w:rPr>
        <w:t>。</w:t>
      </w:r>
      <w:r>
        <w:rPr>
          <w:rFonts w:hint="eastAsia" w:asciiTheme="minorHAnsi" w:hAnsiTheme="minorHAnsi" w:eastAsiaTheme="minorEastAsia" w:cstheme="minorBidi"/>
          <w:szCs w:val="22"/>
        </w:rPr>
        <w:t>供应商如有疑问，可根据《国民经济行业分类》（GB/T 4754-2017），结合《关于印发中小企业划型标准规定的通知》（工信部联企业〔2011〕300 号）进行判断。事业单位、社会组织等非企业主体不享受中小企业扶持政策，但事业单位、社会组织等非企业主体提供全部由中小企业制造的货物参加货物采购项目的除外；</w:t>
      </w:r>
    </w:p>
    <w:p w14:paraId="154C677C">
      <w:pPr>
        <w:widowControl/>
        <w:snapToGrid w:val="0"/>
        <w:spacing w:line="360" w:lineRule="auto"/>
        <w:ind w:firstLine="352" w:firstLineChars="167"/>
        <w:jc w:val="left"/>
        <w:rPr>
          <w:rFonts w:ascii="宋体" w:hAnsi="宋体" w:eastAsiaTheme="minorEastAsia" w:cstheme="minorBidi"/>
          <w:kern w:val="0"/>
          <w:szCs w:val="21"/>
        </w:rPr>
      </w:pPr>
      <w:r>
        <w:rPr>
          <w:rFonts w:hint="eastAsia" w:ascii="宋体" w:hAnsi="宋体" w:eastAsiaTheme="minorEastAsia" w:cstheme="minorBidi"/>
          <w:b/>
          <w:bCs/>
          <w:color w:val="FF0000"/>
          <w:kern w:val="0"/>
          <w:szCs w:val="21"/>
        </w:rPr>
        <w:t>（9）声明函正文中“企业名称”应填写投标（响应）的货物制造商/服务承接商/工程承建商（根据项目属性确定）。</w:t>
      </w:r>
      <w:r>
        <w:rPr>
          <w:rFonts w:hint="eastAsia" w:ascii="宋体" w:hAnsi="宋体" w:eastAsiaTheme="minorEastAsia" w:cstheme="minorBidi"/>
          <w:kern w:val="0"/>
          <w:szCs w:val="21"/>
        </w:rPr>
        <w:t>对于分包方式面向中小企业采购的项目，正文中“企业名称”应填写分包部分采购标的对应的货物制造商/服务承接商/工程承建商（根据项目属性确定）。对于以联合体方式面向中小企业采购的项目，正文中“企业名称”应填写联合体中中小企业承担采购标的对应的货物制造商/服务承接商/工程承建商（根据项目属性确定）</w:t>
      </w:r>
      <w:r>
        <w:rPr>
          <w:rFonts w:hint="eastAsia" w:ascii="宋体" w:hAnsi="宋体" w:eastAsiaTheme="minorEastAsia" w:cstheme="minorBidi"/>
          <w:b/>
          <w:bCs/>
          <w:color w:val="FF0000"/>
          <w:kern w:val="0"/>
          <w:szCs w:val="21"/>
        </w:rPr>
        <w:t>【《中小企业声明函》由参加政府采购活动的供应商出具；“</w:t>
      </w:r>
      <w:r>
        <w:rPr>
          <w:rFonts w:hint="eastAsia" w:ascii="宋体" w:hAnsi="宋体"/>
          <w:b/>
          <w:bCs/>
          <w:color w:val="FF0000"/>
          <w:szCs w:val="21"/>
        </w:rPr>
        <w:t>企业名称</w:t>
      </w:r>
      <w:r>
        <w:rPr>
          <w:rFonts w:ascii="宋体" w:hAnsi="宋体"/>
          <w:b/>
          <w:bCs/>
          <w:color w:val="FF0000"/>
          <w:szCs w:val="21"/>
        </w:rPr>
        <w:t>(</w:t>
      </w:r>
      <w:r>
        <w:rPr>
          <w:rFonts w:hint="eastAsia" w:ascii="宋体" w:hAnsi="宋体"/>
          <w:b/>
          <w:bCs/>
          <w:color w:val="FF0000"/>
          <w:szCs w:val="21"/>
        </w:rPr>
        <w:t>公章</w:t>
      </w:r>
      <w:r>
        <w:rPr>
          <w:rFonts w:ascii="宋体" w:hAnsi="宋体"/>
          <w:b/>
          <w:bCs/>
          <w:color w:val="FF0000"/>
          <w:szCs w:val="21"/>
        </w:rPr>
        <w:t>)</w:t>
      </w:r>
      <w:r>
        <w:rPr>
          <w:rFonts w:hint="eastAsia" w:ascii="宋体" w:hAnsi="宋体" w:eastAsiaTheme="minorEastAsia" w:cstheme="minorBidi"/>
          <w:b/>
          <w:bCs/>
          <w:color w:val="FF0000"/>
          <w:kern w:val="0"/>
          <w:szCs w:val="21"/>
        </w:rPr>
        <w:t>”填写投标（响应）供应商名称并加盖投标（响应）供应商公章】</w:t>
      </w:r>
      <w:r>
        <w:rPr>
          <w:rFonts w:hint="eastAsia" w:ascii="宋体" w:hAnsi="宋体" w:eastAsiaTheme="minorEastAsia" w:cstheme="minorBidi"/>
          <w:kern w:val="0"/>
          <w:szCs w:val="21"/>
        </w:rPr>
        <w:t>；</w:t>
      </w:r>
    </w:p>
    <w:p w14:paraId="12FCABF3">
      <w:pPr>
        <w:widowControl/>
        <w:snapToGrid w:val="0"/>
        <w:spacing w:line="360" w:lineRule="auto"/>
        <w:ind w:firstLine="350" w:firstLineChars="167"/>
        <w:jc w:val="left"/>
        <w:rPr>
          <w:rFonts w:ascii="宋体" w:hAnsi="宋体"/>
        </w:rPr>
      </w:pPr>
      <w:r>
        <w:rPr>
          <w:rFonts w:hint="eastAsia" w:ascii="宋体" w:hAnsi="宋体" w:eastAsiaTheme="minorEastAsia" w:cstheme="minorBidi"/>
          <w:kern w:val="0"/>
          <w:szCs w:val="21"/>
        </w:rPr>
        <w:t>（10）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677AE3DA">
      <w:pPr>
        <w:pStyle w:val="6"/>
        <w:tabs>
          <w:tab w:val="left" w:pos="0"/>
        </w:tabs>
        <w:jc w:val="center"/>
        <w:rPr>
          <w:rFonts w:ascii="宋体" w:hAnsi="宋体" w:eastAsia="宋体"/>
        </w:rPr>
      </w:pPr>
      <w:r>
        <w:rPr>
          <w:rFonts w:hint="eastAsia" w:ascii="宋体" w:hAnsi="宋体" w:eastAsia="宋体"/>
        </w:rPr>
        <w:t>中小企业声明函</w:t>
      </w:r>
    </w:p>
    <w:p w14:paraId="38E47855">
      <w:pPr>
        <w:pStyle w:val="21"/>
        <w:spacing w:line="302" w:lineRule="auto"/>
        <w:ind w:right="-1" w:firstLine="412"/>
        <w:rPr>
          <w:rFonts w:ascii="宋体" w:hAnsi="宋体"/>
          <w:szCs w:val="21"/>
        </w:rPr>
      </w:pPr>
      <w:r>
        <w:rPr>
          <w:rFonts w:ascii="宋体" w:hAnsi="宋体"/>
          <w:szCs w:val="21"/>
        </w:rPr>
        <w:t>本公司（联合体）郑重声明，根据《政府采购促进中小企业发展管理办法》（财库</w:t>
      </w:r>
      <w:r>
        <w:rPr>
          <w:rFonts w:hint="eastAsia" w:ascii="宋体" w:hAnsi="宋体"/>
          <w:szCs w:val="21"/>
        </w:rPr>
        <w:t>﹝</w:t>
      </w:r>
      <w:r>
        <w:rPr>
          <w:rFonts w:ascii="宋体" w:hAnsi="宋体"/>
          <w:szCs w:val="21"/>
        </w:rPr>
        <w:t>2020</w:t>
      </w:r>
      <w:r>
        <w:rPr>
          <w:rFonts w:hint="eastAsia" w:ascii="宋体" w:hAnsi="宋体"/>
          <w:szCs w:val="21"/>
        </w:rPr>
        <w:t>﹞</w:t>
      </w:r>
      <w:r>
        <w:rPr>
          <w:rFonts w:ascii="宋体" w:hAnsi="宋体"/>
          <w:szCs w:val="21"/>
        </w:rPr>
        <w:t>46 号）的规定，本公司（联合体）参加</w:t>
      </w:r>
      <w:r>
        <w:rPr>
          <w:rFonts w:ascii="宋体" w:hAnsi="宋体"/>
          <w:szCs w:val="21"/>
          <w:u w:val="single"/>
        </w:rPr>
        <w:t>（单位名称）</w:t>
      </w:r>
      <w:r>
        <w:rPr>
          <w:rFonts w:ascii="宋体" w:hAnsi="宋体"/>
          <w:szCs w:val="21"/>
        </w:rPr>
        <w:t>的</w:t>
      </w:r>
      <w:r>
        <w:rPr>
          <w:rFonts w:ascii="宋体" w:hAnsi="宋体"/>
          <w:szCs w:val="21"/>
          <w:u w:val="single"/>
        </w:rPr>
        <w:t>（项目名称）</w:t>
      </w:r>
      <w:r>
        <w:rPr>
          <w:rFonts w:ascii="宋体" w:hAnsi="宋体"/>
          <w:szCs w:val="21"/>
        </w:rPr>
        <w:t>采购活动，</w:t>
      </w:r>
      <w:r>
        <w:rPr>
          <w:rFonts w:hint="eastAsia" w:ascii="宋体" w:hAnsi="宋体"/>
          <w:szCs w:val="21"/>
        </w:rPr>
        <w:t>服务全部由符合政策要求的中小企业承接</w:t>
      </w:r>
      <w:r>
        <w:rPr>
          <w:rFonts w:ascii="宋体" w:hAnsi="宋体"/>
          <w:szCs w:val="21"/>
        </w:rPr>
        <w:t>。相关企业（含联合体中的中小企业、签订分包意向协议的中小企业）的具体情况如下：</w:t>
      </w:r>
    </w:p>
    <w:p w14:paraId="7DF55D33">
      <w:pPr>
        <w:pStyle w:val="21"/>
        <w:spacing w:line="302" w:lineRule="auto"/>
        <w:ind w:right="-1" w:firstLine="412"/>
        <w:rPr>
          <w:rFonts w:ascii="宋体" w:hAnsi="宋体"/>
          <w:szCs w:val="21"/>
        </w:rPr>
      </w:pPr>
      <w:r>
        <w:rPr>
          <w:rFonts w:hint="eastAsia" w:ascii="宋体" w:hAnsi="宋体"/>
          <w:szCs w:val="21"/>
        </w:rPr>
        <w:t xml:space="preserve">1. </w:t>
      </w:r>
      <w:r>
        <w:rPr>
          <w:rFonts w:ascii="宋体" w:hAnsi="宋体"/>
          <w:szCs w:val="21"/>
          <w:u w:val="single"/>
        </w:rPr>
        <w:t>（标的名称）</w:t>
      </w:r>
      <w:r>
        <w:rPr>
          <w:rFonts w:ascii="宋体" w:hAnsi="宋体"/>
          <w:szCs w:val="21"/>
        </w:rPr>
        <w:t>，属于</w:t>
      </w:r>
      <w:r>
        <w:rPr>
          <w:rFonts w:ascii="宋体" w:hAnsi="宋体"/>
          <w:szCs w:val="21"/>
          <w:u w:val="single"/>
        </w:rPr>
        <w:t>（采购文件中明确的所属行业）</w:t>
      </w:r>
      <w:r>
        <w:rPr>
          <w:rFonts w:ascii="宋体" w:hAnsi="宋体"/>
          <w:szCs w:val="21"/>
        </w:rPr>
        <w:t>；承接企业为</w:t>
      </w:r>
      <w:r>
        <w:rPr>
          <w:rFonts w:ascii="宋体" w:hAnsi="宋体"/>
          <w:szCs w:val="21"/>
          <w:u w:val="single"/>
        </w:rPr>
        <w:t>（企业名称）</w:t>
      </w:r>
      <w:r>
        <w:rPr>
          <w:rFonts w:ascii="宋体" w:hAnsi="宋体"/>
          <w:szCs w:val="21"/>
        </w:rPr>
        <w:t>，从业人员</w:t>
      </w:r>
      <w:r>
        <w:rPr>
          <w:rFonts w:ascii="宋体" w:hAnsi="宋体"/>
          <w:szCs w:val="21"/>
          <w:u w:val="single"/>
        </w:rPr>
        <w:tab/>
      </w:r>
      <w:r>
        <w:rPr>
          <w:rFonts w:ascii="宋体" w:hAnsi="宋体"/>
          <w:szCs w:val="21"/>
        </w:rPr>
        <w:t>人，营业收入为</w:t>
      </w:r>
      <w:r>
        <w:rPr>
          <w:rFonts w:ascii="宋体" w:hAnsi="宋体"/>
          <w:szCs w:val="21"/>
          <w:u w:val="single"/>
        </w:rPr>
        <w:tab/>
      </w:r>
      <w:r>
        <w:rPr>
          <w:rFonts w:ascii="宋体" w:hAnsi="宋体"/>
          <w:szCs w:val="21"/>
        </w:rPr>
        <w:t>万元，资产总额为万元，属于</w:t>
      </w:r>
      <w:r>
        <w:rPr>
          <w:rFonts w:ascii="宋体" w:hAnsi="宋体"/>
          <w:szCs w:val="21"/>
          <w:u w:val="single"/>
        </w:rPr>
        <w:t>（中型企业、小型企业、微型企业）</w:t>
      </w:r>
      <w:r>
        <w:rPr>
          <w:rFonts w:ascii="宋体" w:hAnsi="宋体"/>
          <w:szCs w:val="21"/>
        </w:rPr>
        <w:t>；</w:t>
      </w:r>
    </w:p>
    <w:p w14:paraId="23DFC335">
      <w:pPr>
        <w:pStyle w:val="21"/>
        <w:spacing w:line="302" w:lineRule="auto"/>
        <w:ind w:right="-1" w:firstLine="412"/>
        <w:rPr>
          <w:rFonts w:ascii="宋体" w:hAnsi="宋体"/>
          <w:szCs w:val="21"/>
        </w:rPr>
      </w:pPr>
      <w:r>
        <w:rPr>
          <w:rFonts w:hint="eastAsia" w:ascii="宋体" w:hAnsi="宋体"/>
          <w:szCs w:val="21"/>
        </w:rPr>
        <w:t xml:space="preserve">2. </w:t>
      </w:r>
      <w:r>
        <w:rPr>
          <w:rFonts w:ascii="宋体" w:hAnsi="宋体"/>
          <w:szCs w:val="21"/>
          <w:u w:val="single"/>
        </w:rPr>
        <w:t>（标的名称）</w:t>
      </w:r>
      <w:r>
        <w:rPr>
          <w:rFonts w:ascii="宋体" w:hAnsi="宋体"/>
          <w:szCs w:val="21"/>
        </w:rPr>
        <w:t>，属于</w:t>
      </w:r>
      <w:r>
        <w:rPr>
          <w:rFonts w:ascii="宋体" w:hAnsi="宋体"/>
          <w:szCs w:val="21"/>
          <w:u w:val="single"/>
        </w:rPr>
        <w:t>（采购文件中明确的所属行业）</w:t>
      </w:r>
      <w:r>
        <w:rPr>
          <w:rFonts w:ascii="宋体" w:hAnsi="宋体"/>
          <w:szCs w:val="21"/>
        </w:rPr>
        <w:t>；承接企业为</w:t>
      </w:r>
      <w:r>
        <w:rPr>
          <w:rFonts w:ascii="宋体" w:hAnsi="宋体"/>
          <w:szCs w:val="21"/>
          <w:u w:val="single"/>
        </w:rPr>
        <w:t>（企业名称）</w:t>
      </w:r>
      <w:r>
        <w:rPr>
          <w:rFonts w:ascii="宋体" w:hAnsi="宋体"/>
          <w:szCs w:val="21"/>
        </w:rPr>
        <w:t>，从业人员</w:t>
      </w:r>
      <w:r>
        <w:rPr>
          <w:rFonts w:ascii="宋体" w:hAnsi="宋体"/>
          <w:szCs w:val="21"/>
          <w:u w:val="single"/>
        </w:rPr>
        <w:tab/>
      </w:r>
      <w:r>
        <w:rPr>
          <w:rFonts w:ascii="宋体" w:hAnsi="宋体"/>
          <w:szCs w:val="21"/>
        </w:rPr>
        <w:t>人，营业收入为</w:t>
      </w:r>
      <w:r>
        <w:rPr>
          <w:rFonts w:ascii="宋体" w:hAnsi="宋体"/>
          <w:szCs w:val="21"/>
          <w:u w:val="single"/>
        </w:rPr>
        <w:tab/>
      </w:r>
      <w:r>
        <w:rPr>
          <w:rFonts w:ascii="宋体" w:hAnsi="宋体"/>
          <w:szCs w:val="21"/>
        </w:rPr>
        <w:t>万元，资产总额为万元，属于</w:t>
      </w:r>
      <w:r>
        <w:rPr>
          <w:rFonts w:ascii="宋体" w:hAnsi="宋体"/>
          <w:szCs w:val="21"/>
          <w:u w:val="single"/>
        </w:rPr>
        <w:t>（中型企业、小型企业、微型企业）</w:t>
      </w:r>
      <w:r>
        <w:rPr>
          <w:rFonts w:ascii="宋体" w:hAnsi="宋体"/>
          <w:szCs w:val="21"/>
        </w:rPr>
        <w:t>；</w:t>
      </w:r>
    </w:p>
    <w:p w14:paraId="4F263121">
      <w:pPr>
        <w:pStyle w:val="21"/>
        <w:spacing w:before="11"/>
        <w:ind w:right="-1" w:firstLine="424" w:firstLineChars="202"/>
        <w:rPr>
          <w:rFonts w:ascii="宋体" w:hAnsi="宋体"/>
          <w:szCs w:val="21"/>
        </w:rPr>
      </w:pPr>
      <w:r>
        <w:rPr>
          <w:rFonts w:ascii="宋体" w:hAnsi="宋体"/>
          <w:szCs w:val="21"/>
        </w:rPr>
        <w:t>……</w:t>
      </w:r>
    </w:p>
    <w:p w14:paraId="00017EA2">
      <w:pPr>
        <w:pStyle w:val="21"/>
        <w:spacing w:line="302" w:lineRule="auto"/>
        <w:ind w:right="-1" w:firstLine="412"/>
        <w:rPr>
          <w:rFonts w:ascii="宋体" w:hAnsi="宋体"/>
          <w:szCs w:val="21"/>
        </w:rPr>
      </w:pPr>
      <w:r>
        <w:rPr>
          <w:rFonts w:ascii="宋体" w:hAnsi="宋体"/>
          <w:szCs w:val="21"/>
        </w:rPr>
        <w:t>以上企业，不属于大企业的分支机构，不存在控股股东为大企业的情形，也不存在与大企业的负责人为同一人的情形。</w:t>
      </w:r>
    </w:p>
    <w:p w14:paraId="551A9FEF">
      <w:pPr>
        <w:pStyle w:val="21"/>
        <w:spacing w:line="302" w:lineRule="auto"/>
        <w:ind w:right="-1" w:firstLine="412"/>
        <w:rPr>
          <w:rFonts w:ascii="宋体" w:hAnsi="宋体"/>
          <w:szCs w:val="21"/>
        </w:rPr>
      </w:pPr>
      <w:r>
        <w:rPr>
          <w:rFonts w:ascii="宋体" w:hAnsi="宋体"/>
          <w:szCs w:val="21"/>
        </w:rPr>
        <w:t>本企业对上述声明内容的真实性负责。如有虚假，将依法承担相应责任</w:t>
      </w:r>
      <w:r>
        <w:rPr>
          <w:rFonts w:hint="eastAsia" w:ascii="宋体" w:hAnsi="宋体"/>
          <w:szCs w:val="21"/>
        </w:rPr>
        <w:t>。</w:t>
      </w:r>
    </w:p>
    <w:p w14:paraId="2338985D">
      <w:pPr>
        <w:pStyle w:val="21"/>
        <w:spacing w:line="302" w:lineRule="auto"/>
        <w:ind w:right="-1" w:firstLine="412"/>
        <w:rPr>
          <w:rFonts w:ascii="宋体" w:hAnsi="宋体"/>
          <w:szCs w:val="21"/>
        </w:rPr>
      </w:pPr>
      <w:r>
        <w:rPr>
          <w:rFonts w:ascii="宋体" w:hAnsi="宋体"/>
          <w:szCs w:val="21"/>
        </w:rPr>
        <w:t>本企业</w:t>
      </w:r>
      <w:r>
        <w:rPr>
          <w:rFonts w:hint="eastAsia" w:ascii="宋体" w:hAnsi="宋体"/>
          <w:szCs w:val="21"/>
        </w:rPr>
        <w:t>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5C4438C6">
      <w:pPr>
        <w:spacing w:line="360" w:lineRule="auto"/>
        <w:ind w:firstLine="420" w:firstLineChars="200"/>
        <w:rPr>
          <w:rFonts w:ascii="宋体" w:hAnsi="宋体"/>
          <w:szCs w:val="21"/>
        </w:rPr>
      </w:pPr>
    </w:p>
    <w:p w14:paraId="57963893">
      <w:pPr>
        <w:spacing w:line="360" w:lineRule="auto"/>
        <w:ind w:firstLine="420" w:firstLineChars="200"/>
        <w:jc w:val="right"/>
        <w:rPr>
          <w:rFonts w:ascii="宋体" w:hAnsi="宋体"/>
          <w:szCs w:val="21"/>
        </w:rPr>
      </w:pPr>
      <w:r>
        <w:rPr>
          <w:rFonts w:hint="eastAsia" w:ascii="宋体" w:hAnsi="宋体"/>
          <w:szCs w:val="21"/>
        </w:rPr>
        <w:t>企业名称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52A76C6F">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13ADAD8F">
      <w:pPr>
        <w:spacing w:line="360" w:lineRule="auto"/>
        <w:ind w:firstLine="420" w:firstLineChars="200"/>
        <w:rPr>
          <w:rFonts w:ascii="宋体" w:hAnsi="宋体"/>
          <w:szCs w:val="21"/>
        </w:rPr>
      </w:pPr>
      <w:r>
        <w:rPr>
          <w:rFonts w:hint="eastAsia" w:ascii="宋体" w:hAnsi="宋体"/>
          <w:szCs w:val="21"/>
        </w:rPr>
        <w:t>备注：</w:t>
      </w:r>
    </w:p>
    <w:p w14:paraId="16B460FD">
      <w:pPr>
        <w:spacing w:line="360" w:lineRule="auto"/>
        <w:ind w:firstLine="420" w:firstLineChars="200"/>
        <w:rPr>
          <w:rFonts w:ascii="宋体" w:hAnsi="宋体"/>
          <w:szCs w:val="21"/>
        </w:rPr>
      </w:pPr>
      <w:r>
        <w:rPr>
          <w:rFonts w:hint="eastAsia" w:ascii="宋体" w:hAnsi="宋体"/>
          <w:szCs w:val="21"/>
        </w:rPr>
        <w:t>1、填写前请认真阅读《工业和信息化部、国家统计局、国家发展和改革委员会、财政部关于印发中小企业划型标准规定的通知》</w:t>
      </w:r>
      <w:r>
        <w:rPr>
          <w:rFonts w:ascii="宋体" w:hAnsi="宋体"/>
          <w:szCs w:val="21"/>
        </w:rPr>
        <w:t>(</w:t>
      </w:r>
      <w:r>
        <w:rPr>
          <w:rFonts w:hint="eastAsia" w:ascii="宋体" w:hAnsi="宋体"/>
          <w:szCs w:val="21"/>
        </w:rPr>
        <w:t>工信部联企业〔</w:t>
      </w:r>
      <w:r>
        <w:rPr>
          <w:rFonts w:ascii="宋体" w:hAnsi="宋体"/>
          <w:szCs w:val="21"/>
        </w:rPr>
        <w:t>2011</w:t>
      </w:r>
      <w:r>
        <w:rPr>
          <w:rFonts w:hint="eastAsia" w:ascii="宋体" w:hAnsi="宋体"/>
          <w:szCs w:val="21"/>
        </w:rPr>
        <w:t>〕</w:t>
      </w:r>
      <w:r>
        <w:rPr>
          <w:rFonts w:ascii="宋体" w:hAnsi="宋体"/>
          <w:szCs w:val="21"/>
        </w:rPr>
        <w:t>300</w:t>
      </w:r>
      <w:r>
        <w:rPr>
          <w:rFonts w:hint="eastAsia" w:ascii="宋体" w:hAnsi="宋体"/>
          <w:szCs w:val="21"/>
        </w:rPr>
        <w:t>号</w:t>
      </w:r>
      <w:r>
        <w:rPr>
          <w:rFonts w:ascii="宋体" w:hAnsi="宋体"/>
          <w:szCs w:val="21"/>
        </w:rPr>
        <w:t>)</w:t>
      </w:r>
      <w:r>
        <w:rPr>
          <w:rFonts w:hint="eastAsia" w:ascii="宋体" w:hAnsi="宋体"/>
          <w:szCs w:val="21"/>
        </w:rPr>
        <w:t>和《财政部 工业和信息化部关于印发《政府采购促进中小企业发展管理办法》的通知》</w:t>
      </w:r>
      <w:r>
        <w:rPr>
          <w:rFonts w:ascii="宋体" w:hAnsi="宋体"/>
          <w:szCs w:val="21"/>
        </w:rPr>
        <w:t>(</w:t>
      </w:r>
      <w:r>
        <w:rPr>
          <w:rFonts w:hint="eastAsia" w:ascii="宋体" w:hAnsi="宋体"/>
          <w:szCs w:val="21"/>
        </w:rPr>
        <w:t>财库〔2020〕46号</w:t>
      </w:r>
      <w:r>
        <w:rPr>
          <w:rFonts w:ascii="宋体" w:hAnsi="宋体"/>
          <w:szCs w:val="21"/>
        </w:rPr>
        <w:t>)</w:t>
      </w:r>
      <w:r>
        <w:rPr>
          <w:rFonts w:hint="eastAsia" w:ascii="宋体" w:hAnsi="宋体"/>
          <w:szCs w:val="21"/>
        </w:rPr>
        <w:t>相关规定。</w:t>
      </w:r>
    </w:p>
    <w:p w14:paraId="09298D4C">
      <w:pPr>
        <w:spacing w:line="360" w:lineRule="auto"/>
        <w:ind w:firstLine="424" w:firstLineChars="202"/>
        <w:rPr>
          <w:rFonts w:ascii="宋体" w:hAnsi="宋体"/>
          <w:szCs w:val="21"/>
        </w:rPr>
      </w:pPr>
      <w:r>
        <w:rPr>
          <w:rFonts w:hint="eastAsia" w:ascii="宋体" w:hAnsi="宋体"/>
          <w:szCs w:val="21"/>
        </w:rPr>
        <w:t>2、从业人员、营业收入、资产总额填报上一年度数据，无上一年度数据的新成立企业可不填报。</w:t>
      </w:r>
    </w:p>
    <w:p w14:paraId="4EFED41A">
      <w:pPr>
        <w:spacing w:line="360" w:lineRule="auto"/>
        <w:ind w:firstLine="424" w:firstLineChars="202"/>
        <w:rPr>
          <w:rFonts w:ascii="宋体" w:hAnsi="宋体"/>
          <w:szCs w:val="22"/>
        </w:rPr>
      </w:pPr>
      <w:r>
        <w:rPr>
          <w:rFonts w:hint="eastAsia" w:ascii="宋体" w:hAnsi="宋体"/>
          <w:szCs w:val="22"/>
        </w:rPr>
        <w:t>3、中小企业参加政府采购活动，应当按照国务院批准的《中小企业划型标准规定》（工信部联企业〔2011〕300 号）、《金融业企业划型标准规定》（银发〔2015〕309 号）和《财政部工业和信息化部关于印发〈政府采购促进中小企业发展管理办法〉的通知》（财库〔2020〕46 号）的规定，出具《中小企业声明函》，</w:t>
      </w:r>
      <w:r>
        <w:rPr>
          <w:rFonts w:hint="eastAsia" w:ascii="宋体" w:hAnsi="宋体"/>
          <w:b/>
          <w:szCs w:val="22"/>
        </w:rPr>
        <w:t>《中小企业声明函》中相关企业所属行业应当与采购标的所属行业相一致</w:t>
      </w:r>
      <w:r>
        <w:rPr>
          <w:rFonts w:hint="eastAsia" w:ascii="宋体" w:hAnsi="宋体"/>
          <w:szCs w:val="22"/>
        </w:rPr>
        <w:t>。</w:t>
      </w:r>
    </w:p>
    <w:p w14:paraId="2608375D">
      <w:pPr>
        <w:spacing w:line="360" w:lineRule="auto"/>
        <w:ind w:firstLine="420" w:firstLineChars="200"/>
        <w:rPr>
          <w:rFonts w:ascii="宋体" w:hAnsi="宋体"/>
          <w:szCs w:val="21"/>
        </w:rPr>
      </w:pPr>
    </w:p>
    <w:p w14:paraId="0A80469A">
      <w:pPr>
        <w:pStyle w:val="6"/>
        <w:tabs>
          <w:tab w:val="left" w:pos="0"/>
        </w:tabs>
        <w:jc w:val="center"/>
        <w:rPr>
          <w:rFonts w:ascii="宋体" w:hAnsi="宋体" w:eastAsia="宋体"/>
        </w:rPr>
      </w:pPr>
      <w:r>
        <w:rPr>
          <w:rFonts w:hint="eastAsia" w:ascii="宋体" w:hAnsi="宋体" w:eastAsia="宋体"/>
        </w:rPr>
        <w:t>监狱企业声明函</w:t>
      </w:r>
    </w:p>
    <w:p w14:paraId="6B77B14B">
      <w:pPr>
        <w:spacing w:after="60" w:line="360" w:lineRule="auto"/>
        <w:ind w:firstLine="420" w:firstLineChars="200"/>
        <w:rPr>
          <w:rFonts w:ascii="宋体" w:hAnsi="宋体"/>
          <w:szCs w:val="21"/>
        </w:rPr>
      </w:pPr>
      <w:r>
        <w:rPr>
          <w:rFonts w:hint="eastAsia" w:ascii="宋体" w:hAnsi="宋体"/>
          <w:szCs w:val="21"/>
        </w:rPr>
        <w:t>本单位郑重声明，根据《财政部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号）的规定，本单位为符合条件的监狱企业。</w:t>
      </w:r>
    </w:p>
    <w:p w14:paraId="3EC8ECF6">
      <w:pPr>
        <w:spacing w:after="60"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77A239F0">
      <w:pPr>
        <w:spacing w:line="360" w:lineRule="auto"/>
        <w:ind w:firstLine="420" w:firstLineChars="200"/>
        <w:jc w:val="right"/>
        <w:rPr>
          <w:rFonts w:ascii="宋体" w:hAnsi="宋体"/>
          <w:szCs w:val="21"/>
        </w:rPr>
      </w:pPr>
      <w:r>
        <w:rPr>
          <w:rFonts w:hint="eastAsia" w:ascii="宋体" w:hAnsi="宋体"/>
          <w:szCs w:val="21"/>
        </w:rPr>
        <w:t>单位名称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3BD9BAA1">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1702AAB4">
      <w:pPr>
        <w:spacing w:line="360" w:lineRule="auto"/>
        <w:ind w:firstLine="645"/>
        <w:rPr>
          <w:rFonts w:ascii="宋体"/>
          <w:b/>
          <w:szCs w:val="21"/>
        </w:rPr>
      </w:pPr>
    </w:p>
    <w:p w14:paraId="71A0B124">
      <w:pPr>
        <w:spacing w:after="60" w:line="360" w:lineRule="auto"/>
        <w:ind w:firstLine="422" w:firstLineChars="200"/>
        <w:rPr>
          <w:rFonts w:ascii="宋体" w:hAnsi="宋体"/>
          <w:b/>
          <w:szCs w:val="21"/>
        </w:rPr>
      </w:pPr>
      <w:r>
        <w:rPr>
          <w:rFonts w:hint="eastAsia" w:ascii="宋体" w:hAnsi="宋体"/>
          <w:b/>
          <w:szCs w:val="21"/>
        </w:rPr>
        <w:t>附：省级以上监狱管理局、戒毒管理局（含新疆生产建设兵团）出具的监狱企业证明文件。</w:t>
      </w:r>
    </w:p>
    <w:p w14:paraId="4AD7771B">
      <w:pPr>
        <w:spacing w:line="360" w:lineRule="auto"/>
        <w:ind w:left="723" w:hanging="723" w:hangingChars="300"/>
        <w:rPr>
          <w:b/>
          <w:sz w:val="24"/>
        </w:rPr>
      </w:pPr>
    </w:p>
    <w:p w14:paraId="3F6BE16C">
      <w:pPr>
        <w:spacing w:line="360" w:lineRule="auto"/>
        <w:ind w:firstLine="424" w:firstLineChars="202"/>
        <w:rPr>
          <w:rFonts w:ascii="宋体" w:hAnsi="宋体"/>
          <w:szCs w:val="21"/>
        </w:rPr>
      </w:pPr>
      <w:r>
        <w:rPr>
          <w:rFonts w:hint="eastAsia" w:ascii="宋体" w:hAnsi="宋体"/>
          <w:szCs w:val="21"/>
        </w:rPr>
        <w:t>备注：填写前请认真阅读《财政部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14:paraId="02097AB3">
      <w:pPr>
        <w:spacing w:line="360" w:lineRule="auto"/>
        <w:ind w:firstLine="420" w:firstLineChars="200"/>
        <w:rPr>
          <w:rFonts w:ascii="宋体" w:hAnsi="宋体"/>
          <w:szCs w:val="21"/>
        </w:rPr>
      </w:pPr>
    </w:p>
    <w:p w14:paraId="665EDF38">
      <w:pPr>
        <w:pStyle w:val="6"/>
        <w:tabs>
          <w:tab w:val="left" w:pos="0"/>
        </w:tabs>
        <w:jc w:val="center"/>
        <w:rPr>
          <w:rFonts w:ascii="宋体" w:hAnsi="宋体" w:eastAsia="宋体"/>
        </w:rPr>
      </w:pPr>
      <w:r>
        <w:rPr>
          <w:rFonts w:hint="eastAsia" w:ascii="宋体" w:hAnsi="宋体" w:eastAsia="宋体"/>
        </w:rPr>
        <w:t>残疾人福利性单位声明函</w:t>
      </w:r>
    </w:p>
    <w:p w14:paraId="384BBFFE">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141号）的规定，本单位为符合条件的残疾人福利性单位，且本单位参加单位的项目采购活动，由本单位提供服务。</w:t>
      </w:r>
    </w:p>
    <w:p w14:paraId="718B75D3">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5E328858">
      <w:pPr>
        <w:spacing w:line="360" w:lineRule="auto"/>
        <w:ind w:firstLine="420" w:firstLineChars="200"/>
        <w:rPr>
          <w:rFonts w:ascii="宋体" w:hAnsi="宋体"/>
          <w:szCs w:val="21"/>
        </w:rPr>
      </w:pPr>
      <w:r>
        <w:rPr>
          <w:rFonts w:hint="eastAsia" w:ascii="宋体" w:hAnsi="宋体"/>
          <w:szCs w:val="21"/>
        </w:rPr>
        <w:t>本单位知悉《关于促进残疾人就业政府采购政策的通知》（财库〔2017〕141 号）的规定，承诺提供的声明函内容是真实的，如提供声明函内容不实，则依法追究相关法律责任。</w:t>
      </w:r>
    </w:p>
    <w:p w14:paraId="7D9A6AFF">
      <w:pPr>
        <w:spacing w:line="360" w:lineRule="auto"/>
        <w:ind w:firstLine="420" w:firstLineChars="200"/>
        <w:rPr>
          <w:rFonts w:ascii="宋体" w:hAnsi="宋体"/>
          <w:szCs w:val="21"/>
        </w:rPr>
      </w:pPr>
    </w:p>
    <w:p w14:paraId="2A59888A">
      <w:pPr>
        <w:spacing w:line="360" w:lineRule="auto"/>
        <w:ind w:firstLine="420" w:firstLineChars="200"/>
        <w:jc w:val="right"/>
        <w:rPr>
          <w:rFonts w:ascii="宋体" w:hAnsi="宋体"/>
          <w:szCs w:val="21"/>
        </w:rPr>
      </w:pPr>
      <w:r>
        <w:rPr>
          <w:rFonts w:hint="eastAsia" w:ascii="宋体" w:hAnsi="宋体"/>
          <w:szCs w:val="21"/>
        </w:rPr>
        <w:t>单位名称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48347AE6">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4E3FB586">
      <w:pPr>
        <w:spacing w:line="360" w:lineRule="auto"/>
        <w:ind w:firstLine="420" w:firstLineChars="200"/>
        <w:jc w:val="right"/>
        <w:rPr>
          <w:rFonts w:ascii="宋体" w:hAnsi="宋体"/>
          <w:szCs w:val="21"/>
        </w:rPr>
      </w:pPr>
    </w:p>
    <w:p w14:paraId="15ABB667">
      <w:pPr>
        <w:spacing w:line="360" w:lineRule="auto"/>
        <w:jc w:val="left"/>
        <w:rPr>
          <w:rFonts w:ascii="宋体" w:hAnsi="宋体"/>
          <w:szCs w:val="21"/>
        </w:rPr>
      </w:pPr>
      <w:r>
        <w:rPr>
          <w:rFonts w:hint="eastAsia" w:ascii="宋体" w:hAnsi="宋体"/>
          <w:szCs w:val="21"/>
        </w:rPr>
        <w:t xml:space="preserve">    备注：填写前请认真阅读《财政部 民政部 中国残疾人联合会关于促进残疾人就业政府采购政策的通知》</w:t>
      </w:r>
      <w:r>
        <w:rPr>
          <w:rFonts w:ascii="宋体" w:hAnsi="宋体"/>
          <w:szCs w:val="21"/>
        </w:rPr>
        <w:t>(</w:t>
      </w:r>
      <w:r>
        <w:rPr>
          <w:rFonts w:hint="eastAsia" w:ascii="宋体" w:hAnsi="宋体"/>
          <w:szCs w:val="21"/>
        </w:rPr>
        <w:t>财库〔2017〕141号</w:t>
      </w:r>
      <w:r>
        <w:rPr>
          <w:rFonts w:ascii="宋体" w:hAnsi="宋体"/>
          <w:szCs w:val="21"/>
        </w:rPr>
        <w:t>)</w:t>
      </w:r>
      <w:r>
        <w:rPr>
          <w:rFonts w:hint="eastAsia" w:ascii="宋体" w:hAnsi="宋体"/>
          <w:szCs w:val="21"/>
        </w:rPr>
        <w:t>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w:t>
      </w:r>
    </w:p>
    <w:p w14:paraId="6DAAEF3B">
      <w:bookmarkStart w:id="65" w:name="_Toc44690706"/>
      <w:bookmarkStart w:id="66" w:name="_Toc44690433"/>
      <w:bookmarkStart w:id="67" w:name="_Toc135293186"/>
      <w:bookmarkStart w:id="68" w:name="_Toc44691165"/>
      <w:bookmarkStart w:id="69" w:name="_Toc44691397"/>
    </w:p>
    <w:p w14:paraId="216E61CC"/>
    <w:p w14:paraId="48AA85AA">
      <w:pPr>
        <w:keepNext/>
        <w:keepLines/>
        <w:tabs>
          <w:tab w:val="left" w:pos="0"/>
        </w:tabs>
        <w:spacing w:before="280" w:after="290" w:line="376" w:lineRule="auto"/>
        <w:jc w:val="center"/>
        <w:outlineLvl w:val="3"/>
        <w:rPr>
          <w:rFonts w:ascii="宋体" w:hAnsi="宋体"/>
          <w:b/>
          <w:bCs/>
          <w:sz w:val="28"/>
          <w:szCs w:val="28"/>
        </w:rPr>
      </w:pPr>
      <w:r>
        <w:rPr>
          <w:rFonts w:hint="eastAsia" w:ascii="宋体" w:hAnsi="宋体"/>
          <w:b/>
          <w:bCs/>
          <w:sz w:val="28"/>
          <w:szCs w:val="28"/>
        </w:rPr>
        <w:t>列入政府优先采购清单的投标产品一览表</w:t>
      </w:r>
    </w:p>
    <w:tbl>
      <w:tblPr>
        <w:tblStyle w:val="50"/>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076"/>
        <w:gridCol w:w="1632"/>
        <w:gridCol w:w="725"/>
        <w:gridCol w:w="1100"/>
        <w:gridCol w:w="2035"/>
        <w:gridCol w:w="1333"/>
        <w:gridCol w:w="638"/>
      </w:tblGrid>
      <w:tr w14:paraId="0EDF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79" w:type="dxa"/>
            <w:vMerge w:val="restart"/>
            <w:vAlign w:val="center"/>
          </w:tcPr>
          <w:p w14:paraId="20881D34">
            <w:pPr>
              <w:jc w:val="center"/>
              <w:rPr>
                <w:b/>
                <w:szCs w:val="21"/>
              </w:rPr>
            </w:pPr>
            <w:r>
              <w:rPr>
                <w:rFonts w:hint="eastAsia"/>
                <w:b/>
                <w:szCs w:val="21"/>
              </w:rPr>
              <w:t>序号</w:t>
            </w:r>
          </w:p>
        </w:tc>
        <w:tc>
          <w:tcPr>
            <w:tcW w:w="1076" w:type="dxa"/>
            <w:vMerge w:val="restart"/>
            <w:vAlign w:val="center"/>
          </w:tcPr>
          <w:p w14:paraId="4CD01891">
            <w:pPr>
              <w:jc w:val="center"/>
              <w:rPr>
                <w:b/>
                <w:szCs w:val="21"/>
              </w:rPr>
            </w:pPr>
            <w:r>
              <w:rPr>
                <w:rFonts w:hint="eastAsia"/>
                <w:b/>
                <w:szCs w:val="21"/>
              </w:rPr>
              <w:t>投标产品名称</w:t>
            </w:r>
          </w:p>
        </w:tc>
        <w:tc>
          <w:tcPr>
            <w:tcW w:w="1632" w:type="dxa"/>
            <w:vMerge w:val="restart"/>
            <w:vAlign w:val="center"/>
          </w:tcPr>
          <w:p w14:paraId="42FAFBDF">
            <w:pPr>
              <w:jc w:val="center"/>
              <w:rPr>
                <w:b/>
                <w:szCs w:val="21"/>
              </w:rPr>
            </w:pPr>
            <w:r>
              <w:rPr>
                <w:rFonts w:hint="eastAsia"/>
                <w:b/>
                <w:szCs w:val="21"/>
              </w:rPr>
              <w:t>规格及型号</w:t>
            </w:r>
          </w:p>
        </w:tc>
        <w:tc>
          <w:tcPr>
            <w:tcW w:w="3860" w:type="dxa"/>
            <w:gridSpan w:val="3"/>
            <w:vAlign w:val="center"/>
          </w:tcPr>
          <w:p w14:paraId="1420D54E">
            <w:pPr>
              <w:jc w:val="center"/>
              <w:rPr>
                <w:b/>
                <w:szCs w:val="21"/>
              </w:rPr>
            </w:pPr>
            <w:r>
              <w:rPr>
                <w:rFonts w:hint="eastAsia"/>
                <w:b/>
                <w:szCs w:val="21"/>
              </w:rPr>
              <w:t>投标产品报价</w:t>
            </w:r>
          </w:p>
        </w:tc>
        <w:tc>
          <w:tcPr>
            <w:tcW w:w="1333" w:type="dxa"/>
            <w:vMerge w:val="restart"/>
            <w:vAlign w:val="center"/>
          </w:tcPr>
          <w:p w14:paraId="4B07BF52">
            <w:pPr>
              <w:jc w:val="center"/>
              <w:rPr>
                <w:b/>
                <w:szCs w:val="21"/>
              </w:rPr>
            </w:pPr>
            <w:r>
              <w:rPr>
                <w:rFonts w:hint="eastAsia"/>
                <w:b/>
                <w:szCs w:val="21"/>
              </w:rPr>
              <w:t>属于优先采购清单的类别</w:t>
            </w:r>
          </w:p>
        </w:tc>
        <w:tc>
          <w:tcPr>
            <w:tcW w:w="638" w:type="dxa"/>
            <w:vMerge w:val="restart"/>
            <w:vAlign w:val="center"/>
          </w:tcPr>
          <w:p w14:paraId="4D63AE72">
            <w:pPr>
              <w:jc w:val="center"/>
              <w:rPr>
                <w:b/>
                <w:szCs w:val="21"/>
              </w:rPr>
            </w:pPr>
            <w:r>
              <w:rPr>
                <w:rFonts w:hint="eastAsia"/>
                <w:b/>
                <w:szCs w:val="21"/>
              </w:rPr>
              <w:t>备注</w:t>
            </w:r>
          </w:p>
        </w:tc>
      </w:tr>
      <w:tr w14:paraId="56DB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79" w:type="dxa"/>
            <w:vMerge w:val="continue"/>
            <w:vAlign w:val="center"/>
          </w:tcPr>
          <w:p w14:paraId="310E2490">
            <w:pPr>
              <w:rPr>
                <w:szCs w:val="21"/>
              </w:rPr>
            </w:pPr>
          </w:p>
        </w:tc>
        <w:tc>
          <w:tcPr>
            <w:tcW w:w="1076" w:type="dxa"/>
            <w:vMerge w:val="continue"/>
            <w:vAlign w:val="center"/>
          </w:tcPr>
          <w:p w14:paraId="72CBA3EF">
            <w:pPr>
              <w:rPr>
                <w:szCs w:val="21"/>
              </w:rPr>
            </w:pPr>
          </w:p>
        </w:tc>
        <w:tc>
          <w:tcPr>
            <w:tcW w:w="1632" w:type="dxa"/>
            <w:vMerge w:val="continue"/>
            <w:vAlign w:val="center"/>
          </w:tcPr>
          <w:p w14:paraId="7A14B40C">
            <w:pPr>
              <w:rPr>
                <w:szCs w:val="21"/>
              </w:rPr>
            </w:pPr>
          </w:p>
        </w:tc>
        <w:tc>
          <w:tcPr>
            <w:tcW w:w="725" w:type="dxa"/>
            <w:vAlign w:val="center"/>
          </w:tcPr>
          <w:p w14:paraId="4EA25963">
            <w:pPr>
              <w:rPr>
                <w:szCs w:val="21"/>
              </w:rPr>
            </w:pPr>
            <w:r>
              <w:rPr>
                <w:rFonts w:hint="eastAsia"/>
                <w:szCs w:val="21"/>
              </w:rPr>
              <w:t>数量</w:t>
            </w:r>
          </w:p>
        </w:tc>
        <w:tc>
          <w:tcPr>
            <w:tcW w:w="1100" w:type="dxa"/>
            <w:vAlign w:val="center"/>
          </w:tcPr>
          <w:p w14:paraId="59520723">
            <w:pPr>
              <w:jc w:val="center"/>
              <w:rPr>
                <w:szCs w:val="21"/>
              </w:rPr>
            </w:pPr>
            <w:r>
              <w:rPr>
                <w:rFonts w:hint="eastAsia"/>
                <w:szCs w:val="21"/>
              </w:rPr>
              <w:t>投标单价（元）</w:t>
            </w:r>
          </w:p>
        </w:tc>
        <w:tc>
          <w:tcPr>
            <w:tcW w:w="2035" w:type="dxa"/>
            <w:vAlign w:val="center"/>
          </w:tcPr>
          <w:p w14:paraId="522BC684">
            <w:pPr>
              <w:jc w:val="center"/>
              <w:rPr>
                <w:szCs w:val="21"/>
              </w:rPr>
            </w:pPr>
            <w:r>
              <w:rPr>
                <w:rFonts w:hint="eastAsia"/>
                <w:szCs w:val="21"/>
              </w:rPr>
              <w:t>投标</w:t>
            </w:r>
            <w:r>
              <w:rPr>
                <w:rFonts w:hint="eastAsia" w:ascii="宋体" w:hAnsi="宋体"/>
                <w:szCs w:val="21"/>
              </w:rPr>
              <w:t>合计</w:t>
            </w:r>
            <w:r>
              <w:rPr>
                <w:rFonts w:hint="eastAsia"/>
                <w:szCs w:val="21"/>
              </w:rPr>
              <w:t>报价（元）</w:t>
            </w:r>
          </w:p>
        </w:tc>
        <w:tc>
          <w:tcPr>
            <w:tcW w:w="1333" w:type="dxa"/>
            <w:vMerge w:val="continue"/>
            <w:vAlign w:val="center"/>
          </w:tcPr>
          <w:p w14:paraId="0F667FA3">
            <w:pPr>
              <w:rPr>
                <w:szCs w:val="21"/>
              </w:rPr>
            </w:pPr>
          </w:p>
        </w:tc>
        <w:tc>
          <w:tcPr>
            <w:tcW w:w="638" w:type="dxa"/>
            <w:vMerge w:val="continue"/>
            <w:vAlign w:val="center"/>
          </w:tcPr>
          <w:p w14:paraId="0D871BD8">
            <w:pPr>
              <w:rPr>
                <w:szCs w:val="21"/>
              </w:rPr>
            </w:pPr>
          </w:p>
        </w:tc>
      </w:tr>
      <w:tr w14:paraId="7B68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79" w:type="dxa"/>
            <w:vAlign w:val="center"/>
          </w:tcPr>
          <w:p w14:paraId="6797F4B6">
            <w:pPr>
              <w:jc w:val="center"/>
              <w:rPr>
                <w:rFonts w:ascii="宋体" w:hAnsi="宋体"/>
                <w:szCs w:val="21"/>
              </w:rPr>
            </w:pPr>
            <w:r>
              <w:rPr>
                <w:rFonts w:hint="eastAsia" w:ascii="宋体" w:hAnsi="宋体"/>
                <w:szCs w:val="21"/>
              </w:rPr>
              <w:t>1</w:t>
            </w:r>
          </w:p>
        </w:tc>
        <w:tc>
          <w:tcPr>
            <w:tcW w:w="1076" w:type="dxa"/>
            <w:vAlign w:val="center"/>
          </w:tcPr>
          <w:p w14:paraId="4CF124CB">
            <w:pPr>
              <w:jc w:val="center"/>
              <w:rPr>
                <w:szCs w:val="21"/>
              </w:rPr>
            </w:pPr>
          </w:p>
        </w:tc>
        <w:tc>
          <w:tcPr>
            <w:tcW w:w="1632" w:type="dxa"/>
            <w:vAlign w:val="center"/>
          </w:tcPr>
          <w:p w14:paraId="782EC9CE">
            <w:pPr>
              <w:jc w:val="center"/>
              <w:rPr>
                <w:szCs w:val="21"/>
              </w:rPr>
            </w:pPr>
          </w:p>
        </w:tc>
        <w:tc>
          <w:tcPr>
            <w:tcW w:w="725" w:type="dxa"/>
            <w:vAlign w:val="center"/>
          </w:tcPr>
          <w:p w14:paraId="0938D207">
            <w:pPr>
              <w:jc w:val="center"/>
              <w:rPr>
                <w:szCs w:val="21"/>
              </w:rPr>
            </w:pPr>
          </w:p>
        </w:tc>
        <w:tc>
          <w:tcPr>
            <w:tcW w:w="1100" w:type="dxa"/>
            <w:vAlign w:val="center"/>
          </w:tcPr>
          <w:p w14:paraId="2203F99D">
            <w:pPr>
              <w:jc w:val="center"/>
              <w:rPr>
                <w:szCs w:val="21"/>
              </w:rPr>
            </w:pPr>
          </w:p>
        </w:tc>
        <w:tc>
          <w:tcPr>
            <w:tcW w:w="2035" w:type="dxa"/>
            <w:vAlign w:val="center"/>
          </w:tcPr>
          <w:p w14:paraId="7EA47237">
            <w:pPr>
              <w:jc w:val="center"/>
              <w:rPr>
                <w:szCs w:val="21"/>
              </w:rPr>
            </w:pPr>
          </w:p>
        </w:tc>
        <w:tc>
          <w:tcPr>
            <w:tcW w:w="1333" w:type="dxa"/>
            <w:vAlign w:val="center"/>
          </w:tcPr>
          <w:p w14:paraId="08A1C0E6">
            <w:pPr>
              <w:jc w:val="center"/>
              <w:rPr>
                <w:szCs w:val="21"/>
              </w:rPr>
            </w:pPr>
          </w:p>
        </w:tc>
        <w:tc>
          <w:tcPr>
            <w:tcW w:w="638" w:type="dxa"/>
            <w:vAlign w:val="center"/>
          </w:tcPr>
          <w:p w14:paraId="59B02F3A">
            <w:pPr>
              <w:jc w:val="center"/>
              <w:rPr>
                <w:szCs w:val="21"/>
              </w:rPr>
            </w:pPr>
          </w:p>
        </w:tc>
      </w:tr>
      <w:tr w14:paraId="2152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79" w:type="dxa"/>
            <w:vAlign w:val="center"/>
          </w:tcPr>
          <w:p w14:paraId="0116E4A5">
            <w:pPr>
              <w:jc w:val="center"/>
              <w:rPr>
                <w:rFonts w:ascii="宋体" w:hAnsi="宋体"/>
                <w:szCs w:val="21"/>
              </w:rPr>
            </w:pPr>
            <w:r>
              <w:rPr>
                <w:rFonts w:hint="eastAsia" w:ascii="宋体" w:hAnsi="宋体"/>
                <w:szCs w:val="21"/>
              </w:rPr>
              <w:t>2</w:t>
            </w:r>
          </w:p>
        </w:tc>
        <w:tc>
          <w:tcPr>
            <w:tcW w:w="1076" w:type="dxa"/>
            <w:vAlign w:val="center"/>
          </w:tcPr>
          <w:p w14:paraId="5CD51F6F">
            <w:pPr>
              <w:jc w:val="center"/>
              <w:rPr>
                <w:szCs w:val="21"/>
              </w:rPr>
            </w:pPr>
          </w:p>
        </w:tc>
        <w:tc>
          <w:tcPr>
            <w:tcW w:w="1632" w:type="dxa"/>
            <w:vAlign w:val="center"/>
          </w:tcPr>
          <w:p w14:paraId="1AD382FC">
            <w:pPr>
              <w:jc w:val="center"/>
              <w:rPr>
                <w:szCs w:val="21"/>
              </w:rPr>
            </w:pPr>
          </w:p>
        </w:tc>
        <w:tc>
          <w:tcPr>
            <w:tcW w:w="725" w:type="dxa"/>
            <w:vAlign w:val="center"/>
          </w:tcPr>
          <w:p w14:paraId="2C5569A6">
            <w:pPr>
              <w:jc w:val="center"/>
              <w:rPr>
                <w:szCs w:val="21"/>
              </w:rPr>
            </w:pPr>
          </w:p>
        </w:tc>
        <w:tc>
          <w:tcPr>
            <w:tcW w:w="1100" w:type="dxa"/>
            <w:vAlign w:val="center"/>
          </w:tcPr>
          <w:p w14:paraId="2FDDE9B3">
            <w:pPr>
              <w:jc w:val="center"/>
              <w:rPr>
                <w:szCs w:val="21"/>
              </w:rPr>
            </w:pPr>
          </w:p>
        </w:tc>
        <w:tc>
          <w:tcPr>
            <w:tcW w:w="2035" w:type="dxa"/>
            <w:vAlign w:val="center"/>
          </w:tcPr>
          <w:p w14:paraId="46DC47E0">
            <w:pPr>
              <w:jc w:val="center"/>
              <w:rPr>
                <w:szCs w:val="21"/>
              </w:rPr>
            </w:pPr>
          </w:p>
        </w:tc>
        <w:tc>
          <w:tcPr>
            <w:tcW w:w="1333" w:type="dxa"/>
            <w:vAlign w:val="center"/>
          </w:tcPr>
          <w:p w14:paraId="0C4934BF">
            <w:pPr>
              <w:jc w:val="center"/>
              <w:rPr>
                <w:szCs w:val="21"/>
              </w:rPr>
            </w:pPr>
          </w:p>
        </w:tc>
        <w:tc>
          <w:tcPr>
            <w:tcW w:w="638" w:type="dxa"/>
            <w:vAlign w:val="center"/>
          </w:tcPr>
          <w:p w14:paraId="2EA7478F">
            <w:pPr>
              <w:jc w:val="center"/>
              <w:rPr>
                <w:szCs w:val="21"/>
              </w:rPr>
            </w:pPr>
          </w:p>
        </w:tc>
      </w:tr>
    </w:tbl>
    <w:p w14:paraId="3FCC5158">
      <w:pPr>
        <w:spacing w:line="360" w:lineRule="auto"/>
        <w:rPr>
          <w:szCs w:val="21"/>
        </w:rPr>
      </w:pPr>
      <w:r>
        <w:rPr>
          <w:rFonts w:hint="eastAsia"/>
          <w:szCs w:val="21"/>
        </w:rPr>
        <w:t>注</w:t>
      </w:r>
      <w:r>
        <w:rPr>
          <w:rFonts w:hint="eastAsia" w:ascii="宋体" w:hAnsi="宋体"/>
          <w:szCs w:val="21"/>
        </w:rPr>
        <w:t xml:space="preserve">：1. </w:t>
      </w:r>
      <w:r>
        <w:rPr>
          <w:rFonts w:hint="eastAsia" w:ascii="宋体" w:hAnsi="宋体"/>
          <w:b/>
          <w:szCs w:val="21"/>
        </w:rPr>
        <w:t>对</w:t>
      </w:r>
      <w:r>
        <w:rPr>
          <w:rFonts w:ascii="宋体" w:hAnsi="宋体"/>
          <w:b/>
          <w:szCs w:val="21"/>
        </w:rPr>
        <w:t>属于</w:t>
      </w:r>
      <w:r>
        <w:rPr>
          <w:rFonts w:hint="eastAsia" w:ascii="宋体" w:hAnsi="宋体"/>
          <w:b/>
          <w:szCs w:val="21"/>
        </w:rPr>
        <w:t>《关于调整优化节能产品环境标志产品政府采购执行机制的通知》（财库〔2019〕9号）、《关于印发环境标志产品政府采购品目清单的通知》（财库〔2019〕18号）和《关于印发节能产品政府采购品目清单的通知》（财库〔2019〕19号）</w:t>
      </w:r>
      <w:r>
        <w:rPr>
          <w:rFonts w:ascii="宋体" w:hAnsi="宋体"/>
          <w:b/>
          <w:szCs w:val="21"/>
        </w:rPr>
        <w:t>品目清单范围</w:t>
      </w:r>
      <w:r>
        <w:rPr>
          <w:rFonts w:hint="eastAsia" w:ascii="宋体" w:hAnsi="宋体"/>
          <w:b/>
          <w:szCs w:val="21"/>
        </w:rPr>
        <w:t>内</w:t>
      </w:r>
      <w:r>
        <w:rPr>
          <w:rFonts w:ascii="宋体" w:hAnsi="宋体"/>
          <w:b/>
          <w:szCs w:val="21"/>
        </w:rPr>
        <w:t>的</w:t>
      </w:r>
      <w:r>
        <w:rPr>
          <w:rFonts w:hint="eastAsia" w:ascii="宋体" w:hAnsi="宋体"/>
          <w:b/>
          <w:szCs w:val="21"/>
        </w:rPr>
        <w:t>投标产品，投标人须提供</w:t>
      </w:r>
      <w:r>
        <w:rPr>
          <w:rFonts w:ascii="宋体" w:hAnsi="宋体"/>
          <w:b/>
          <w:szCs w:val="21"/>
        </w:rPr>
        <w:t>国家确定的认证机构出具的、处于有效期之内的节能产品、环境标志产品认证证书，</w:t>
      </w:r>
      <w:r>
        <w:rPr>
          <w:rFonts w:hint="eastAsia" w:ascii="宋体" w:hAnsi="宋体"/>
          <w:b/>
          <w:szCs w:val="21"/>
        </w:rPr>
        <w:t>以及相应的节能或环境标志产品政府采购品目清单，并显著标识投标产品所处位置。</w:t>
      </w:r>
      <w:r>
        <w:rPr>
          <w:rFonts w:hint="eastAsia" w:ascii="宋体" w:hAnsi="宋体"/>
          <w:szCs w:val="21"/>
        </w:rPr>
        <w:t>提供以上证明材料的扫描件或复印件加盖投标人公章，提供的证书若存在不齐全、已过有效期或其他未被评标委员会接受的瑕疵将不予认可。</w:t>
      </w:r>
      <w:r>
        <w:rPr>
          <w:rFonts w:hint="eastAsia"/>
          <w:szCs w:val="21"/>
        </w:rPr>
        <w:t>投标产品若不属于上述清单或目录范围内，则无需填写该表。</w:t>
      </w:r>
    </w:p>
    <w:p w14:paraId="1DC489E1">
      <w:pPr>
        <w:spacing w:line="360" w:lineRule="auto"/>
        <w:rPr>
          <w:rFonts w:ascii="宋体" w:hAnsi="宋体"/>
          <w:szCs w:val="21"/>
        </w:rPr>
      </w:pPr>
      <w:r>
        <w:rPr>
          <w:rFonts w:hint="eastAsia" w:ascii="宋体" w:hAnsi="宋体"/>
          <w:szCs w:val="21"/>
        </w:rPr>
        <w:t>2. “投标产品报价”栏中须准确填报该投标产品的投标单价、数量及投标合计报价；投标产品名称、规格型号、价格应与“分项报价表”一致，如不一致，以“分项报价表”为准。</w:t>
      </w:r>
    </w:p>
    <w:p w14:paraId="2F53BCAB">
      <w:pPr>
        <w:spacing w:line="360" w:lineRule="auto"/>
        <w:rPr>
          <w:rFonts w:ascii="宋体" w:hAnsi="宋体"/>
          <w:szCs w:val="21"/>
        </w:rPr>
      </w:pPr>
      <w:r>
        <w:rPr>
          <w:rFonts w:hint="eastAsia" w:ascii="宋体" w:hAnsi="宋体"/>
          <w:szCs w:val="21"/>
        </w:rPr>
        <w:t>3. “属于优先采购清单的类别”栏中填写“节能产品政府采购品目清单”或“环境标志产品政府采购品目清单”。</w:t>
      </w:r>
    </w:p>
    <w:p w14:paraId="3C7012CA">
      <w:pPr>
        <w:widowControl/>
        <w:jc w:val="left"/>
      </w:pPr>
      <w:r>
        <w:br w:type="page"/>
      </w:r>
    </w:p>
    <w:p w14:paraId="6E3EA418"/>
    <w:p w14:paraId="1C441AB8">
      <w:pPr>
        <w:pStyle w:val="5"/>
        <w:tabs>
          <w:tab w:val="left" w:pos="371"/>
        </w:tabs>
        <w:spacing w:before="120" w:after="120"/>
        <w:ind w:left="-1" w:leftChars="-1" w:hanging="1"/>
        <w:jc w:val="center"/>
        <w:rPr>
          <w:rFonts w:ascii="宋体" w:hAnsi="宋体"/>
        </w:rPr>
      </w:pPr>
      <w:bookmarkStart w:id="70" w:name="_Toc171350602"/>
      <w:r>
        <w:rPr>
          <w:rFonts w:hint="eastAsia" w:ascii="宋体" w:hAnsi="宋体"/>
        </w:rPr>
        <w:t>格式5  开标一览表</w:t>
      </w:r>
      <w:bookmarkEnd w:id="65"/>
      <w:bookmarkEnd w:id="66"/>
      <w:bookmarkEnd w:id="67"/>
      <w:bookmarkEnd w:id="68"/>
      <w:bookmarkEnd w:id="69"/>
      <w:bookmarkEnd w:id="70"/>
    </w:p>
    <w:p w14:paraId="339A2902">
      <w:pPr>
        <w:adjustRightInd w:val="0"/>
        <w:snapToGrid w:val="0"/>
        <w:spacing w:line="360" w:lineRule="auto"/>
        <w:rPr>
          <w:bCs/>
          <w:snapToGrid w:val="0"/>
          <w:kern w:val="0"/>
        </w:rPr>
      </w:pPr>
    </w:p>
    <w:p w14:paraId="4A75E2DE">
      <w:pPr>
        <w:adjustRightInd w:val="0"/>
        <w:snapToGrid w:val="0"/>
        <w:spacing w:line="360" w:lineRule="auto"/>
        <w:rPr>
          <w:bCs/>
          <w:snapToGrid w:val="0"/>
          <w:kern w:val="0"/>
        </w:rPr>
      </w:pPr>
      <w:r>
        <w:rPr>
          <w:bCs/>
          <w:snapToGrid w:val="0"/>
          <w:kern w:val="0"/>
        </w:rPr>
        <w:t>项目名称：</w:t>
      </w:r>
    </w:p>
    <w:p w14:paraId="26511851">
      <w:pPr>
        <w:adjustRightInd w:val="0"/>
        <w:snapToGrid w:val="0"/>
        <w:spacing w:line="360" w:lineRule="auto"/>
        <w:rPr>
          <w:bCs/>
          <w:snapToGrid w:val="0"/>
          <w:kern w:val="0"/>
        </w:rPr>
      </w:pPr>
      <w:r>
        <w:rPr>
          <w:rFonts w:hint="eastAsia"/>
          <w:bCs/>
          <w:snapToGrid w:val="0"/>
          <w:kern w:val="0"/>
        </w:rPr>
        <w:t>项目</w:t>
      </w:r>
      <w:r>
        <w:rPr>
          <w:bCs/>
          <w:snapToGrid w:val="0"/>
          <w:kern w:val="0"/>
        </w:rPr>
        <w:t>编号：</w:t>
      </w:r>
    </w:p>
    <w:p w14:paraId="7E27136F">
      <w:pPr>
        <w:adjustRightInd w:val="0"/>
        <w:snapToGrid w:val="0"/>
        <w:spacing w:line="360" w:lineRule="auto"/>
        <w:rPr>
          <w:bCs/>
          <w:snapToGrid w:val="0"/>
          <w:kern w:val="0"/>
        </w:rPr>
      </w:pPr>
      <w:r>
        <w:rPr>
          <w:rFonts w:hint="eastAsia"/>
          <w:bCs/>
          <w:snapToGrid w:val="0"/>
          <w:kern w:val="0"/>
        </w:rPr>
        <w:t>包 组 号：</w:t>
      </w:r>
    </w:p>
    <w:tbl>
      <w:tblPr>
        <w:tblStyle w:val="5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1"/>
        <w:gridCol w:w="4034"/>
        <w:gridCol w:w="1843"/>
      </w:tblGrid>
      <w:tr w14:paraId="6778A6D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3611" w:type="dxa"/>
            <w:tcBorders>
              <w:top w:val="double" w:color="auto" w:sz="4" w:space="0"/>
              <w:bottom w:val="single" w:color="auto" w:sz="4" w:space="0"/>
            </w:tcBorders>
            <w:vAlign w:val="center"/>
          </w:tcPr>
          <w:p w14:paraId="590A9B80">
            <w:pPr>
              <w:adjustRightInd w:val="0"/>
              <w:snapToGrid w:val="0"/>
              <w:spacing w:line="360" w:lineRule="auto"/>
              <w:jc w:val="center"/>
              <w:rPr>
                <w:snapToGrid w:val="0"/>
                <w:kern w:val="0"/>
              </w:rPr>
            </w:pPr>
            <w:r>
              <w:rPr>
                <w:snapToGrid w:val="0"/>
                <w:kern w:val="0"/>
              </w:rPr>
              <w:t>项目名称</w:t>
            </w:r>
          </w:p>
        </w:tc>
        <w:tc>
          <w:tcPr>
            <w:tcW w:w="4034" w:type="dxa"/>
            <w:tcBorders>
              <w:top w:val="double" w:color="auto" w:sz="4" w:space="0"/>
              <w:bottom w:val="single" w:color="auto" w:sz="4" w:space="0"/>
            </w:tcBorders>
            <w:vAlign w:val="center"/>
          </w:tcPr>
          <w:p w14:paraId="0F50C7FD">
            <w:pPr>
              <w:adjustRightInd w:val="0"/>
              <w:snapToGrid w:val="0"/>
              <w:spacing w:line="360" w:lineRule="auto"/>
              <w:jc w:val="center"/>
              <w:rPr>
                <w:snapToGrid w:val="0"/>
                <w:kern w:val="0"/>
              </w:rPr>
            </w:pPr>
            <w:r>
              <w:rPr>
                <w:snapToGrid w:val="0"/>
                <w:kern w:val="0"/>
              </w:rPr>
              <w:t>投标</w:t>
            </w:r>
            <w:r>
              <w:rPr>
                <w:rFonts w:hint="eastAsia"/>
                <w:snapToGrid w:val="0"/>
                <w:kern w:val="0"/>
              </w:rPr>
              <w:t>总</w:t>
            </w:r>
            <w:r>
              <w:rPr>
                <w:snapToGrid w:val="0"/>
                <w:kern w:val="0"/>
              </w:rPr>
              <w:t>价</w:t>
            </w:r>
          </w:p>
          <w:p w14:paraId="1C023494">
            <w:pPr>
              <w:adjustRightInd w:val="0"/>
              <w:snapToGrid w:val="0"/>
              <w:spacing w:line="360" w:lineRule="auto"/>
              <w:jc w:val="center"/>
              <w:rPr>
                <w:snapToGrid w:val="0"/>
                <w:kern w:val="0"/>
              </w:rPr>
            </w:pPr>
            <w:r>
              <w:rPr>
                <w:snapToGrid w:val="0"/>
                <w:kern w:val="0"/>
              </w:rPr>
              <w:t>（人民币元）</w:t>
            </w:r>
          </w:p>
        </w:tc>
        <w:tc>
          <w:tcPr>
            <w:tcW w:w="1843" w:type="dxa"/>
            <w:tcBorders>
              <w:top w:val="double" w:color="auto" w:sz="4" w:space="0"/>
              <w:bottom w:val="single" w:color="auto" w:sz="4" w:space="0"/>
            </w:tcBorders>
            <w:vAlign w:val="center"/>
          </w:tcPr>
          <w:p w14:paraId="48A94416">
            <w:pPr>
              <w:adjustRightInd w:val="0"/>
              <w:snapToGrid w:val="0"/>
              <w:spacing w:line="360" w:lineRule="auto"/>
              <w:jc w:val="center"/>
              <w:rPr>
                <w:snapToGrid w:val="0"/>
                <w:kern w:val="0"/>
              </w:rPr>
            </w:pPr>
            <w:r>
              <w:rPr>
                <w:rFonts w:hint="eastAsia"/>
                <w:snapToGrid w:val="0"/>
                <w:kern w:val="0"/>
              </w:rPr>
              <w:t>备注</w:t>
            </w:r>
          </w:p>
        </w:tc>
      </w:tr>
      <w:tr w14:paraId="564D2C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19" w:hRule="atLeast"/>
          <w:jc w:val="center"/>
        </w:trPr>
        <w:tc>
          <w:tcPr>
            <w:tcW w:w="3611" w:type="dxa"/>
            <w:tcBorders>
              <w:top w:val="single" w:color="auto" w:sz="4" w:space="0"/>
            </w:tcBorders>
            <w:vAlign w:val="center"/>
          </w:tcPr>
          <w:p w14:paraId="22CDF59C">
            <w:pPr>
              <w:adjustRightInd w:val="0"/>
              <w:snapToGrid w:val="0"/>
              <w:spacing w:line="360" w:lineRule="auto"/>
              <w:jc w:val="center"/>
            </w:pPr>
            <w:r>
              <w:rPr>
                <w:rFonts w:hint="eastAsia" w:ascii="宋体" w:hAnsi="宋体"/>
              </w:rPr>
              <w:t>深圳海关辅助执法作业服务项目（东部、西部片区）</w:t>
            </w:r>
          </w:p>
        </w:tc>
        <w:tc>
          <w:tcPr>
            <w:tcW w:w="4034" w:type="dxa"/>
            <w:tcBorders>
              <w:top w:val="single" w:color="auto" w:sz="4" w:space="0"/>
            </w:tcBorders>
            <w:vAlign w:val="center"/>
          </w:tcPr>
          <w:p w14:paraId="1829D119">
            <w:pPr>
              <w:adjustRightInd w:val="0"/>
              <w:snapToGrid w:val="0"/>
              <w:spacing w:line="360" w:lineRule="auto"/>
              <w:rPr>
                <w:snapToGrid w:val="0"/>
                <w:kern w:val="0"/>
                <w:u w:val="single"/>
              </w:rPr>
            </w:pPr>
            <w:r>
              <w:rPr>
                <w:rFonts w:hint="eastAsia"/>
                <w:snapToGrid w:val="0"/>
                <w:kern w:val="0"/>
                <w:u w:val="single"/>
              </w:rPr>
              <w:t xml:space="preserve">大写：         </w:t>
            </w:r>
          </w:p>
          <w:p w14:paraId="56981124">
            <w:pPr>
              <w:adjustRightInd w:val="0"/>
              <w:snapToGrid w:val="0"/>
              <w:spacing w:line="360" w:lineRule="auto"/>
              <w:rPr>
                <w:snapToGrid w:val="0"/>
                <w:kern w:val="0"/>
                <w:u w:val="single"/>
              </w:rPr>
            </w:pPr>
            <w:r>
              <w:rPr>
                <w:rFonts w:hint="eastAsia"/>
                <w:snapToGrid w:val="0"/>
                <w:kern w:val="0"/>
                <w:u w:val="single"/>
              </w:rPr>
              <w:t xml:space="preserve">小写：                </w:t>
            </w:r>
          </w:p>
        </w:tc>
        <w:tc>
          <w:tcPr>
            <w:tcW w:w="1843" w:type="dxa"/>
            <w:tcBorders>
              <w:top w:val="single" w:color="auto" w:sz="4" w:space="0"/>
            </w:tcBorders>
            <w:vAlign w:val="center"/>
          </w:tcPr>
          <w:p w14:paraId="0E251ADE">
            <w:pPr>
              <w:adjustRightInd w:val="0"/>
              <w:snapToGrid w:val="0"/>
              <w:spacing w:line="360" w:lineRule="auto"/>
              <w:jc w:val="center"/>
              <w:rPr>
                <w:snapToGrid w:val="0"/>
                <w:kern w:val="0"/>
              </w:rPr>
            </w:pPr>
          </w:p>
        </w:tc>
      </w:tr>
    </w:tbl>
    <w:p w14:paraId="437BD815">
      <w:pPr>
        <w:adjustRightInd w:val="0"/>
        <w:snapToGrid w:val="0"/>
        <w:spacing w:line="360" w:lineRule="auto"/>
        <w:rPr>
          <w:snapToGrid w:val="0"/>
          <w:kern w:val="0"/>
        </w:rPr>
      </w:pPr>
    </w:p>
    <w:p w14:paraId="660ACB33">
      <w:pPr>
        <w:adjustRightInd w:val="0"/>
        <w:snapToGrid w:val="0"/>
        <w:spacing w:line="360" w:lineRule="auto"/>
        <w:rPr>
          <w:snapToGrid w:val="0"/>
          <w:kern w:val="0"/>
        </w:rPr>
      </w:pPr>
    </w:p>
    <w:p w14:paraId="3BDB92CC">
      <w:pPr>
        <w:adjustRightInd w:val="0"/>
        <w:snapToGrid w:val="0"/>
        <w:spacing w:line="360" w:lineRule="auto"/>
        <w:rPr>
          <w:snapToGrid w:val="0"/>
          <w:kern w:val="0"/>
        </w:rPr>
      </w:pPr>
      <w:r>
        <w:rPr>
          <w:snapToGrid w:val="0"/>
          <w:kern w:val="0"/>
        </w:rPr>
        <w:t>投标单位：（盖</w:t>
      </w:r>
      <w:r>
        <w:rPr>
          <w:rFonts w:hint="eastAsia"/>
          <w:snapToGrid w:val="0"/>
          <w:kern w:val="0"/>
        </w:rPr>
        <w:t>公</w:t>
      </w:r>
      <w:r>
        <w:rPr>
          <w:snapToGrid w:val="0"/>
          <w:kern w:val="0"/>
        </w:rPr>
        <w:t>章）</w:t>
      </w:r>
    </w:p>
    <w:p w14:paraId="686793DC">
      <w:pPr>
        <w:adjustRightInd w:val="0"/>
        <w:snapToGrid w:val="0"/>
        <w:spacing w:line="360" w:lineRule="auto"/>
        <w:rPr>
          <w:snapToGrid w:val="0"/>
          <w:kern w:val="0"/>
        </w:rPr>
      </w:pPr>
    </w:p>
    <w:p w14:paraId="621A51DC">
      <w:pPr>
        <w:adjustRightInd w:val="0"/>
        <w:snapToGrid w:val="0"/>
        <w:spacing w:line="360" w:lineRule="auto"/>
        <w:ind w:firstLine="6825" w:firstLineChars="3250"/>
        <w:rPr>
          <w:snapToGrid w:val="0"/>
          <w:kern w:val="0"/>
        </w:rPr>
      </w:pPr>
      <w:r>
        <w:rPr>
          <w:snapToGrid w:val="0"/>
          <w:kern w:val="0"/>
        </w:rPr>
        <w:t>年    月    日</w:t>
      </w:r>
    </w:p>
    <w:p w14:paraId="1D93730E">
      <w:pPr>
        <w:adjustRightInd w:val="0"/>
        <w:snapToGrid w:val="0"/>
        <w:spacing w:line="360" w:lineRule="auto"/>
        <w:ind w:firstLine="1050" w:firstLineChars="500"/>
        <w:rPr>
          <w:snapToGrid w:val="0"/>
          <w:kern w:val="0"/>
        </w:rPr>
      </w:pPr>
    </w:p>
    <w:p w14:paraId="6AF6CA03">
      <w:pPr>
        <w:adjustRightInd w:val="0"/>
        <w:spacing w:line="312" w:lineRule="auto"/>
        <w:rPr>
          <w:rFonts w:ascii="宋体" w:hAnsi="宋体"/>
          <w:bCs/>
        </w:rPr>
      </w:pPr>
      <w:r>
        <w:rPr>
          <w:rFonts w:ascii="宋体" w:hAnsi="宋体"/>
          <w:snapToGrid w:val="0"/>
          <w:kern w:val="0"/>
        </w:rPr>
        <w:t>注：1、价格应按“招标文件”中规定</w:t>
      </w:r>
      <w:r>
        <w:rPr>
          <w:rFonts w:ascii="宋体" w:hAnsi="宋体"/>
          <w:bCs/>
        </w:rPr>
        <w:t>的货币单位填写</w:t>
      </w:r>
      <w:r>
        <w:rPr>
          <w:rFonts w:hint="eastAsia" w:ascii="宋体" w:hAnsi="宋体"/>
          <w:bCs/>
        </w:rPr>
        <w:t>，且保留</w:t>
      </w:r>
      <w:r>
        <w:rPr>
          <w:rFonts w:ascii="宋体" w:hAnsi="宋体"/>
          <w:bCs/>
        </w:rPr>
        <w:t>小数点后两位。</w:t>
      </w:r>
    </w:p>
    <w:p w14:paraId="2B863212">
      <w:pPr>
        <w:adjustRightInd w:val="0"/>
        <w:spacing w:line="312" w:lineRule="auto"/>
        <w:ind w:left="2" w:firstLine="424" w:firstLineChars="202"/>
        <w:rPr>
          <w:rFonts w:ascii="宋体" w:hAnsi="宋体"/>
          <w:bCs/>
        </w:rPr>
      </w:pPr>
      <w:r>
        <w:rPr>
          <w:rFonts w:ascii="宋体" w:hAnsi="宋体"/>
          <w:bCs/>
        </w:rPr>
        <w:t>2、</w:t>
      </w:r>
      <w:r>
        <w:rPr>
          <w:rFonts w:hint="eastAsia" w:ascii="宋体" w:hAnsi="宋体"/>
          <w:szCs w:val="21"/>
        </w:rPr>
        <w:t>投标</w:t>
      </w:r>
      <w:r>
        <w:rPr>
          <w:rFonts w:hint="eastAsia"/>
          <w:snapToGrid w:val="0"/>
          <w:kern w:val="0"/>
        </w:rPr>
        <w:t>总</w:t>
      </w:r>
      <w:r>
        <w:rPr>
          <w:rFonts w:hint="eastAsia" w:ascii="宋体" w:hAnsi="宋体"/>
          <w:szCs w:val="21"/>
        </w:rPr>
        <w:t>价为综合报价，包含完成本项目所需的全部费用</w:t>
      </w:r>
      <w:r>
        <w:rPr>
          <w:rFonts w:hint="eastAsia" w:ascii="宋体" w:hAnsi="宋体"/>
          <w:bCs/>
        </w:rPr>
        <w:t>。</w:t>
      </w:r>
    </w:p>
    <w:p w14:paraId="32B4E1CD">
      <w:pPr>
        <w:adjustRightInd w:val="0"/>
        <w:spacing w:line="312" w:lineRule="auto"/>
        <w:ind w:left="2" w:firstLine="424" w:firstLineChars="202"/>
        <w:rPr>
          <w:rFonts w:ascii="宋体" w:hAnsi="宋体"/>
          <w:bCs/>
        </w:rPr>
      </w:pPr>
      <w:r>
        <w:rPr>
          <w:rFonts w:hint="eastAsia" w:ascii="宋体" w:hAnsi="宋体"/>
          <w:szCs w:val="21"/>
        </w:rPr>
        <w:t>3、根据《中华人民共和国财政部令第</w:t>
      </w:r>
      <w:r>
        <w:rPr>
          <w:rFonts w:ascii="宋体" w:hAnsi="宋体"/>
          <w:szCs w:val="21"/>
        </w:rPr>
        <w:t>87</w:t>
      </w:r>
      <w:r>
        <w:rPr>
          <w:rFonts w:hint="eastAsia" w:ascii="宋体" w:hAnsi="宋体"/>
          <w:szCs w:val="21"/>
        </w:rPr>
        <w:t>号</w:t>
      </w:r>
      <w:r>
        <w:rPr>
          <w:rFonts w:ascii="宋体"/>
          <w:szCs w:val="21"/>
        </w:rPr>
        <w:t>-</w:t>
      </w:r>
      <w:r>
        <w:rPr>
          <w:rFonts w:hint="eastAsia" w:ascii="宋体" w:hAnsi="宋体"/>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37D1533">
      <w:pPr>
        <w:adjustRightInd w:val="0"/>
        <w:spacing w:line="312" w:lineRule="auto"/>
        <w:ind w:left="2" w:firstLine="420" w:firstLineChars="200"/>
        <w:rPr>
          <w:rFonts w:ascii="宋体" w:hAnsi="宋体"/>
          <w:szCs w:val="21"/>
        </w:rPr>
      </w:pPr>
      <w:r>
        <w:rPr>
          <w:rFonts w:hint="eastAsia" w:ascii="宋体" w:hAnsi="宋体"/>
          <w:szCs w:val="21"/>
        </w:rPr>
        <w:t>4、</w:t>
      </w:r>
      <w:r>
        <w:rPr>
          <w:rFonts w:ascii="宋体" w:hAnsi="宋体"/>
          <w:snapToGrid w:val="0"/>
          <w:kern w:val="0"/>
        </w:rPr>
        <w:t>此表应经法定代表人或其授权委托人签名，并加盖公章。</w:t>
      </w:r>
    </w:p>
    <w:p w14:paraId="3EADF0BD">
      <w:pPr>
        <w:adjustRightInd w:val="0"/>
        <w:spacing w:line="312" w:lineRule="auto"/>
        <w:ind w:firstLine="437"/>
        <w:rPr>
          <w:b/>
          <w:sz w:val="28"/>
        </w:rPr>
      </w:pPr>
      <w:r>
        <w:rPr>
          <w:rFonts w:hint="eastAsia" w:ascii="宋体" w:hAnsi="宋体"/>
          <w:b/>
          <w:snapToGrid w:val="0"/>
          <w:kern w:val="0"/>
          <w:sz w:val="24"/>
        </w:rPr>
        <w:t>5、</w:t>
      </w:r>
      <w:r>
        <w:rPr>
          <w:rFonts w:ascii="宋体" w:hAnsi="宋体"/>
          <w:b/>
          <w:snapToGrid w:val="0"/>
          <w:kern w:val="0"/>
          <w:sz w:val="24"/>
        </w:rPr>
        <w:t>此表</w:t>
      </w:r>
      <w:r>
        <w:rPr>
          <w:rFonts w:hint="eastAsia" w:ascii="宋体" w:hAnsi="宋体"/>
          <w:b/>
          <w:snapToGrid w:val="0"/>
          <w:kern w:val="0"/>
          <w:sz w:val="24"/>
        </w:rPr>
        <w:t>无</w:t>
      </w:r>
      <w:r>
        <w:rPr>
          <w:rFonts w:ascii="宋体" w:hAnsi="宋体"/>
          <w:b/>
          <w:snapToGrid w:val="0"/>
          <w:kern w:val="0"/>
          <w:sz w:val="24"/>
        </w:rPr>
        <w:t>需装订于正副本内，应按“投标人须知”18.</w:t>
      </w:r>
      <w:r>
        <w:rPr>
          <w:rFonts w:hint="eastAsia" w:ascii="宋体" w:hAnsi="宋体"/>
          <w:b/>
          <w:snapToGrid w:val="0"/>
          <w:kern w:val="0"/>
          <w:sz w:val="24"/>
        </w:rPr>
        <w:t>4</w:t>
      </w:r>
      <w:r>
        <w:rPr>
          <w:rFonts w:ascii="宋体" w:hAnsi="宋体"/>
          <w:b/>
          <w:snapToGrid w:val="0"/>
          <w:kern w:val="0"/>
          <w:sz w:val="24"/>
        </w:rPr>
        <w:t>项要求单独密封。</w:t>
      </w:r>
    </w:p>
    <w:p w14:paraId="3C952709"/>
    <w:p w14:paraId="772176A0"/>
    <w:p w14:paraId="617ADF02"/>
    <w:p w14:paraId="6D8D0CA0"/>
    <w:p w14:paraId="41899414"/>
    <w:p w14:paraId="6025F05F"/>
    <w:p w14:paraId="020A3A86"/>
    <w:p w14:paraId="3A149968"/>
    <w:p w14:paraId="0C415022">
      <w:pPr>
        <w:pStyle w:val="5"/>
        <w:tabs>
          <w:tab w:val="left" w:pos="371"/>
        </w:tabs>
        <w:spacing w:before="120" w:after="120"/>
        <w:ind w:left="-1" w:leftChars="-1" w:hanging="1"/>
        <w:jc w:val="center"/>
        <w:rPr>
          <w:rFonts w:ascii="宋体" w:hAnsi="宋体"/>
        </w:rPr>
      </w:pPr>
      <w:bookmarkStart w:id="71" w:name="_Toc135293187"/>
      <w:bookmarkStart w:id="72" w:name="_Toc44690707"/>
      <w:bookmarkStart w:id="73" w:name="_Toc44690434"/>
      <w:bookmarkStart w:id="74" w:name="_Toc171350603"/>
      <w:bookmarkStart w:id="75" w:name="_Toc44691398"/>
      <w:bookmarkStart w:id="76" w:name="_Toc44691166"/>
    </w:p>
    <w:p w14:paraId="3C67767B">
      <w:pPr>
        <w:pStyle w:val="5"/>
        <w:tabs>
          <w:tab w:val="left" w:pos="371"/>
        </w:tabs>
        <w:spacing w:before="120" w:after="120"/>
        <w:ind w:left="-1" w:leftChars="-1" w:hanging="1"/>
        <w:jc w:val="center"/>
        <w:rPr>
          <w:rFonts w:ascii="宋体" w:hAnsi="宋体"/>
        </w:rPr>
      </w:pPr>
      <w:r>
        <w:rPr>
          <w:rFonts w:hint="eastAsia" w:ascii="宋体" w:hAnsi="宋体"/>
        </w:rPr>
        <w:t>格式6  报价表</w:t>
      </w:r>
      <w:bookmarkEnd w:id="71"/>
      <w:bookmarkEnd w:id="72"/>
      <w:bookmarkEnd w:id="73"/>
      <w:bookmarkEnd w:id="74"/>
      <w:bookmarkEnd w:id="75"/>
      <w:bookmarkEnd w:id="76"/>
    </w:p>
    <w:p w14:paraId="19C26F6D">
      <w:pPr>
        <w:spacing w:line="300" w:lineRule="auto"/>
        <w:rPr>
          <w:rFonts w:ascii="楷体_GB2312" w:eastAsia="楷体_GB2312"/>
          <w:b/>
          <w:sz w:val="24"/>
        </w:rPr>
      </w:pPr>
      <w:r>
        <w:rPr>
          <w:rFonts w:hint="eastAsia" w:ascii="楷体_GB2312" w:eastAsia="楷体_GB2312"/>
          <w:b/>
          <w:sz w:val="24"/>
        </w:rPr>
        <w:t>1   报价要求</w:t>
      </w:r>
    </w:p>
    <w:p w14:paraId="28895FC2">
      <w:pPr>
        <w:spacing w:line="300" w:lineRule="auto"/>
        <w:rPr>
          <w:rFonts w:ascii="宋体" w:hAnsi="宋体"/>
          <w:snapToGrid w:val="0"/>
          <w:kern w:val="0"/>
        </w:rPr>
      </w:pPr>
      <w:r>
        <w:rPr>
          <w:rFonts w:hint="eastAsia" w:ascii="宋体" w:hAnsi="宋体"/>
          <w:snapToGrid w:val="0"/>
          <w:kern w:val="0"/>
        </w:rPr>
        <w:t>1.1  所有价格应按“招标文件”中规定的货币单位填写，报价应</w:t>
      </w:r>
      <w:r>
        <w:rPr>
          <w:rFonts w:ascii="宋体" w:hAnsi="宋体"/>
          <w:bCs/>
        </w:rPr>
        <w:t>保留小数点后两位。</w:t>
      </w:r>
    </w:p>
    <w:p w14:paraId="7F539ED6">
      <w:pPr>
        <w:spacing w:line="300" w:lineRule="auto"/>
        <w:rPr>
          <w:rFonts w:ascii="宋体" w:hAnsi="宋体"/>
          <w:snapToGrid w:val="0"/>
          <w:kern w:val="0"/>
        </w:rPr>
      </w:pPr>
      <w:r>
        <w:rPr>
          <w:rFonts w:hint="eastAsia" w:ascii="宋体" w:hAnsi="宋体"/>
          <w:snapToGrid w:val="0"/>
          <w:kern w:val="0"/>
        </w:rPr>
        <w:t>1.2  投标</w:t>
      </w:r>
      <w:r>
        <w:rPr>
          <w:rFonts w:hint="eastAsia"/>
          <w:snapToGrid w:val="0"/>
          <w:kern w:val="0"/>
        </w:rPr>
        <w:t>报</w:t>
      </w:r>
      <w:r>
        <w:rPr>
          <w:rFonts w:hint="eastAsia" w:ascii="宋体" w:hAnsi="宋体"/>
          <w:snapToGrid w:val="0"/>
          <w:kern w:val="0"/>
        </w:rPr>
        <w:t>价为综合报价，包含完成本项目所需的全部费用。</w:t>
      </w:r>
    </w:p>
    <w:p w14:paraId="720E7F06">
      <w:pPr>
        <w:spacing w:line="300" w:lineRule="auto"/>
        <w:rPr>
          <w:rFonts w:ascii="宋体" w:hAnsi="宋体"/>
          <w:snapToGrid w:val="0"/>
          <w:kern w:val="0"/>
        </w:rPr>
      </w:pPr>
      <w:r>
        <w:rPr>
          <w:rFonts w:hint="eastAsia" w:ascii="宋体" w:hAnsi="宋体"/>
          <w:snapToGrid w:val="0"/>
          <w:kern w:val="0"/>
        </w:rPr>
        <w:t>1.3  此表应经法定代表人或授权委托人签名，并加盖公章。</w:t>
      </w:r>
    </w:p>
    <w:p w14:paraId="5FC01FA4">
      <w:pPr>
        <w:adjustRightInd w:val="0"/>
        <w:snapToGrid w:val="0"/>
        <w:spacing w:line="300" w:lineRule="auto"/>
        <w:rPr>
          <w:snapToGrid w:val="0"/>
          <w:kern w:val="0"/>
        </w:rPr>
      </w:pPr>
    </w:p>
    <w:p w14:paraId="5190F6CD">
      <w:pPr>
        <w:spacing w:line="300" w:lineRule="auto"/>
        <w:rPr>
          <w:rFonts w:eastAsia="楷体_GB2312"/>
          <w:b/>
          <w:sz w:val="24"/>
        </w:rPr>
      </w:pPr>
      <w:r>
        <w:rPr>
          <w:rFonts w:hint="eastAsia" w:eastAsia="楷体_GB2312"/>
          <w:b/>
          <w:sz w:val="24"/>
        </w:rPr>
        <w:t>2   报价表</w:t>
      </w:r>
    </w:p>
    <w:p w14:paraId="7BA20DB9">
      <w:pPr>
        <w:adjustRightInd w:val="0"/>
        <w:snapToGrid w:val="0"/>
        <w:spacing w:beforeLines="50" w:line="360" w:lineRule="auto"/>
        <w:rPr>
          <w:bCs/>
          <w:snapToGrid w:val="0"/>
          <w:kern w:val="0"/>
        </w:rPr>
      </w:pPr>
      <w:r>
        <w:rPr>
          <w:bCs/>
          <w:snapToGrid w:val="0"/>
          <w:kern w:val="0"/>
        </w:rPr>
        <w:t>项目名称：</w:t>
      </w:r>
    </w:p>
    <w:p w14:paraId="451F29BD">
      <w:pPr>
        <w:adjustRightInd w:val="0"/>
        <w:snapToGrid w:val="0"/>
        <w:spacing w:line="360" w:lineRule="auto"/>
        <w:rPr>
          <w:bCs/>
          <w:snapToGrid w:val="0"/>
          <w:kern w:val="0"/>
          <w:u w:val="single"/>
        </w:rPr>
      </w:pPr>
      <w:r>
        <w:rPr>
          <w:rFonts w:hint="eastAsia"/>
          <w:bCs/>
          <w:snapToGrid w:val="0"/>
          <w:kern w:val="0"/>
        </w:rPr>
        <w:t>项目</w:t>
      </w:r>
      <w:r>
        <w:rPr>
          <w:bCs/>
          <w:snapToGrid w:val="0"/>
          <w:kern w:val="0"/>
        </w:rPr>
        <w:t>编号：</w:t>
      </w:r>
    </w:p>
    <w:p w14:paraId="27AA041A">
      <w:pPr>
        <w:adjustRightInd w:val="0"/>
        <w:snapToGrid w:val="0"/>
        <w:spacing w:line="360" w:lineRule="auto"/>
        <w:rPr>
          <w:rFonts w:eastAsia="楷体_GB2312"/>
          <w:b/>
          <w:sz w:val="24"/>
        </w:rPr>
      </w:pPr>
      <w:r>
        <w:rPr>
          <w:rFonts w:hint="eastAsia"/>
          <w:bCs/>
          <w:snapToGrid w:val="0"/>
          <w:kern w:val="0"/>
        </w:rPr>
        <w:t>包 组 号：</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251"/>
        <w:gridCol w:w="1127"/>
        <w:gridCol w:w="1272"/>
        <w:gridCol w:w="1692"/>
        <w:gridCol w:w="2355"/>
      </w:tblGrid>
      <w:tr w14:paraId="5094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shd w:val="clear" w:color="auto" w:fill="auto"/>
            <w:vAlign w:val="center"/>
          </w:tcPr>
          <w:p w14:paraId="41F742DB">
            <w:pPr>
              <w:tabs>
                <w:tab w:val="left" w:pos="426"/>
              </w:tabs>
              <w:jc w:val="center"/>
              <w:rPr>
                <w:rFonts w:ascii="宋体" w:hAnsi="宋体" w:cs="宋体"/>
                <w:b/>
                <w:spacing w:val="4"/>
                <w:szCs w:val="21"/>
              </w:rPr>
            </w:pPr>
            <w:r>
              <w:rPr>
                <w:rFonts w:hint="eastAsia" w:ascii="宋体" w:hAnsi="宋体" w:cs="宋体"/>
                <w:b/>
                <w:spacing w:val="4"/>
                <w:szCs w:val="21"/>
              </w:rPr>
              <w:t>序号</w:t>
            </w:r>
          </w:p>
        </w:tc>
        <w:tc>
          <w:tcPr>
            <w:tcW w:w="2251" w:type="dxa"/>
            <w:shd w:val="clear" w:color="auto" w:fill="auto"/>
            <w:vAlign w:val="center"/>
          </w:tcPr>
          <w:p w14:paraId="3496DB7E">
            <w:pPr>
              <w:tabs>
                <w:tab w:val="left" w:pos="426"/>
              </w:tabs>
              <w:jc w:val="center"/>
              <w:rPr>
                <w:rFonts w:ascii="宋体" w:hAnsi="宋体" w:cs="宋体"/>
                <w:b/>
                <w:spacing w:val="4"/>
                <w:szCs w:val="21"/>
              </w:rPr>
            </w:pPr>
            <w:r>
              <w:rPr>
                <w:rFonts w:hint="eastAsia" w:ascii="宋体" w:hAnsi="宋体" w:cs="宋体"/>
                <w:b/>
                <w:spacing w:val="4"/>
                <w:szCs w:val="21"/>
              </w:rPr>
              <w:t>费用名称</w:t>
            </w:r>
          </w:p>
        </w:tc>
        <w:tc>
          <w:tcPr>
            <w:tcW w:w="1127" w:type="dxa"/>
            <w:shd w:val="clear" w:color="auto" w:fill="auto"/>
            <w:vAlign w:val="center"/>
          </w:tcPr>
          <w:p w14:paraId="0DBE0347">
            <w:pPr>
              <w:tabs>
                <w:tab w:val="left" w:pos="426"/>
              </w:tabs>
              <w:jc w:val="center"/>
              <w:rPr>
                <w:rFonts w:ascii="宋体" w:hAnsi="宋体" w:cs="宋体"/>
                <w:b/>
                <w:spacing w:val="4"/>
                <w:szCs w:val="21"/>
              </w:rPr>
            </w:pPr>
            <w:r>
              <w:rPr>
                <w:rFonts w:hint="eastAsia" w:ascii="宋体" w:hAnsi="宋体" w:cs="宋体"/>
                <w:b/>
                <w:spacing w:val="4"/>
                <w:szCs w:val="21"/>
              </w:rPr>
              <w:t>岗位数</w:t>
            </w:r>
          </w:p>
        </w:tc>
        <w:tc>
          <w:tcPr>
            <w:tcW w:w="1272" w:type="dxa"/>
            <w:shd w:val="clear" w:color="auto" w:fill="auto"/>
            <w:vAlign w:val="center"/>
          </w:tcPr>
          <w:p w14:paraId="328F962E">
            <w:pPr>
              <w:tabs>
                <w:tab w:val="left" w:pos="426"/>
              </w:tabs>
              <w:jc w:val="center"/>
              <w:rPr>
                <w:rFonts w:ascii="宋体" w:hAnsi="宋体" w:cs="宋体"/>
                <w:b/>
                <w:spacing w:val="4"/>
                <w:szCs w:val="21"/>
              </w:rPr>
            </w:pPr>
            <w:r>
              <w:rPr>
                <w:rFonts w:hint="eastAsia" w:ascii="宋体" w:hAnsi="宋体" w:cs="宋体"/>
                <w:b/>
                <w:spacing w:val="4"/>
                <w:szCs w:val="21"/>
              </w:rPr>
              <w:t>月支出（元）</w:t>
            </w:r>
          </w:p>
        </w:tc>
        <w:tc>
          <w:tcPr>
            <w:tcW w:w="1692" w:type="dxa"/>
            <w:shd w:val="clear" w:color="auto" w:fill="auto"/>
            <w:vAlign w:val="center"/>
          </w:tcPr>
          <w:p w14:paraId="2A337A62">
            <w:pPr>
              <w:tabs>
                <w:tab w:val="left" w:pos="426"/>
              </w:tabs>
              <w:jc w:val="center"/>
              <w:rPr>
                <w:rFonts w:ascii="宋体" w:hAnsi="宋体" w:cs="宋体"/>
                <w:b/>
                <w:spacing w:val="4"/>
                <w:szCs w:val="21"/>
              </w:rPr>
            </w:pPr>
            <w:r>
              <w:rPr>
                <w:rFonts w:hint="eastAsia" w:ascii="宋体" w:hAnsi="宋体" w:cs="宋体"/>
                <w:b/>
                <w:spacing w:val="4"/>
                <w:szCs w:val="21"/>
              </w:rPr>
              <w:t>12个月支出（元）</w:t>
            </w:r>
          </w:p>
        </w:tc>
        <w:tc>
          <w:tcPr>
            <w:tcW w:w="2355" w:type="dxa"/>
            <w:shd w:val="clear" w:color="auto" w:fill="auto"/>
            <w:vAlign w:val="center"/>
          </w:tcPr>
          <w:p w14:paraId="168474B2">
            <w:pPr>
              <w:tabs>
                <w:tab w:val="left" w:pos="426"/>
              </w:tabs>
              <w:jc w:val="center"/>
              <w:rPr>
                <w:rFonts w:ascii="宋体" w:hAnsi="宋体" w:cs="宋体"/>
                <w:b/>
                <w:spacing w:val="4"/>
                <w:szCs w:val="21"/>
              </w:rPr>
            </w:pPr>
            <w:r>
              <w:rPr>
                <w:rFonts w:hint="eastAsia" w:ascii="宋体" w:hAnsi="宋体" w:cs="宋体"/>
                <w:b/>
                <w:spacing w:val="4"/>
                <w:szCs w:val="21"/>
              </w:rPr>
              <w:t>备注</w:t>
            </w:r>
          </w:p>
        </w:tc>
      </w:tr>
      <w:tr w14:paraId="0201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570" w:type="dxa"/>
            <w:gridSpan w:val="6"/>
            <w:shd w:val="clear" w:color="auto" w:fill="auto"/>
            <w:vAlign w:val="center"/>
          </w:tcPr>
          <w:p w14:paraId="77D89707">
            <w:pPr>
              <w:tabs>
                <w:tab w:val="left" w:pos="426"/>
              </w:tabs>
              <w:jc w:val="left"/>
              <w:rPr>
                <w:rFonts w:ascii="宋体" w:hAnsi="宋体" w:cs="宋体"/>
                <w:b/>
                <w:spacing w:val="4"/>
                <w:szCs w:val="21"/>
              </w:rPr>
            </w:pPr>
            <w:r>
              <w:rPr>
                <w:rFonts w:hint="eastAsia" w:ascii="宋体" w:hAnsi="宋体" w:cs="宋体"/>
                <w:b/>
                <w:spacing w:val="4"/>
                <w:szCs w:val="21"/>
              </w:rPr>
              <w:t>一、人工工资及福利费用</w:t>
            </w:r>
          </w:p>
        </w:tc>
      </w:tr>
      <w:tr w14:paraId="1769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3" w:type="dxa"/>
            <w:shd w:val="clear" w:color="auto" w:fill="auto"/>
            <w:vAlign w:val="center"/>
          </w:tcPr>
          <w:p w14:paraId="7743FB42">
            <w:pPr>
              <w:tabs>
                <w:tab w:val="left" w:pos="426"/>
              </w:tabs>
              <w:jc w:val="center"/>
              <w:rPr>
                <w:rFonts w:ascii="宋体" w:hAnsi="宋体" w:cs="宋体"/>
                <w:spacing w:val="4"/>
                <w:szCs w:val="21"/>
              </w:rPr>
            </w:pPr>
            <w:r>
              <w:rPr>
                <w:rFonts w:hint="eastAsia" w:ascii="宋体" w:hAnsi="宋体" w:cs="宋体"/>
                <w:spacing w:val="4"/>
                <w:szCs w:val="21"/>
              </w:rPr>
              <w:t>1</w:t>
            </w:r>
          </w:p>
        </w:tc>
        <w:tc>
          <w:tcPr>
            <w:tcW w:w="2251" w:type="dxa"/>
            <w:shd w:val="clear" w:color="auto" w:fill="auto"/>
            <w:vAlign w:val="center"/>
          </w:tcPr>
          <w:p w14:paraId="6C3D1F97">
            <w:pPr>
              <w:tabs>
                <w:tab w:val="left" w:pos="426"/>
              </w:tabs>
              <w:jc w:val="left"/>
              <w:rPr>
                <w:rFonts w:ascii="宋体" w:hAnsi="宋体" w:cs="宋体"/>
                <w:spacing w:val="4"/>
                <w:szCs w:val="21"/>
              </w:rPr>
            </w:pPr>
            <w:r>
              <w:rPr>
                <w:rFonts w:hint="eastAsia" w:ascii="宋体" w:hAnsi="宋体" w:cs="宋体"/>
                <w:spacing w:val="4"/>
                <w:szCs w:val="21"/>
              </w:rPr>
              <w:t>基本工资</w:t>
            </w:r>
          </w:p>
        </w:tc>
        <w:tc>
          <w:tcPr>
            <w:tcW w:w="1127" w:type="dxa"/>
            <w:shd w:val="clear" w:color="auto" w:fill="auto"/>
            <w:vAlign w:val="center"/>
          </w:tcPr>
          <w:p w14:paraId="54716B39">
            <w:pPr>
              <w:tabs>
                <w:tab w:val="left" w:pos="426"/>
              </w:tabs>
              <w:jc w:val="center"/>
              <w:rPr>
                <w:rFonts w:ascii="宋体" w:hAnsi="宋体" w:cs="宋体"/>
                <w:spacing w:val="4"/>
                <w:szCs w:val="21"/>
              </w:rPr>
            </w:pPr>
          </w:p>
        </w:tc>
        <w:tc>
          <w:tcPr>
            <w:tcW w:w="1272" w:type="dxa"/>
            <w:shd w:val="clear" w:color="auto" w:fill="auto"/>
            <w:vAlign w:val="center"/>
          </w:tcPr>
          <w:p w14:paraId="4ABFA8A2">
            <w:pPr>
              <w:tabs>
                <w:tab w:val="left" w:pos="426"/>
              </w:tabs>
              <w:jc w:val="center"/>
              <w:rPr>
                <w:rFonts w:ascii="宋体" w:hAnsi="宋体" w:cs="宋体"/>
                <w:spacing w:val="4"/>
                <w:szCs w:val="21"/>
              </w:rPr>
            </w:pPr>
          </w:p>
        </w:tc>
        <w:tc>
          <w:tcPr>
            <w:tcW w:w="1692" w:type="dxa"/>
            <w:shd w:val="clear" w:color="auto" w:fill="auto"/>
            <w:vAlign w:val="center"/>
          </w:tcPr>
          <w:p w14:paraId="6A1BA0DA">
            <w:pPr>
              <w:tabs>
                <w:tab w:val="left" w:pos="426"/>
              </w:tabs>
              <w:jc w:val="center"/>
              <w:rPr>
                <w:rFonts w:ascii="宋体" w:hAnsi="宋体" w:cs="宋体"/>
                <w:spacing w:val="4"/>
                <w:szCs w:val="21"/>
              </w:rPr>
            </w:pPr>
          </w:p>
        </w:tc>
        <w:tc>
          <w:tcPr>
            <w:tcW w:w="2355" w:type="dxa"/>
            <w:shd w:val="clear" w:color="auto" w:fill="auto"/>
            <w:vAlign w:val="center"/>
          </w:tcPr>
          <w:p w14:paraId="3199D11F">
            <w:pPr>
              <w:tabs>
                <w:tab w:val="left" w:pos="426"/>
              </w:tabs>
              <w:jc w:val="center"/>
              <w:rPr>
                <w:rFonts w:ascii="宋体" w:hAnsi="宋体" w:cs="宋体"/>
                <w:spacing w:val="4"/>
                <w:szCs w:val="21"/>
              </w:rPr>
            </w:pPr>
          </w:p>
        </w:tc>
      </w:tr>
      <w:tr w14:paraId="7F71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3" w:type="dxa"/>
            <w:shd w:val="clear" w:color="auto" w:fill="auto"/>
            <w:vAlign w:val="center"/>
          </w:tcPr>
          <w:p w14:paraId="3E32ACC4">
            <w:pPr>
              <w:tabs>
                <w:tab w:val="left" w:pos="426"/>
              </w:tabs>
              <w:jc w:val="center"/>
              <w:rPr>
                <w:rFonts w:ascii="宋体" w:hAnsi="宋体" w:cs="宋体"/>
                <w:spacing w:val="4"/>
                <w:szCs w:val="21"/>
              </w:rPr>
            </w:pPr>
            <w:r>
              <w:rPr>
                <w:rFonts w:hint="eastAsia" w:ascii="宋体" w:hAnsi="宋体" w:cs="宋体"/>
                <w:spacing w:val="4"/>
                <w:szCs w:val="21"/>
              </w:rPr>
              <w:t>2</w:t>
            </w:r>
          </w:p>
        </w:tc>
        <w:tc>
          <w:tcPr>
            <w:tcW w:w="2251" w:type="dxa"/>
            <w:shd w:val="clear" w:color="auto" w:fill="auto"/>
            <w:vAlign w:val="center"/>
          </w:tcPr>
          <w:p w14:paraId="0CD4229C">
            <w:pPr>
              <w:tabs>
                <w:tab w:val="left" w:pos="426"/>
              </w:tabs>
              <w:jc w:val="left"/>
              <w:rPr>
                <w:rFonts w:ascii="宋体" w:hAnsi="宋体" w:cs="宋体"/>
                <w:spacing w:val="4"/>
                <w:szCs w:val="21"/>
              </w:rPr>
            </w:pPr>
            <w:r>
              <w:rPr>
                <w:rFonts w:hint="eastAsia" w:ascii="宋体" w:hAnsi="宋体" w:cs="宋体"/>
                <w:spacing w:val="4"/>
                <w:szCs w:val="21"/>
              </w:rPr>
              <w:t>绩效奖金</w:t>
            </w:r>
          </w:p>
        </w:tc>
        <w:tc>
          <w:tcPr>
            <w:tcW w:w="1127" w:type="dxa"/>
            <w:shd w:val="clear" w:color="auto" w:fill="auto"/>
            <w:vAlign w:val="center"/>
          </w:tcPr>
          <w:p w14:paraId="353774E7">
            <w:pPr>
              <w:tabs>
                <w:tab w:val="left" w:pos="426"/>
              </w:tabs>
              <w:jc w:val="center"/>
              <w:rPr>
                <w:rFonts w:ascii="宋体" w:hAnsi="宋体" w:cs="宋体"/>
                <w:spacing w:val="4"/>
                <w:szCs w:val="21"/>
              </w:rPr>
            </w:pPr>
          </w:p>
        </w:tc>
        <w:tc>
          <w:tcPr>
            <w:tcW w:w="1272" w:type="dxa"/>
            <w:shd w:val="clear" w:color="auto" w:fill="auto"/>
            <w:vAlign w:val="center"/>
          </w:tcPr>
          <w:p w14:paraId="159ABC85">
            <w:pPr>
              <w:tabs>
                <w:tab w:val="left" w:pos="426"/>
              </w:tabs>
              <w:jc w:val="center"/>
              <w:rPr>
                <w:rFonts w:ascii="宋体" w:hAnsi="宋体" w:cs="宋体"/>
                <w:spacing w:val="4"/>
                <w:szCs w:val="21"/>
              </w:rPr>
            </w:pPr>
          </w:p>
        </w:tc>
        <w:tc>
          <w:tcPr>
            <w:tcW w:w="1692" w:type="dxa"/>
            <w:shd w:val="clear" w:color="auto" w:fill="auto"/>
            <w:vAlign w:val="center"/>
          </w:tcPr>
          <w:p w14:paraId="62B5BFD3">
            <w:pPr>
              <w:tabs>
                <w:tab w:val="left" w:pos="426"/>
              </w:tabs>
              <w:jc w:val="center"/>
              <w:rPr>
                <w:rFonts w:ascii="宋体" w:hAnsi="宋体" w:cs="宋体"/>
                <w:spacing w:val="4"/>
                <w:szCs w:val="21"/>
              </w:rPr>
            </w:pPr>
          </w:p>
        </w:tc>
        <w:tc>
          <w:tcPr>
            <w:tcW w:w="2355" w:type="dxa"/>
            <w:shd w:val="clear" w:color="auto" w:fill="auto"/>
            <w:vAlign w:val="center"/>
          </w:tcPr>
          <w:p w14:paraId="1B872A50">
            <w:pPr>
              <w:tabs>
                <w:tab w:val="left" w:pos="426"/>
              </w:tabs>
              <w:jc w:val="center"/>
              <w:rPr>
                <w:rFonts w:ascii="宋体" w:hAnsi="宋体" w:cs="宋体"/>
                <w:spacing w:val="4"/>
                <w:szCs w:val="21"/>
              </w:rPr>
            </w:pPr>
          </w:p>
        </w:tc>
      </w:tr>
      <w:tr w14:paraId="233A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0371A84B">
            <w:pPr>
              <w:tabs>
                <w:tab w:val="left" w:pos="426"/>
              </w:tabs>
              <w:jc w:val="center"/>
              <w:rPr>
                <w:rFonts w:ascii="宋体" w:hAnsi="宋体" w:cs="宋体"/>
                <w:spacing w:val="4"/>
                <w:szCs w:val="21"/>
              </w:rPr>
            </w:pPr>
            <w:r>
              <w:rPr>
                <w:rFonts w:hint="eastAsia" w:ascii="宋体" w:hAnsi="宋体" w:cs="宋体"/>
                <w:spacing w:val="4"/>
                <w:szCs w:val="21"/>
              </w:rPr>
              <w:t>3</w:t>
            </w:r>
          </w:p>
        </w:tc>
        <w:tc>
          <w:tcPr>
            <w:tcW w:w="2251" w:type="dxa"/>
            <w:shd w:val="clear" w:color="auto" w:fill="auto"/>
            <w:vAlign w:val="center"/>
          </w:tcPr>
          <w:p w14:paraId="020EA6A9">
            <w:pPr>
              <w:tabs>
                <w:tab w:val="left" w:pos="426"/>
              </w:tabs>
              <w:jc w:val="left"/>
              <w:rPr>
                <w:rFonts w:ascii="宋体" w:hAnsi="宋体" w:cs="宋体"/>
                <w:spacing w:val="4"/>
                <w:szCs w:val="21"/>
              </w:rPr>
            </w:pPr>
            <w:r>
              <w:rPr>
                <w:rFonts w:hint="eastAsia" w:ascii="宋体" w:hAnsi="宋体" w:cs="宋体"/>
                <w:spacing w:val="4"/>
                <w:szCs w:val="21"/>
              </w:rPr>
              <w:t>法定节假日加班费</w:t>
            </w:r>
          </w:p>
        </w:tc>
        <w:tc>
          <w:tcPr>
            <w:tcW w:w="1127" w:type="dxa"/>
            <w:shd w:val="clear" w:color="auto" w:fill="auto"/>
            <w:vAlign w:val="center"/>
          </w:tcPr>
          <w:p w14:paraId="4C42BBE3">
            <w:pPr>
              <w:tabs>
                <w:tab w:val="left" w:pos="426"/>
              </w:tabs>
              <w:jc w:val="center"/>
              <w:rPr>
                <w:rFonts w:ascii="宋体" w:hAnsi="宋体" w:cs="宋体"/>
                <w:spacing w:val="4"/>
                <w:szCs w:val="21"/>
              </w:rPr>
            </w:pPr>
          </w:p>
        </w:tc>
        <w:tc>
          <w:tcPr>
            <w:tcW w:w="1272" w:type="dxa"/>
            <w:shd w:val="clear" w:color="auto" w:fill="auto"/>
            <w:vAlign w:val="center"/>
          </w:tcPr>
          <w:p w14:paraId="50E7BAF4">
            <w:pPr>
              <w:tabs>
                <w:tab w:val="left" w:pos="426"/>
              </w:tabs>
              <w:jc w:val="center"/>
              <w:rPr>
                <w:rFonts w:ascii="宋体" w:hAnsi="宋体" w:cs="宋体"/>
                <w:spacing w:val="4"/>
                <w:szCs w:val="21"/>
              </w:rPr>
            </w:pPr>
          </w:p>
        </w:tc>
        <w:tc>
          <w:tcPr>
            <w:tcW w:w="1692" w:type="dxa"/>
            <w:shd w:val="clear" w:color="auto" w:fill="auto"/>
            <w:vAlign w:val="center"/>
          </w:tcPr>
          <w:p w14:paraId="16E41C62">
            <w:pPr>
              <w:tabs>
                <w:tab w:val="left" w:pos="426"/>
              </w:tabs>
              <w:jc w:val="center"/>
              <w:rPr>
                <w:rFonts w:ascii="宋体" w:hAnsi="宋体" w:cs="宋体"/>
                <w:spacing w:val="4"/>
                <w:szCs w:val="21"/>
              </w:rPr>
            </w:pPr>
          </w:p>
        </w:tc>
        <w:tc>
          <w:tcPr>
            <w:tcW w:w="2355" w:type="dxa"/>
            <w:shd w:val="clear" w:color="auto" w:fill="auto"/>
            <w:vAlign w:val="center"/>
          </w:tcPr>
          <w:p w14:paraId="55D39CA7">
            <w:pPr>
              <w:tabs>
                <w:tab w:val="left" w:pos="426"/>
              </w:tabs>
              <w:jc w:val="center"/>
              <w:rPr>
                <w:rFonts w:ascii="宋体" w:hAnsi="宋体" w:cs="宋体"/>
                <w:spacing w:val="4"/>
                <w:szCs w:val="21"/>
              </w:rPr>
            </w:pPr>
          </w:p>
        </w:tc>
      </w:tr>
      <w:tr w14:paraId="3EC7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45FB0188">
            <w:pPr>
              <w:tabs>
                <w:tab w:val="left" w:pos="426"/>
              </w:tabs>
              <w:jc w:val="center"/>
              <w:rPr>
                <w:rFonts w:ascii="宋体" w:hAnsi="宋体" w:cs="宋体"/>
                <w:spacing w:val="4"/>
                <w:szCs w:val="21"/>
              </w:rPr>
            </w:pPr>
            <w:r>
              <w:rPr>
                <w:rFonts w:hint="eastAsia" w:ascii="宋体" w:hAnsi="宋体" w:cs="宋体"/>
                <w:spacing w:val="4"/>
                <w:szCs w:val="21"/>
              </w:rPr>
              <w:t>4</w:t>
            </w:r>
          </w:p>
        </w:tc>
        <w:tc>
          <w:tcPr>
            <w:tcW w:w="2251" w:type="dxa"/>
            <w:shd w:val="clear" w:color="auto" w:fill="auto"/>
            <w:vAlign w:val="center"/>
          </w:tcPr>
          <w:p w14:paraId="2B4085D6">
            <w:pPr>
              <w:tabs>
                <w:tab w:val="left" w:pos="426"/>
              </w:tabs>
              <w:jc w:val="left"/>
              <w:rPr>
                <w:rFonts w:ascii="宋体" w:hAnsi="宋体" w:cs="宋体"/>
                <w:spacing w:val="4"/>
                <w:szCs w:val="21"/>
              </w:rPr>
            </w:pPr>
            <w:r>
              <w:rPr>
                <w:rFonts w:hint="eastAsia" w:ascii="宋体" w:hAnsi="宋体" w:cs="宋体"/>
                <w:spacing w:val="4"/>
                <w:szCs w:val="21"/>
              </w:rPr>
              <w:t>社会保险</w:t>
            </w:r>
          </w:p>
        </w:tc>
        <w:tc>
          <w:tcPr>
            <w:tcW w:w="1127" w:type="dxa"/>
            <w:shd w:val="clear" w:color="auto" w:fill="auto"/>
            <w:vAlign w:val="center"/>
          </w:tcPr>
          <w:p w14:paraId="31879029">
            <w:pPr>
              <w:tabs>
                <w:tab w:val="left" w:pos="426"/>
              </w:tabs>
              <w:jc w:val="center"/>
              <w:rPr>
                <w:rFonts w:ascii="宋体" w:hAnsi="宋体" w:cs="宋体"/>
                <w:spacing w:val="4"/>
                <w:szCs w:val="21"/>
              </w:rPr>
            </w:pPr>
          </w:p>
        </w:tc>
        <w:tc>
          <w:tcPr>
            <w:tcW w:w="1272" w:type="dxa"/>
            <w:shd w:val="clear" w:color="auto" w:fill="auto"/>
            <w:vAlign w:val="center"/>
          </w:tcPr>
          <w:p w14:paraId="54F74959">
            <w:pPr>
              <w:tabs>
                <w:tab w:val="left" w:pos="426"/>
              </w:tabs>
              <w:jc w:val="center"/>
              <w:rPr>
                <w:rFonts w:ascii="宋体" w:hAnsi="宋体" w:cs="宋体"/>
                <w:spacing w:val="4"/>
                <w:szCs w:val="21"/>
              </w:rPr>
            </w:pPr>
          </w:p>
        </w:tc>
        <w:tc>
          <w:tcPr>
            <w:tcW w:w="1692" w:type="dxa"/>
            <w:shd w:val="clear" w:color="auto" w:fill="auto"/>
            <w:vAlign w:val="center"/>
          </w:tcPr>
          <w:p w14:paraId="061EFC23">
            <w:pPr>
              <w:tabs>
                <w:tab w:val="left" w:pos="426"/>
              </w:tabs>
              <w:jc w:val="center"/>
              <w:rPr>
                <w:rFonts w:ascii="宋体" w:hAnsi="宋体" w:cs="宋体"/>
                <w:spacing w:val="4"/>
                <w:szCs w:val="21"/>
              </w:rPr>
            </w:pPr>
          </w:p>
        </w:tc>
        <w:tc>
          <w:tcPr>
            <w:tcW w:w="2355" w:type="dxa"/>
            <w:shd w:val="clear" w:color="auto" w:fill="auto"/>
            <w:vAlign w:val="center"/>
          </w:tcPr>
          <w:p w14:paraId="3933A600">
            <w:pPr>
              <w:tabs>
                <w:tab w:val="left" w:pos="426"/>
              </w:tabs>
              <w:jc w:val="center"/>
              <w:rPr>
                <w:rFonts w:ascii="宋体" w:hAnsi="宋体" w:cs="宋体"/>
                <w:spacing w:val="4"/>
                <w:szCs w:val="21"/>
              </w:rPr>
            </w:pPr>
            <w:r>
              <w:rPr>
                <w:rFonts w:hint="eastAsia" w:ascii="宋体" w:hAnsi="宋体" w:cs="宋体"/>
                <w:spacing w:val="4"/>
                <w:szCs w:val="21"/>
              </w:rPr>
              <w:t>含养老保险、医疗保险、工伤保险、失业保险和生育保险</w:t>
            </w:r>
          </w:p>
        </w:tc>
      </w:tr>
      <w:tr w14:paraId="1560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378600E3">
            <w:pPr>
              <w:tabs>
                <w:tab w:val="left" w:pos="426"/>
              </w:tabs>
              <w:jc w:val="center"/>
              <w:rPr>
                <w:rFonts w:ascii="宋体" w:hAnsi="宋体" w:cs="宋体"/>
                <w:spacing w:val="4"/>
                <w:szCs w:val="21"/>
              </w:rPr>
            </w:pPr>
            <w:r>
              <w:rPr>
                <w:rFonts w:hint="eastAsia" w:ascii="宋体" w:hAnsi="宋体" w:cs="宋体"/>
                <w:spacing w:val="4"/>
                <w:szCs w:val="21"/>
              </w:rPr>
              <w:t>5</w:t>
            </w:r>
          </w:p>
        </w:tc>
        <w:tc>
          <w:tcPr>
            <w:tcW w:w="2251" w:type="dxa"/>
            <w:shd w:val="clear" w:color="auto" w:fill="auto"/>
            <w:vAlign w:val="center"/>
          </w:tcPr>
          <w:p w14:paraId="7B3659C1">
            <w:pPr>
              <w:tabs>
                <w:tab w:val="left" w:pos="426"/>
              </w:tabs>
              <w:jc w:val="left"/>
              <w:rPr>
                <w:rFonts w:ascii="宋体" w:hAnsi="宋体" w:cs="宋体"/>
                <w:spacing w:val="4"/>
                <w:szCs w:val="21"/>
              </w:rPr>
            </w:pPr>
            <w:r>
              <w:rPr>
                <w:rFonts w:hint="eastAsia" w:ascii="宋体" w:hAnsi="宋体" w:cs="宋体"/>
                <w:spacing w:val="4"/>
                <w:szCs w:val="21"/>
              </w:rPr>
              <w:t>人身意外险</w:t>
            </w:r>
          </w:p>
        </w:tc>
        <w:tc>
          <w:tcPr>
            <w:tcW w:w="1127" w:type="dxa"/>
            <w:shd w:val="clear" w:color="auto" w:fill="auto"/>
            <w:vAlign w:val="center"/>
          </w:tcPr>
          <w:p w14:paraId="41936793">
            <w:pPr>
              <w:tabs>
                <w:tab w:val="left" w:pos="426"/>
              </w:tabs>
              <w:jc w:val="center"/>
              <w:rPr>
                <w:rFonts w:ascii="宋体" w:hAnsi="宋体" w:cs="宋体"/>
                <w:spacing w:val="4"/>
                <w:szCs w:val="21"/>
              </w:rPr>
            </w:pPr>
          </w:p>
        </w:tc>
        <w:tc>
          <w:tcPr>
            <w:tcW w:w="1272" w:type="dxa"/>
            <w:shd w:val="clear" w:color="auto" w:fill="auto"/>
            <w:vAlign w:val="center"/>
          </w:tcPr>
          <w:p w14:paraId="50BE32B4">
            <w:pPr>
              <w:tabs>
                <w:tab w:val="left" w:pos="426"/>
              </w:tabs>
              <w:jc w:val="center"/>
              <w:rPr>
                <w:rFonts w:ascii="宋体" w:hAnsi="宋体" w:cs="宋体"/>
                <w:spacing w:val="4"/>
                <w:szCs w:val="21"/>
              </w:rPr>
            </w:pPr>
          </w:p>
        </w:tc>
        <w:tc>
          <w:tcPr>
            <w:tcW w:w="1692" w:type="dxa"/>
            <w:shd w:val="clear" w:color="auto" w:fill="auto"/>
            <w:vAlign w:val="center"/>
          </w:tcPr>
          <w:p w14:paraId="490BEDBE">
            <w:pPr>
              <w:tabs>
                <w:tab w:val="left" w:pos="426"/>
              </w:tabs>
              <w:jc w:val="center"/>
              <w:rPr>
                <w:rFonts w:ascii="宋体" w:hAnsi="宋体" w:cs="宋体"/>
                <w:spacing w:val="4"/>
                <w:szCs w:val="21"/>
              </w:rPr>
            </w:pPr>
          </w:p>
        </w:tc>
        <w:tc>
          <w:tcPr>
            <w:tcW w:w="2355" w:type="dxa"/>
            <w:shd w:val="clear" w:color="auto" w:fill="auto"/>
            <w:vAlign w:val="center"/>
          </w:tcPr>
          <w:p w14:paraId="59D6EAD2">
            <w:pPr>
              <w:tabs>
                <w:tab w:val="left" w:pos="426"/>
              </w:tabs>
              <w:jc w:val="center"/>
              <w:rPr>
                <w:rFonts w:ascii="宋体" w:hAnsi="宋体" w:cs="宋体"/>
                <w:spacing w:val="4"/>
                <w:szCs w:val="21"/>
              </w:rPr>
            </w:pPr>
          </w:p>
        </w:tc>
      </w:tr>
      <w:tr w14:paraId="6AD4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7261FE10">
            <w:pPr>
              <w:tabs>
                <w:tab w:val="left" w:pos="426"/>
              </w:tabs>
              <w:jc w:val="center"/>
              <w:rPr>
                <w:rFonts w:ascii="宋体" w:hAnsi="宋体" w:cs="宋体"/>
                <w:spacing w:val="4"/>
                <w:szCs w:val="21"/>
              </w:rPr>
            </w:pPr>
            <w:r>
              <w:rPr>
                <w:rFonts w:hint="eastAsia" w:ascii="宋体" w:hAnsi="宋体" w:cs="宋体"/>
                <w:spacing w:val="4"/>
                <w:szCs w:val="21"/>
              </w:rPr>
              <w:t>6</w:t>
            </w:r>
          </w:p>
        </w:tc>
        <w:tc>
          <w:tcPr>
            <w:tcW w:w="2251" w:type="dxa"/>
            <w:shd w:val="clear" w:color="auto" w:fill="auto"/>
            <w:vAlign w:val="center"/>
          </w:tcPr>
          <w:p w14:paraId="058E6390">
            <w:pPr>
              <w:tabs>
                <w:tab w:val="left" w:pos="426"/>
              </w:tabs>
              <w:jc w:val="left"/>
              <w:rPr>
                <w:rFonts w:ascii="宋体" w:hAnsi="宋体" w:cs="宋体"/>
                <w:spacing w:val="4"/>
                <w:szCs w:val="21"/>
              </w:rPr>
            </w:pPr>
            <w:r>
              <w:rPr>
                <w:rFonts w:hint="eastAsia" w:ascii="宋体" w:hAnsi="宋体" w:cs="宋体"/>
                <w:spacing w:val="4"/>
                <w:szCs w:val="21"/>
              </w:rPr>
              <w:t>住房公积金</w:t>
            </w:r>
          </w:p>
        </w:tc>
        <w:tc>
          <w:tcPr>
            <w:tcW w:w="1127" w:type="dxa"/>
            <w:shd w:val="clear" w:color="auto" w:fill="auto"/>
            <w:vAlign w:val="center"/>
          </w:tcPr>
          <w:p w14:paraId="08F5E532">
            <w:pPr>
              <w:tabs>
                <w:tab w:val="left" w:pos="426"/>
              </w:tabs>
              <w:jc w:val="center"/>
              <w:rPr>
                <w:rFonts w:ascii="宋体" w:hAnsi="宋体" w:cs="宋体"/>
                <w:spacing w:val="4"/>
                <w:szCs w:val="21"/>
              </w:rPr>
            </w:pPr>
          </w:p>
        </w:tc>
        <w:tc>
          <w:tcPr>
            <w:tcW w:w="1272" w:type="dxa"/>
            <w:shd w:val="clear" w:color="auto" w:fill="auto"/>
            <w:vAlign w:val="center"/>
          </w:tcPr>
          <w:p w14:paraId="79EB97AA">
            <w:pPr>
              <w:tabs>
                <w:tab w:val="left" w:pos="426"/>
              </w:tabs>
              <w:jc w:val="center"/>
              <w:rPr>
                <w:rFonts w:ascii="宋体" w:hAnsi="宋体" w:cs="宋体"/>
                <w:spacing w:val="4"/>
                <w:szCs w:val="21"/>
              </w:rPr>
            </w:pPr>
          </w:p>
        </w:tc>
        <w:tc>
          <w:tcPr>
            <w:tcW w:w="1692" w:type="dxa"/>
            <w:shd w:val="clear" w:color="auto" w:fill="auto"/>
            <w:vAlign w:val="center"/>
          </w:tcPr>
          <w:p w14:paraId="2709A07D">
            <w:pPr>
              <w:tabs>
                <w:tab w:val="left" w:pos="426"/>
              </w:tabs>
              <w:jc w:val="center"/>
              <w:rPr>
                <w:rFonts w:ascii="宋体" w:hAnsi="宋体" w:cs="宋体"/>
                <w:spacing w:val="4"/>
                <w:szCs w:val="21"/>
              </w:rPr>
            </w:pPr>
          </w:p>
        </w:tc>
        <w:tc>
          <w:tcPr>
            <w:tcW w:w="2355" w:type="dxa"/>
            <w:shd w:val="clear" w:color="auto" w:fill="auto"/>
            <w:vAlign w:val="center"/>
          </w:tcPr>
          <w:p w14:paraId="57B37249">
            <w:pPr>
              <w:tabs>
                <w:tab w:val="left" w:pos="426"/>
              </w:tabs>
              <w:jc w:val="center"/>
              <w:rPr>
                <w:rFonts w:ascii="宋体" w:hAnsi="宋体" w:cs="宋体"/>
                <w:spacing w:val="4"/>
                <w:szCs w:val="21"/>
              </w:rPr>
            </w:pPr>
          </w:p>
        </w:tc>
      </w:tr>
      <w:tr w14:paraId="3906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7D7DFBD8">
            <w:pPr>
              <w:tabs>
                <w:tab w:val="left" w:pos="426"/>
              </w:tabs>
              <w:jc w:val="center"/>
              <w:rPr>
                <w:rFonts w:ascii="宋体" w:hAnsi="宋体" w:cs="宋体"/>
                <w:spacing w:val="4"/>
                <w:szCs w:val="21"/>
              </w:rPr>
            </w:pPr>
            <w:r>
              <w:rPr>
                <w:rFonts w:hint="eastAsia" w:ascii="宋体" w:hAnsi="宋体" w:cs="宋体"/>
                <w:spacing w:val="4"/>
                <w:szCs w:val="21"/>
              </w:rPr>
              <w:t>7</w:t>
            </w:r>
          </w:p>
        </w:tc>
        <w:tc>
          <w:tcPr>
            <w:tcW w:w="2251" w:type="dxa"/>
            <w:shd w:val="clear" w:color="auto" w:fill="auto"/>
            <w:vAlign w:val="center"/>
          </w:tcPr>
          <w:p w14:paraId="796D3FAA">
            <w:pPr>
              <w:tabs>
                <w:tab w:val="left" w:pos="426"/>
              </w:tabs>
              <w:jc w:val="left"/>
              <w:rPr>
                <w:rFonts w:ascii="宋体" w:hAnsi="宋体" w:cs="宋体"/>
                <w:spacing w:val="4"/>
                <w:szCs w:val="21"/>
              </w:rPr>
            </w:pPr>
            <w:r>
              <w:rPr>
                <w:rFonts w:hint="eastAsia" w:ascii="宋体" w:hAnsi="宋体" w:cs="宋体"/>
                <w:spacing w:val="4"/>
                <w:szCs w:val="21"/>
              </w:rPr>
              <w:t>高温补贴</w:t>
            </w:r>
          </w:p>
        </w:tc>
        <w:tc>
          <w:tcPr>
            <w:tcW w:w="1127" w:type="dxa"/>
            <w:shd w:val="clear" w:color="auto" w:fill="auto"/>
            <w:vAlign w:val="center"/>
          </w:tcPr>
          <w:p w14:paraId="5C8FBA7F">
            <w:pPr>
              <w:tabs>
                <w:tab w:val="left" w:pos="426"/>
              </w:tabs>
              <w:jc w:val="center"/>
              <w:rPr>
                <w:rFonts w:ascii="宋体" w:hAnsi="宋体" w:cs="宋体"/>
                <w:spacing w:val="4"/>
                <w:szCs w:val="21"/>
              </w:rPr>
            </w:pPr>
          </w:p>
        </w:tc>
        <w:tc>
          <w:tcPr>
            <w:tcW w:w="1272" w:type="dxa"/>
            <w:shd w:val="clear" w:color="auto" w:fill="auto"/>
            <w:vAlign w:val="center"/>
          </w:tcPr>
          <w:p w14:paraId="3CC5A537">
            <w:pPr>
              <w:tabs>
                <w:tab w:val="left" w:pos="426"/>
              </w:tabs>
              <w:jc w:val="center"/>
              <w:rPr>
                <w:rFonts w:ascii="宋体" w:hAnsi="宋体" w:cs="宋体"/>
                <w:spacing w:val="4"/>
                <w:szCs w:val="21"/>
              </w:rPr>
            </w:pPr>
          </w:p>
        </w:tc>
        <w:tc>
          <w:tcPr>
            <w:tcW w:w="1692" w:type="dxa"/>
            <w:shd w:val="clear" w:color="auto" w:fill="auto"/>
            <w:vAlign w:val="center"/>
          </w:tcPr>
          <w:p w14:paraId="6023ED55">
            <w:pPr>
              <w:tabs>
                <w:tab w:val="left" w:pos="426"/>
              </w:tabs>
              <w:jc w:val="center"/>
              <w:rPr>
                <w:rFonts w:ascii="宋体" w:hAnsi="宋体" w:cs="宋体"/>
                <w:spacing w:val="4"/>
                <w:szCs w:val="21"/>
              </w:rPr>
            </w:pPr>
          </w:p>
        </w:tc>
        <w:tc>
          <w:tcPr>
            <w:tcW w:w="2355" w:type="dxa"/>
            <w:shd w:val="clear" w:color="auto" w:fill="auto"/>
            <w:vAlign w:val="center"/>
          </w:tcPr>
          <w:p w14:paraId="62EE2A15">
            <w:pPr>
              <w:tabs>
                <w:tab w:val="left" w:pos="426"/>
              </w:tabs>
              <w:jc w:val="center"/>
              <w:rPr>
                <w:rFonts w:ascii="宋体" w:hAnsi="宋体" w:cs="宋体"/>
                <w:spacing w:val="4"/>
                <w:szCs w:val="21"/>
              </w:rPr>
            </w:pPr>
          </w:p>
        </w:tc>
      </w:tr>
      <w:tr w14:paraId="39C9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7F1BF3C3">
            <w:pPr>
              <w:tabs>
                <w:tab w:val="left" w:pos="426"/>
              </w:tabs>
              <w:jc w:val="center"/>
              <w:rPr>
                <w:rFonts w:ascii="宋体" w:hAnsi="宋体" w:cs="宋体"/>
                <w:spacing w:val="4"/>
                <w:szCs w:val="21"/>
              </w:rPr>
            </w:pPr>
            <w:r>
              <w:rPr>
                <w:rFonts w:hint="eastAsia" w:ascii="宋体" w:hAnsi="宋体" w:cs="宋体"/>
                <w:spacing w:val="4"/>
                <w:szCs w:val="21"/>
              </w:rPr>
              <w:t>8</w:t>
            </w:r>
          </w:p>
        </w:tc>
        <w:tc>
          <w:tcPr>
            <w:tcW w:w="2251" w:type="dxa"/>
            <w:shd w:val="clear" w:color="auto" w:fill="auto"/>
            <w:vAlign w:val="center"/>
          </w:tcPr>
          <w:p w14:paraId="1BFDD2CB">
            <w:pPr>
              <w:tabs>
                <w:tab w:val="left" w:pos="426"/>
              </w:tabs>
              <w:jc w:val="left"/>
              <w:rPr>
                <w:rFonts w:ascii="宋体" w:hAnsi="宋体" w:cs="宋体"/>
                <w:spacing w:val="4"/>
                <w:szCs w:val="21"/>
              </w:rPr>
            </w:pPr>
            <w:r>
              <w:rPr>
                <w:rFonts w:hint="eastAsia" w:ascii="宋体"/>
                <w:szCs w:val="21"/>
              </w:rPr>
              <w:t>特殊岗位补助</w:t>
            </w:r>
          </w:p>
        </w:tc>
        <w:tc>
          <w:tcPr>
            <w:tcW w:w="1127" w:type="dxa"/>
            <w:shd w:val="clear" w:color="auto" w:fill="auto"/>
            <w:vAlign w:val="center"/>
          </w:tcPr>
          <w:p w14:paraId="4D6F6A0A">
            <w:pPr>
              <w:tabs>
                <w:tab w:val="left" w:pos="426"/>
              </w:tabs>
              <w:jc w:val="center"/>
              <w:rPr>
                <w:rFonts w:ascii="宋体" w:hAnsi="宋体" w:cs="宋体"/>
                <w:spacing w:val="4"/>
                <w:szCs w:val="21"/>
              </w:rPr>
            </w:pPr>
          </w:p>
        </w:tc>
        <w:tc>
          <w:tcPr>
            <w:tcW w:w="1272" w:type="dxa"/>
            <w:shd w:val="clear" w:color="auto" w:fill="auto"/>
            <w:vAlign w:val="center"/>
          </w:tcPr>
          <w:p w14:paraId="715B083F">
            <w:pPr>
              <w:tabs>
                <w:tab w:val="left" w:pos="426"/>
              </w:tabs>
              <w:jc w:val="center"/>
              <w:rPr>
                <w:rFonts w:ascii="宋体" w:hAnsi="宋体" w:cs="宋体"/>
                <w:spacing w:val="4"/>
                <w:szCs w:val="21"/>
              </w:rPr>
            </w:pPr>
          </w:p>
        </w:tc>
        <w:tc>
          <w:tcPr>
            <w:tcW w:w="1692" w:type="dxa"/>
            <w:shd w:val="clear" w:color="auto" w:fill="auto"/>
            <w:vAlign w:val="center"/>
          </w:tcPr>
          <w:p w14:paraId="5CA433EC">
            <w:pPr>
              <w:tabs>
                <w:tab w:val="left" w:pos="426"/>
              </w:tabs>
              <w:jc w:val="center"/>
              <w:rPr>
                <w:rFonts w:ascii="宋体" w:hAnsi="宋体" w:cs="宋体"/>
                <w:spacing w:val="4"/>
                <w:szCs w:val="21"/>
              </w:rPr>
            </w:pPr>
          </w:p>
        </w:tc>
        <w:tc>
          <w:tcPr>
            <w:tcW w:w="2355" w:type="dxa"/>
            <w:shd w:val="clear" w:color="auto" w:fill="auto"/>
            <w:vAlign w:val="center"/>
          </w:tcPr>
          <w:p w14:paraId="3EB11B30">
            <w:pPr>
              <w:tabs>
                <w:tab w:val="left" w:pos="426"/>
              </w:tabs>
              <w:jc w:val="center"/>
              <w:rPr>
                <w:rFonts w:ascii="宋体" w:hAnsi="宋体" w:cs="宋体"/>
                <w:spacing w:val="4"/>
                <w:szCs w:val="21"/>
              </w:rPr>
            </w:pPr>
          </w:p>
        </w:tc>
      </w:tr>
      <w:tr w14:paraId="0849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1F9FA827">
            <w:pPr>
              <w:jc w:val="center"/>
              <w:rPr>
                <w:rFonts w:ascii="宋体" w:hAnsi="宋体" w:cs="宋体"/>
                <w:spacing w:val="4"/>
                <w:szCs w:val="21"/>
              </w:rPr>
            </w:pPr>
            <w:r>
              <w:rPr>
                <w:rFonts w:hint="eastAsia" w:ascii="宋体" w:hAnsi="宋体" w:cs="宋体"/>
                <w:spacing w:val="4"/>
                <w:szCs w:val="21"/>
              </w:rPr>
              <w:t>9</w:t>
            </w:r>
          </w:p>
        </w:tc>
        <w:tc>
          <w:tcPr>
            <w:tcW w:w="2251" w:type="dxa"/>
            <w:shd w:val="clear" w:color="auto" w:fill="auto"/>
            <w:vAlign w:val="center"/>
          </w:tcPr>
          <w:p w14:paraId="7DF3EADB">
            <w:pPr>
              <w:tabs>
                <w:tab w:val="left" w:pos="426"/>
              </w:tabs>
              <w:jc w:val="left"/>
              <w:rPr>
                <w:rFonts w:ascii="宋体" w:hAnsi="宋体" w:cs="宋体"/>
                <w:spacing w:val="4"/>
                <w:szCs w:val="21"/>
              </w:rPr>
            </w:pPr>
            <w:r>
              <w:rPr>
                <w:rFonts w:hint="eastAsia"/>
              </w:rPr>
              <w:t>食宿费</w:t>
            </w:r>
          </w:p>
        </w:tc>
        <w:tc>
          <w:tcPr>
            <w:tcW w:w="1127" w:type="dxa"/>
            <w:shd w:val="clear" w:color="auto" w:fill="auto"/>
            <w:vAlign w:val="center"/>
          </w:tcPr>
          <w:p w14:paraId="6902F2B9">
            <w:pPr>
              <w:tabs>
                <w:tab w:val="left" w:pos="426"/>
              </w:tabs>
              <w:jc w:val="center"/>
              <w:rPr>
                <w:rFonts w:ascii="宋体" w:hAnsi="宋体" w:cs="宋体"/>
                <w:spacing w:val="4"/>
                <w:szCs w:val="21"/>
              </w:rPr>
            </w:pPr>
          </w:p>
        </w:tc>
        <w:tc>
          <w:tcPr>
            <w:tcW w:w="1272" w:type="dxa"/>
            <w:shd w:val="clear" w:color="auto" w:fill="auto"/>
            <w:vAlign w:val="center"/>
          </w:tcPr>
          <w:p w14:paraId="21193C70">
            <w:pPr>
              <w:tabs>
                <w:tab w:val="left" w:pos="426"/>
              </w:tabs>
              <w:jc w:val="center"/>
              <w:rPr>
                <w:rFonts w:ascii="宋体" w:hAnsi="宋体" w:cs="宋体"/>
                <w:spacing w:val="4"/>
                <w:szCs w:val="21"/>
              </w:rPr>
            </w:pPr>
          </w:p>
        </w:tc>
        <w:tc>
          <w:tcPr>
            <w:tcW w:w="1692" w:type="dxa"/>
            <w:shd w:val="clear" w:color="auto" w:fill="auto"/>
            <w:vAlign w:val="center"/>
          </w:tcPr>
          <w:p w14:paraId="70F4C7E6">
            <w:pPr>
              <w:tabs>
                <w:tab w:val="left" w:pos="426"/>
              </w:tabs>
              <w:jc w:val="center"/>
              <w:rPr>
                <w:rFonts w:ascii="宋体" w:hAnsi="宋体" w:cs="宋体"/>
                <w:spacing w:val="4"/>
                <w:szCs w:val="21"/>
              </w:rPr>
            </w:pPr>
          </w:p>
        </w:tc>
        <w:tc>
          <w:tcPr>
            <w:tcW w:w="2355" w:type="dxa"/>
            <w:shd w:val="clear" w:color="auto" w:fill="auto"/>
            <w:vAlign w:val="center"/>
          </w:tcPr>
          <w:p w14:paraId="2DF75070">
            <w:pPr>
              <w:tabs>
                <w:tab w:val="left" w:pos="426"/>
              </w:tabs>
              <w:rPr>
                <w:rFonts w:ascii="宋体" w:hAnsi="宋体" w:cs="宋体"/>
                <w:spacing w:val="4"/>
                <w:szCs w:val="21"/>
              </w:rPr>
            </w:pPr>
          </w:p>
        </w:tc>
      </w:tr>
      <w:tr w14:paraId="5E83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2E9460A5">
            <w:pPr>
              <w:jc w:val="center"/>
              <w:rPr>
                <w:rFonts w:ascii="宋体" w:hAnsi="宋体" w:cs="宋体"/>
                <w:spacing w:val="4"/>
                <w:szCs w:val="21"/>
              </w:rPr>
            </w:pPr>
            <w:r>
              <w:rPr>
                <w:rFonts w:hint="eastAsia" w:ascii="宋体" w:hAnsi="宋体" w:cs="宋体"/>
                <w:spacing w:val="4"/>
                <w:szCs w:val="21"/>
              </w:rPr>
              <w:t>10</w:t>
            </w:r>
          </w:p>
        </w:tc>
        <w:tc>
          <w:tcPr>
            <w:tcW w:w="2251" w:type="dxa"/>
            <w:shd w:val="clear" w:color="auto" w:fill="auto"/>
            <w:vAlign w:val="center"/>
          </w:tcPr>
          <w:p w14:paraId="2694A4B9">
            <w:pPr>
              <w:tabs>
                <w:tab w:val="left" w:pos="426"/>
              </w:tabs>
              <w:jc w:val="left"/>
              <w:rPr>
                <w:rFonts w:ascii="宋体" w:hAnsi="宋体" w:cs="宋体"/>
                <w:spacing w:val="4"/>
                <w:szCs w:val="21"/>
              </w:rPr>
            </w:pPr>
            <w:r>
              <w:rPr>
                <w:rFonts w:hint="eastAsia"/>
              </w:rPr>
              <w:t>服装费</w:t>
            </w:r>
          </w:p>
        </w:tc>
        <w:tc>
          <w:tcPr>
            <w:tcW w:w="1127" w:type="dxa"/>
            <w:shd w:val="clear" w:color="auto" w:fill="auto"/>
            <w:vAlign w:val="center"/>
          </w:tcPr>
          <w:p w14:paraId="37717878">
            <w:pPr>
              <w:tabs>
                <w:tab w:val="left" w:pos="426"/>
              </w:tabs>
              <w:jc w:val="center"/>
              <w:rPr>
                <w:rFonts w:ascii="宋体" w:hAnsi="宋体" w:cs="宋体"/>
                <w:spacing w:val="4"/>
                <w:szCs w:val="21"/>
              </w:rPr>
            </w:pPr>
          </w:p>
        </w:tc>
        <w:tc>
          <w:tcPr>
            <w:tcW w:w="1272" w:type="dxa"/>
            <w:shd w:val="clear" w:color="auto" w:fill="auto"/>
            <w:vAlign w:val="center"/>
          </w:tcPr>
          <w:p w14:paraId="2EAB9949">
            <w:pPr>
              <w:tabs>
                <w:tab w:val="left" w:pos="426"/>
              </w:tabs>
              <w:jc w:val="center"/>
              <w:rPr>
                <w:rFonts w:ascii="宋体" w:hAnsi="宋体" w:cs="宋体"/>
                <w:spacing w:val="4"/>
                <w:szCs w:val="21"/>
              </w:rPr>
            </w:pPr>
          </w:p>
        </w:tc>
        <w:tc>
          <w:tcPr>
            <w:tcW w:w="1692" w:type="dxa"/>
            <w:shd w:val="clear" w:color="auto" w:fill="auto"/>
            <w:vAlign w:val="center"/>
          </w:tcPr>
          <w:p w14:paraId="641F5453">
            <w:pPr>
              <w:tabs>
                <w:tab w:val="left" w:pos="426"/>
              </w:tabs>
              <w:jc w:val="center"/>
              <w:rPr>
                <w:rFonts w:ascii="宋体" w:hAnsi="宋体" w:cs="宋体"/>
                <w:spacing w:val="4"/>
                <w:szCs w:val="21"/>
              </w:rPr>
            </w:pPr>
          </w:p>
        </w:tc>
        <w:tc>
          <w:tcPr>
            <w:tcW w:w="2355" w:type="dxa"/>
            <w:shd w:val="clear" w:color="auto" w:fill="auto"/>
            <w:vAlign w:val="center"/>
          </w:tcPr>
          <w:p w14:paraId="1475A49C">
            <w:pPr>
              <w:tabs>
                <w:tab w:val="left" w:pos="426"/>
              </w:tabs>
              <w:rPr>
                <w:rFonts w:ascii="宋体" w:hAnsi="宋体" w:cs="宋体"/>
                <w:spacing w:val="4"/>
                <w:szCs w:val="21"/>
              </w:rPr>
            </w:pPr>
          </w:p>
        </w:tc>
      </w:tr>
      <w:tr w14:paraId="251B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0620ABA9">
            <w:pPr>
              <w:jc w:val="center"/>
              <w:rPr>
                <w:rFonts w:ascii="宋体" w:hAnsi="宋体" w:cs="宋体"/>
                <w:spacing w:val="4"/>
                <w:szCs w:val="21"/>
              </w:rPr>
            </w:pPr>
            <w:r>
              <w:rPr>
                <w:rFonts w:hint="eastAsia" w:ascii="宋体" w:hAnsi="宋体" w:cs="宋体"/>
                <w:spacing w:val="4"/>
                <w:szCs w:val="21"/>
              </w:rPr>
              <w:t>11</w:t>
            </w:r>
          </w:p>
        </w:tc>
        <w:tc>
          <w:tcPr>
            <w:tcW w:w="2251" w:type="dxa"/>
            <w:shd w:val="clear" w:color="auto" w:fill="auto"/>
            <w:vAlign w:val="center"/>
          </w:tcPr>
          <w:p w14:paraId="3FC633F8">
            <w:pPr>
              <w:tabs>
                <w:tab w:val="left" w:pos="426"/>
              </w:tabs>
              <w:jc w:val="left"/>
              <w:rPr>
                <w:rFonts w:ascii="宋体" w:hAnsi="宋体" w:cs="宋体"/>
                <w:spacing w:val="4"/>
                <w:szCs w:val="21"/>
              </w:rPr>
            </w:pPr>
            <w:r>
              <w:rPr>
                <w:rFonts w:hint="eastAsia" w:ascii="宋体" w:hAnsi="宋体" w:cs="宋体"/>
                <w:spacing w:val="4"/>
                <w:szCs w:val="21"/>
              </w:rPr>
              <w:t>经济赔偿金</w:t>
            </w:r>
          </w:p>
        </w:tc>
        <w:tc>
          <w:tcPr>
            <w:tcW w:w="1127" w:type="dxa"/>
            <w:shd w:val="clear" w:color="auto" w:fill="auto"/>
            <w:vAlign w:val="center"/>
          </w:tcPr>
          <w:p w14:paraId="66EB3440">
            <w:pPr>
              <w:tabs>
                <w:tab w:val="left" w:pos="426"/>
              </w:tabs>
              <w:jc w:val="center"/>
              <w:rPr>
                <w:rFonts w:ascii="宋体" w:hAnsi="宋体" w:cs="宋体"/>
                <w:spacing w:val="4"/>
                <w:szCs w:val="21"/>
              </w:rPr>
            </w:pPr>
          </w:p>
        </w:tc>
        <w:tc>
          <w:tcPr>
            <w:tcW w:w="1272" w:type="dxa"/>
            <w:shd w:val="clear" w:color="auto" w:fill="auto"/>
            <w:vAlign w:val="center"/>
          </w:tcPr>
          <w:p w14:paraId="51668E9A">
            <w:pPr>
              <w:tabs>
                <w:tab w:val="left" w:pos="426"/>
              </w:tabs>
              <w:jc w:val="center"/>
              <w:rPr>
                <w:rFonts w:ascii="宋体" w:hAnsi="宋体" w:cs="宋体"/>
                <w:spacing w:val="4"/>
                <w:szCs w:val="21"/>
              </w:rPr>
            </w:pPr>
          </w:p>
        </w:tc>
        <w:tc>
          <w:tcPr>
            <w:tcW w:w="1692" w:type="dxa"/>
            <w:shd w:val="clear" w:color="auto" w:fill="auto"/>
            <w:vAlign w:val="center"/>
          </w:tcPr>
          <w:p w14:paraId="7EDE45A4">
            <w:pPr>
              <w:tabs>
                <w:tab w:val="left" w:pos="426"/>
              </w:tabs>
              <w:jc w:val="center"/>
              <w:rPr>
                <w:rFonts w:ascii="宋体" w:hAnsi="宋体" w:cs="宋体"/>
                <w:spacing w:val="4"/>
                <w:szCs w:val="21"/>
              </w:rPr>
            </w:pPr>
          </w:p>
        </w:tc>
        <w:tc>
          <w:tcPr>
            <w:tcW w:w="2355" w:type="dxa"/>
            <w:shd w:val="clear" w:color="auto" w:fill="auto"/>
            <w:vAlign w:val="center"/>
          </w:tcPr>
          <w:p w14:paraId="4DA40BB2">
            <w:pPr>
              <w:tabs>
                <w:tab w:val="left" w:pos="426"/>
              </w:tabs>
              <w:rPr>
                <w:rFonts w:ascii="宋体" w:hAnsi="宋体" w:cs="宋体"/>
                <w:spacing w:val="4"/>
                <w:szCs w:val="21"/>
              </w:rPr>
            </w:pPr>
          </w:p>
        </w:tc>
      </w:tr>
      <w:tr w14:paraId="7E89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3521880F">
            <w:pPr>
              <w:jc w:val="center"/>
              <w:rPr>
                <w:rFonts w:ascii="宋体" w:hAnsi="宋体" w:cs="宋体"/>
                <w:spacing w:val="4"/>
                <w:szCs w:val="21"/>
              </w:rPr>
            </w:pPr>
            <w:r>
              <w:rPr>
                <w:rFonts w:hint="eastAsia" w:ascii="宋体" w:hAnsi="宋体" w:cs="宋体"/>
                <w:spacing w:val="4"/>
                <w:szCs w:val="21"/>
              </w:rPr>
              <w:t>12</w:t>
            </w:r>
          </w:p>
        </w:tc>
        <w:tc>
          <w:tcPr>
            <w:tcW w:w="2251" w:type="dxa"/>
            <w:shd w:val="clear" w:color="auto" w:fill="auto"/>
            <w:vAlign w:val="center"/>
          </w:tcPr>
          <w:p w14:paraId="7965FB55">
            <w:pPr>
              <w:tabs>
                <w:tab w:val="left" w:pos="426"/>
              </w:tabs>
              <w:jc w:val="left"/>
              <w:rPr>
                <w:rFonts w:ascii="宋体"/>
                <w:szCs w:val="21"/>
              </w:rPr>
            </w:pPr>
            <w:r>
              <w:rPr>
                <w:rFonts w:hint="eastAsia" w:ascii="宋体"/>
                <w:szCs w:val="21"/>
              </w:rPr>
              <w:t>补偿金</w:t>
            </w:r>
          </w:p>
        </w:tc>
        <w:tc>
          <w:tcPr>
            <w:tcW w:w="1127" w:type="dxa"/>
            <w:shd w:val="clear" w:color="auto" w:fill="auto"/>
            <w:vAlign w:val="center"/>
          </w:tcPr>
          <w:p w14:paraId="68FF742C">
            <w:pPr>
              <w:tabs>
                <w:tab w:val="left" w:pos="426"/>
              </w:tabs>
              <w:jc w:val="center"/>
              <w:rPr>
                <w:rFonts w:ascii="宋体" w:hAnsi="宋体" w:cs="宋体"/>
                <w:spacing w:val="4"/>
                <w:szCs w:val="21"/>
              </w:rPr>
            </w:pPr>
          </w:p>
        </w:tc>
        <w:tc>
          <w:tcPr>
            <w:tcW w:w="1272" w:type="dxa"/>
            <w:shd w:val="clear" w:color="auto" w:fill="auto"/>
            <w:vAlign w:val="center"/>
          </w:tcPr>
          <w:p w14:paraId="6585C68D">
            <w:pPr>
              <w:tabs>
                <w:tab w:val="left" w:pos="426"/>
              </w:tabs>
              <w:jc w:val="center"/>
              <w:rPr>
                <w:rFonts w:ascii="宋体" w:hAnsi="宋体" w:cs="宋体"/>
                <w:spacing w:val="4"/>
                <w:szCs w:val="21"/>
              </w:rPr>
            </w:pPr>
          </w:p>
        </w:tc>
        <w:tc>
          <w:tcPr>
            <w:tcW w:w="1692" w:type="dxa"/>
            <w:shd w:val="clear" w:color="auto" w:fill="auto"/>
            <w:vAlign w:val="center"/>
          </w:tcPr>
          <w:p w14:paraId="6CE0484D">
            <w:pPr>
              <w:tabs>
                <w:tab w:val="left" w:pos="426"/>
              </w:tabs>
              <w:jc w:val="center"/>
              <w:rPr>
                <w:rFonts w:ascii="宋体" w:hAnsi="宋体" w:cs="宋体"/>
                <w:spacing w:val="4"/>
                <w:szCs w:val="21"/>
              </w:rPr>
            </w:pPr>
          </w:p>
        </w:tc>
        <w:tc>
          <w:tcPr>
            <w:tcW w:w="2355" w:type="dxa"/>
            <w:shd w:val="clear" w:color="auto" w:fill="auto"/>
            <w:vAlign w:val="center"/>
          </w:tcPr>
          <w:p w14:paraId="5B55040C">
            <w:pPr>
              <w:tabs>
                <w:tab w:val="left" w:pos="426"/>
              </w:tabs>
              <w:rPr>
                <w:rFonts w:ascii="宋体" w:hAnsi="宋体" w:cs="宋体"/>
                <w:spacing w:val="4"/>
                <w:szCs w:val="21"/>
              </w:rPr>
            </w:pPr>
          </w:p>
        </w:tc>
      </w:tr>
      <w:tr w14:paraId="0E90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1A04EDC3">
            <w:pPr>
              <w:jc w:val="center"/>
              <w:rPr>
                <w:rFonts w:ascii="宋体" w:hAnsi="宋体" w:cs="宋体"/>
                <w:spacing w:val="4"/>
                <w:szCs w:val="21"/>
              </w:rPr>
            </w:pPr>
            <w:r>
              <w:rPr>
                <w:rFonts w:hint="eastAsia" w:ascii="宋体" w:hAnsi="宋体" w:cs="宋体"/>
                <w:spacing w:val="4"/>
                <w:szCs w:val="21"/>
              </w:rPr>
              <w:t>13</w:t>
            </w:r>
          </w:p>
        </w:tc>
        <w:tc>
          <w:tcPr>
            <w:tcW w:w="2251" w:type="dxa"/>
            <w:shd w:val="clear" w:color="auto" w:fill="auto"/>
            <w:vAlign w:val="center"/>
          </w:tcPr>
          <w:p w14:paraId="1B10C4C4">
            <w:pPr>
              <w:tabs>
                <w:tab w:val="left" w:pos="426"/>
              </w:tabs>
              <w:jc w:val="left"/>
              <w:rPr>
                <w:rFonts w:ascii="宋体"/>
                <w:szCs w:val="21"/>
              </w:rPr>
            </w:pPr>
            <w:r>
              <w:rPr>
                <w:rFonts w:hint="eastAsia" w:ascii="宋体"/>
                <w:szCs w:val="21"/>
              </w:rPr>
              <w:t>培训费</w:t>
            </w:r>
          </w:p>
        </w:tc>
        <w:tc>
          <w:tcPr>
            <w:tcW w:w="1127" w:type="dxa"/>
            <w:shd w:val="clear" w:color="auto" w:fill="auto"/>
            <w:vAlign w:val="center"/>
          </w:tcPr>
          <w:p w14:paraId="324D1EFD">
            <w:pPr>
              <w:tabs>
                <w:tab w:val="left" w:pos="426"/>
              </w:tabs>
              <w:jc w:val="center"/>
              <w:rPr>
                <w:rFonts w:ascii="宋体" w:hAnsi="宋体" w:cs="宋体"/>
                <w:spacing w:val="4"/>
                <w:szCs w:val="21"/>
              </w:rPr>
            </w:pPr>
          </w:p>
        </w:tc>
        <w:tc>
          <w:tcPr>
            <w:tcW w:w="1272" w:type="dxa"/>
            <w:shd w:val="clear" w:color="auto" w:fill="auto"/>
            <w:vAlign w:val="center"/>
          </w:tcPr>
          <w:p w14:paraId="5D1407FE">
            <w:pPr>
              <w:tabs>
                <w:tab w:val="left" w:pos="426"/>
              </w:tabs>
              <w:jc w:val="center"/>
              <w:rPr>
                <w:rFonts w:ascii="宋体" w:hAnsi="宋体" w:cs="宋体"/>
                <w:spacing w:val="4"/>
                <w:szCs w:val="21"/>
              </w:rPr>
            </w:pPr>
          </w:p>
        </w:tc>
        <w:tc>
          <w:tcPr>
            <w:tcW w:w="1692" w:type="dxa"/>
            <w:shd w:val="clear" w:color="auto" w:fill="auto"/>
            <w:vAlign w:val="center"/>
          </w:tcPr>
          <w:p w14:paraId="60B9A437">
            <w:pPr>
              <w:tabs>
                <w:tab w:val="left" w:pos="426"/>
              </w:tabs>
              <w:jc w:val="center"/>
              <w:rPr>
                <w:rFonts w:ascii="宋体" w:hAnsi="宋体" w:cs="宋体"/>
                <w:spacing w:val="4"/>
                <w:szCs w:val="21"/>
              </w:rPr>
            </w:pPr>
          </w:p>
        </w:tc>
        <w:tc>
          <w:tcPr>
            <w:tcW w:w="2355" w:type="dxa"/>
            <w:shd w:val="clear" w:color="auto" w:fill="auto"/>
            <w:vAlign w:val="center"/>
          </w:tcPr>
          <w:p w14:paraId="0F5D5087">
            <w:pPr>
              <w:tabs>
                <w:tab w:val="left" w:pos="426"/>
              </w:tabs>
              <w:rPr>
                <w:rFonts w:ascii="宋体" w:hAnsi="宋体" w:cs="宋体"/>
                <w:spacing w:val="4"/>
                <w:szCs w:val="21"/>
              </w:rPr>
            </w:pPr>
          </w:p>
        </w:tc>
      </w:tr>
      <w:tr w14:paraId="201D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73" w:type="dxa"/>
            <w:shd w:val="clear" w:color="auto" w:fill="auto"/>
            <w:vAlign w:val="center"/>
          </w:tcPr>
          <w:p w14:paraId="0A99738A">
            <w:pPr>
              <w:jc w:val="center"/>
              <w:rPr>
                <w:rFonts w:ascii="宋体" w:hAnsi="宋体" w:cs="宋体"/>
                <w:spacing w:val="4"/>
                <w:szCs w:val="21"/>
              </w:rPr>
            </w:pPr>
            <w:r>
              <w:rPr>
                <w:rFonts w:hint="eastAsia" w:ascii="宋体" w:hAnsi="宋体" w:cs="宋体"/>
                <w:spacing w:val="4"/>
                <w:szCs w:val="21"/>
              </w:rPr>
              <w:t>14</w:t>
            </w:r>
          </w:p>
        </w:tc>
        <w:tc>
          <w:tcPr>
            <w:tcW w:w="2251" w:type="dxa"/>
            <w:shd w:val="clear" w:color="auto" w:fill="auto"/>
            <w:vAlign w:val="center"/>
          </w:tcPr>
          <w:p w14:paraId="0816CB82">
            <w:pPr>
              <w:tabs>
                <w:tab w:val="left" w:pos="426"/>
              </w:tabs>
              <w:jc w:val="left"/>
              <w:rPr>
                <w:rFonts w:ascii="宋体" w:hAnsi="宋体" w:cs="宋体"/>
                <w:spacing w:val="4"/>
                <w:szCs w:val="21"/>
              </w:rPr>
            </w:pPr>
            <w:r>
              <w:rPr>
                <w:rFonts w:hint="eastAsia" w:ascii="宋体"/>
                <w:szCs w:val="21"/>
              </w:rPr>
              <w:t>健康体检费</w:t>
            </w:r>
          </w:p>
        </w:tc>
        <w:tc>
          <w:tcPr>
            <w:tcW w:w="1127" w:type="dxa"/>
            <w:shd w:val="clear" w:color="auto" w:fill="auto"/>
            <w:vAlign w:val="center"/>
          </w:tcPr>
          <w:p w14:paraId="3FD3FC82">
            <w:pPr>
              <w:tabs>
                <w:tab w:val="left" w:pos="426"/>
              </w:tabs>
              <w:jc w:val="center"/>
              <w:rPr>
                <w:rFonts w:ascii="宋体" w:hAnsi="宋体" w:cs="宋体"/>
                <w:spacing w:val="4"/>
                <w:szCs w:val="21"/>
              </w:rPr>
            </w:pPr>
          </w:p>
        </w:tc>
        <w:tc>
          <w:tcPr>
            <w:tcW w:w="1272" w:type="dxa"/>
            <w:shd w:val="clear" w:color="auto" w:fill="auto"/>
            <w:vAlign w:val="center"/>
          </w:tcPr>
          <w:p w14:paraId="6E2675E6">
            <w:pPr>
              <w:tabs>
                <w:tab w:val="left" w:pos="426"/>
              </w:tabs>
              <w:jc w:val="center"/>
              <w:rPr>
                <w:rFonts w:ascii="宋体" w:hAnsi="宋体" w:cs="宋体"/>
                <w:spacing w:val="4"/>
                <w:szCs w:val="21"/>
              </w:rPr>
            </w:pPr>
          </w:p>
        </w:tc>
        <w:tc>
          <w:tcPr>
            <w:tcW w:w="1692" w:type="dxa"/>
            <w:shd w:val="clear" w:color="auto" w:fill="auto"/>
            <w:vAlign w:val="center"/>
          </w:tcPr>
          <w:p w14:paraId="4167D863">
            <w:pPr>
              <w:tabs>
                <w:tab w:val="left" w:pos="426"/>
              </w:tabs>
              <w:jc w:val="center"/>
              <w:rPr>
                <w:rFonts w:ascii="宋体" w:hAnsi="宋体" w:cs="宋体"/>
                <w:spacing w:val="4"/>
                <w:szCs w:val="21"/>
              </w:rPr>
            </w:pPr>
          </w:p>
        </w:tc>
        <w:tc>
          <w:tcPr>
            <w:tcW w:w="2355" w:type="dxa"/>
            <w:shd w:val="clear" w:color="auto" w:fill="auto"/>
            <w:vAlign w:val="center"/>
          </w:tcPr>
          <w:p w14:paraId="5367F4B6">
            <w:pPr>
              <w:tabs>
                <w:tab w:val="left" w:pos="426"/>
              </w:tabs>
              <w:rPr>
                <w:rFonts w:ascii="宋体" w:hAnsi="宋体" w:cs="宋体"/>
                <w:spacing w:val="4"/>
                <w:szCs w:val="21"/>
              </w:rPr>
            </w:pPr>
          </w:p>
        </w:tc>
      </w:tr>
      <w:tr w14:paraId="2133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251" w:type="dxa"/>
            <w:gridSpan w:val="3"/>
            <w:shd w:val="clear" w:color="auto" w:fill="auto"/>
            <w:vAlign w:val="center"/>
          </w:tcPr>
          <w:p w14:paraId="28939A9A">
            <w:pPr>
              <w:tabs>
                <w:tab w:val="left" w:pos="426"/>
              </w:tabs>
              <w:jc w:val="center"/>
              <w:rPr>
                <w:rFonts w:ascii="宋体" w:hAnsi="宋体" w:cs="宋体"/>
                <w:spacing w:val="4"/>
                <w:szCs w:val="21"/>
              </w:rPr>
            </w:pPr>
            <w:r>
              <w:rPr>
                <w:rFonts w:hint="eastAsia" w:ascii="宋体" w:hAnsi="宋体" w:cs="宋体"/>
                <w:spacing w:val="4"/>
                <w:szCs w:val="21"/>
              </w:rPr>
              <w:t>合计</w:t>
            </w:r>
          </w:p>
        </w:tc>
        <w:tc>
          <w:tcPr>
            <w:tcW w:w="1272" w:type="dxa"/>
            <w:shd w:val="clear" w:color="auto" w:fill="auto"/>
            <w:vAlign w:val="center"/>
          </w:tcPr>
          <w:p w14:paraId="21C27888">
            <w:pPr>
              <w:tabs>
                <w:tab w:val="left" w:pos="426"/>
              </w:tabs>
              <w:jc w:val="center"/>
              <w:rPr>
                <w:rFonts w:ascii="宋体" w:hAnsi="宋体" w:cs="宋体"/>
                <w:spacing w:val="4"/>
                <w:szCs w:val="21"/>
              </w:rPr>
            </w:pPr>
          </w:p>
        </w:tc>
        <w:tc>
          <w:tcPr>
            <w:tcW w:w="1692" w:type="dxa"/>
            <w:shd w:val="clear" w:color="auto" w:fill="auto"/>
            <w:vAlign w:val="center"/>
          </w:tcPr>
          <w:p w14:paraId="4BC64F81">
            <w:pPr>
              <w:tabs>
                <w:tab w:val="left" w:pos="426"/>
              </w:tabs>
              <w:jc w:val="center"/>
              <w:rPr>
                <w:rFonts w:ascii="宋体" w:hAnsi="宋体" w:cs="宋体"/>
                <w:spacing w:val="4"/>
                <w:szCs w:val="21"/>
              </w:rPr>
            </w:pPr>
          </w:p>
        </w:tc>
        <w:tc>
          <w:tcPr>
            <w:tcW w:w="2355" w:type="dxa"/>
            <w:shd w:val="clear" w:color="auto" w:fill="auto"/>
            <w:vAlign w:val="center"/>
          </w:tcPr>
          <w:p w14:paraId="4092738D">
            <w:pPr>
              <w:tabs>
                <w:tab w:val="left" w:pos="426"/>
              </w:tabs>
              <w:jc w:val="center"/>
              <w:rPr>
                <w:rFonts w:ascii="宋体" w:hAnsi="宋体" w:cs="宋体"/>
                <w:spacing w:val="4"/>
                <w:szCs w:val="21"/>
              </w:rPr>
            </w:pPr>
          </w:p>
        </w:tc>
      </w:tr>
      <w:tr w14:paraId="0459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251" w:type="dxa"/>
            <w:gridSpan w:val="3"/>
            <w:shd w:val="clear" w:color="auto" w:fill="auto"/>
            <w:vAlign w:val="center"/>
          </w:tcPr>
          <w:p w14:paraId="363A5BC8">
            <w:pPr>
              <w:tabs>
                <w:tab w:val="left" w:pos="426"/>
              </w:tabs>
              <w:jc w:val="left"/>
              <w:rPr>
                <w:rFonts w:ascii="宋体" w:hAnsi="宋体" w:cs="宋体"/>
                <w:b/>
                <w:spacing w:val="4"/>
                <w:szCs w:val="21"/>
              </w:rPr>
            </w:pPr>
            <w:r>
              <w:rPr>
                <w:rFonts w:hint="eastAsia" w:ascii="宋体" w:hAnsi="宋体" w:cs="宋体"/>
                <w:b/>
                <w:spacing w:val="4"/>
                <w:szCs w:val="21"/>
              </w:rPr>
              <w:t>二、国家法定税费</w:t>
            </w:r>
          </w:p>
        </w:tc>
        <w:tc>
          <w:tcPr>
            <w:tcW w:w="1272" w:type="dxa"/>
            <w:shd w:val="clear" w:color="auto" w:fill="auto"/>
            <w:vAlign w:val="center"/>
          </w:tcPr>
          <w:p w14:paraId="2AE2C383">
            <w:pPr>
              <w:tabs>
                <w:tab w:val="left" w:pos="426"/>
              </w:tabs>
              <w:jc w:val="center"/>
              <w:rPr>
                <w:rFonts w:ascii="宋体" w:hAnsi="宋体" w:cs="宋体"/>
                <w:spacing w:val="4"/>
                <w:szCs w:val="21"/>
              </w:rPr>
            </w:pPr>
          </w:p>
        </w:tc>
        <w:tc>
          <w:tcPr>
            <w:tcW w:w="1692" w:type="dxa"/>
            <w:shd w:val="clear" w:color="auto" w:fill="auto"/>
            <w:vAlign w:val="center"/>
          </w:tcPr>
          <w:p w14:paraId="35856C65">
            <w:pPr>
              <w:tabs>
                <w:tab w:val="left" w:pos="426"/>
              </w:tabs>
              <w:jc w:val="center"/>
              <w:rPr>
                <w:rFonts w:ascii="宋体" w:hAnsi="宋体" w:cs="宋体"/>
                <w:spacing w:val="4"/>
                <w:szCs w:val="21"/>
              </w:rPr>
            </w:pPr>
          </w:p>
        </w:tc>
        <w:tc>
          <w:tcPr>
            <w:tcW w:w="2355" w:type="dxa"/>
            <w:shd w:val="clear" w:color="auto" w:fill="auto"/>
            <w:vAlign w:val="center"/>
          </w:tcPr>
          <w:p w14:paraId="4B63A72A">
            <w:pPr>
              <w:tabs>
                <w:tab w:val="left" w:pos="426"/>
              </w:tabs>
              <w:jc w:val="center"/>
              <w:rPr>
                <w:rFonts w:ascii="宋体" w:hAnsi="宋体" w:cs="宋体"/>
                <w:spacing w:val="4"/>
                <w:szCs w:val="21"/>
              </w:rPr>
            </w:pPr>
          </w:p>
        </w:tc>
      </w:tr>
      <w:tr w14:paraId="7C6C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251" w:type="dxa"/>
            <w:gridSpan w:val="3"/>
            <w:shd w:val="clear" w:color="auto" w:fill="auto"/>
            <w:vAlign w:val="center"/>
          </w:tcPr>
          <w:p w14:paraId="690A6768">
            <w:pPr>
              <w:tabs>
                <w:tab w:val="left" w:pos="426"/>
              </w:tabs>
              <w:jc w:val="left"/>
              <w:rPr>
                <w:rFonts w:ascii="宋体" w:hAnsi="宋体" w:cs="宋体"/>
                <w:b/>
                <w:spacing w:val="4"/>
                <w:szCs w:val="21"/>
              </w:rPr>
            </w:pPr>
            <w:r>
              <w:rPr>
                <w:rFonts w:hint="eastAsia" w:ascii="宋体" w:hAnsi="宋体" w:cs="宋体"/>
                <w:b/>
                <w:spacing w:val="4"/>
                <w:szCs w:val="21"/>
              </w:rPr>
              <w:t>三、其他费用</w:t>
            </w:r>
          </w:p>
        </w:tc>
        <w:tc>
          <w:tcPr>
            <w:tcW w:w="1272" w:type="dxa"/>
            <w:shd w:val="clear" w:color="auto" w:fill="auto"/>
            <w:vAlign w:val="center"/>
          </w:tcPr>
          <w:p w14:paraId="7664069B">
            <w:pPr>
              <w:tabs>
                <w:tab w:val="left" w:pos="426"/>
              </w:tabs>
              <w:jc w:val="center"/>
              <w:rPr>
                <w:rFonts w:ascii="宋体" w:hAnsi="宋体" w:cs="宋体"/>
                <w:spacing w:val="4"/>
                <w:szCs w:val="21"/>
              </w:rPr>
            </w:pPr>
          </w:p>
        </w:tc>
        <w:tc>
          <w:tcPr>
            <w:tcW w:w="1692" w:type="dxa"/>
            <w:shd w:val="clear" w:color="auto" w:fill="auto"/>
            <w:vAlign w:val="center"/>
          </w:tcPr>
          <w:p w14:paraId="7FF600FC">
            <w:pPr>
              <w:tabs>
                <w:tab w:val="left" w:pos="426"/>
              </w:tabs>
              <w:jc w:val="center"/>
              <w:rPr>
                <w:rFonts w:ascii="宋体" w:hAnsi="宋体" w:cs="宋体"/>
                <w:spacing w:val="4"/>
                <w:szCs w:val="21"/>
              </w:rPr>
            </w:pPr>
          </w:p>
        </w:tc>
        <w:tc>
          <w:tcPr>
            <w:tcW w:w="2355" w:type="dxa"/>
            <w:shd w:val="clear" w:color="auto" w:fill="auto"/>
            <w:vAlign w:val="center"/>
          </w:tcPr>
          <w:p w14:paraId="3AEAE4BF">
            <w:pPr>
              <w:tabs>
                <w:tab w:val="left" w:pos="426"/>
              </w:tabs>
              <w:jc w:val="center"/>
              <w:rPr>
                <w:rFonts w:ascii="宋体" w:hAnsi="宋体" w:cs="宋体"/>
                <w:spacing w:val="4"/>
                <w:szCs w:val="21"/>
              </w:rPr>
            </w:pPr>
          </w:p>
        </w:tc>
      </w:tr>
      <w:tr w14:paraId="423F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251" w:type="dxa"/>
            <w:gridSpan w:val="3"/>
            <w:shd w:val="clear" w:color="auto" w:fill="auto"/>
            <w:vAlign w:val="center"/>
          </w:tcPr>
          <w:p w14:paraId="17078049">
            <w:pPr>
              <w:tabs>
                <w:tab w:val="left" w:pos="426"/>
              </w:tabs>
              <w:jc w:val="center"/>
              <w:rPr>
                <w:rFonts w:ascii="宋体" w:hAnsi="宋体" w:cs="宋体"/>
                <w:b/>
                <w:spacing w:val="4"/>
                <w:szCs w:val="21"/>
              </w:rPr>
            </w:pPr>
            <w:r>
              <w:rPr>
                <w:rFonts w:hint="eastAsia" w:ascii="宋体" w:hAnsi="宋体" w:cs="宋体"/>
                <w:b/>
                <w:spacing w:val="4"/>
                <w:szCs w:val="21"/>
              </w:rPr>
              <w:t>合计（总报价）</w:t>
            </w:r>
          </w:p>
        </w:tc>
        <w:tc>
          <w:tcPr>
            <w:tcW w:w="1272" w:type="dxa"/>
            <w:shd w:val="clear" w:color="auto" w:fill="auto"/>
            <w:vAlign w:val="center"/>
          </w:tcPr>
          <w:p w14:paraId="142AAB7A">
            <w:pPr>
              <w:tabs>
                <w:tab w:val="left" w:pos="426"/>
              </w:tabs>
              <w:jc w:val="center"/>
              <w:rPr>
                <w:rFonts w:ascii="宋体" w:hAnsi="宋体" w:cs="宋体"/>
                <w:spacing w:val="4"/>
                <w:szCs w:val="21"/>
              </w:rPr>
            </w:pPr>
          </w:p>
        </w:tc>
        <w:tc>
          <w:tcPr>
            <w:tcW w:w="1692" w:type="dxa"/>
            <w:shd w:val="clear" w:color="auto" w:fill="auto"/>
            <w:vAlign w:val="center"/>
          </w:tcPr>
          <w:p w14:paraId="63FD8C0B">
            <w:pPr>
              <w:tabs>
                <w:tab w:val="left" w:pos="426"/>
              </w:tabs>
              <w:jc w:val="center"/>
              <w:rPr>
                <w:rFonts w:ascii="宋体" w:hAnsi="宋体" w:cs="宋体"/>
                <w:spacing w:val="4"/>
                <w:szCs w:val="21"/>
              </w:rPr>
            </w:pPr>
          </w:p>
        </w:tc>
        <w:tc>
          <w:tcPr>
            <w:tcW w:w="2355" w:type="dxa"/>
            <w:shd w:val="clear" w:color="auto" w:fill="auto"/>
            <w:vAlign w:val="center"/>
          </w:tcPr>
          <w:p w14:paraId="6D350005">
            <w:pPr>
              <w:tabs>
                <w:tab w:val="left" w:pos="426"/>
              </w:tabs>
              <w:rPr>
                <w:rFonts w:ascii="宋体" w:hAnsi="宋体" w:cs="宋体"/>
                <w:spacing w:val="4"/>
                <w:szCs w:val="21"/>
              </w:rPr>
            </w:pPr>
            <w:r>
              <w:rPr>
                <w:rFonts w:hint="eastAsia" w:ascii="宋体" w:hAnsi="宋体" w:cs="宋体"/>
                <w:spacing w:val="4"/>
                <w:szCs w:val="21"/>
              </w:rPr>
              <w:t>投标总报价为以上第一至第三项的总和。</w:t>
            </w:r>
          </w:p>
        </w:tc>
      </w:tr>
    </w:tbl>
    <w:p w14:paraId="77CF4155">
      <w:pPr>
        <w:adjustRightInd w:val="0"/>
        <w:snapToGrid w:val="0"/>
        <w:spacing w:line="300" w:lineRule="auto"/>
        <w:rPr>
          <w:snapToGrid w:val="0"/>
          <w:kern w:val="0"/>
        </w:rPr>
      </w:pPr>
    </w:p>
    <w:p w14:paraId="277B0533">
      <w:pPr>
        <w:spacing w:beforeLines="50" w:afterLines="50"/>
        <w:rPr>
          <w:rFonts w:ascii="宋体" w:hAnsi="宋体"/>
          <w:szCs w:val="21"/>
        </w:rPr>
      </w:pPr>
      <w:r>
        <w:rPr>
          <w:rFonts w:hint="eastAsia" w:ascii="宋体" w:hAnsi="宋体"/>
          <w:szCs w:val="21"/>
        </w:rPr>
        <w:t>备注：1、</w:t>
      </w:r>
      <w:r>
        <w:rPr>
          <w:rFonts w:hint="eastAsia" w:ascii="宋体" w:hAnsi="宋体"/>
          <w:bCs/>
          <w:szCs w:val="21"/>
        </w:rPr>
        <w:t>本表格仅为指导性范本，供应商可根据项目具体情况对各分项内容进行调整。</w:t>
      </w:r>
    </w:p>
    <w:p w14:paraId="50EEF9D7">
      <w:pPr>
        <w:wordWrap w:val="0"/>
        <w:spacing w:line="360" w:lineRule="auto"/>
        <w:ind w:firstLine="420" w:firstLineChars="200"/>
        <w:rPr>
          <w:rFonts w:ascii="宋体" w:hAnsi="宋体" w:cs="宋体"/>
          <w:bCs/>
          <w:szCs w:val="21"/>
        </w:rPr>
      </w:pPr>
      <w:r>
        <w:rPr>
          <w:rFonts w:hint="eastAsia" w:ascii="宋体" w:hAnsi="宋体"/>
          <w:szCs w:val="21"/>
        </w:rPr>
        <w:t xml:space="preserve">  2、投标报价包括但不限于基本工资、绩效奖金、法定节假日加班费、社会保险（含养老保险、医疗保险、工伤保险、失业保险和生育保险）和人身意外险、住房公积金、高温补贴、特殊岗位补助、食宿费、服装费、经济赔偿金、补偿金、培训费、健康体检费、国家法定税费及其他费用。由投标人根据招标文件所提供的资料自行测算投标报价</w:t>
      </w:r>
      <w:r>
        <w:rPr>
          <w:rFonts w:hint="eastAsia" w:ascii="宋体"/>
          <w:szCs w:val="21"/>
        </w:rPr>
        <w:t>。其中</w:t>
      </w:r>
      <w:r>
        <w:rPr>
          <w:rFonts w:hint="eastAsia" w:ascii="宋体" w:hAnsi="宋体" w:cs="宋体"/>
          <w:bCs/>
          <w:szCs w:val="21"/>
        </w:rPr>
        <w:t>A包投标报价不得超过人民币</w:t>
      </w:r>
      <w:r>
        <w:rPr>
          <w:rFonts w:hint="eastAsia" w:ascii="宋体" w:hAnsi="宋体" w:cs="宋体"/>
          <w:szCs w:val="21"/>
        </w:rPr>
        <w:t>47,961,216.00元/年</w:t>
      </w:r>
      <w:r>
        <w:rPr>
          <w:rFonts w:hint="eastAsia" w:ascii="宋体" w:hAnsi="宋体" w:cs="宋体"/>
          <w:bCs/>
          <w:szCs w:val="21"/>
        </w:rPr>
        <w:t>，B包投标报价不得超过人民币</w:t>
      </w:r>
      <w:r>
        <w:rPr>
          <w:rFonts w:hint="eastAsia" w:ascii="宋体" w:hAnsi="宋体" w:cs="宋体"/>
          <w:szCs w:val="21"/>
        </w:rPr>
        <w:t>49,175,424.00元/年</w:t>
      </w:r>
      <w:r>
        <w:rPr>
          <w:rFonts w:hint="eastAsia" w:ascii="宋体" w:hAnsi="宋体" w:cs="宋体"/>
          <w:bCs/>
          <w:szCs w:val="21"/>
        </w:rPr>
        <w:t>，投标人投标报价超过以上各包组预算金额或最高限价的将导致投标无效。</w:t>
      </w:r>
    </w:p>
    <w:p w14:paraId="13A9EF23">
      <w:pPr>
        <w:wordWrap w:val="0"/>
        <w:spacing w:line="360" w:lineRule="auto"/>
        <w:ind w:firstLine="630" w:firstLineChars="300"/>
        <w:rPr>
          <w:snapToGrid w:val="0"/>
          <w:kern w:val="0"/>
          <w:szCs w:val="21"/>
        </w:rPr>
      </w:pPr>
      <w:r>
        <w:rPr>
          <w:rFonts w:hint="eastAsia" w:ascii="宋体" w:hAnsi="宋体"/>
        </w:rPr>
        <w:t>3、开标一览表中的投标</w:t>
      </w:r>
      <w:r>
        <w:rPr>
          <w:rFonts w:hint="eastAsia"/>
          <w:snapToGrid w:val="0"/>
          <w:kern w:val="0"/>
        </w:rPr>
        <w:t>总</w:t>
      </w:r>
      <w:r>
        <w:rPr>
          <w:rFonts w:hint="eastAsia" w:ascii="宋体" w:hAnsi="宋体"/>
        </w:rPr>
        <w:t>价应与本表中的报价合计金额一致</w:t>
      </w:r>
      <w:r>
        <w:rPr>
          <w:rFonts w:hint="eastAsia" w:ascii="宋体" w:hAnsi="宋体"/>
          <w:szCs w:val="21"/>
        </w:rPr>
        <w:t>。</w:t>
      </w:r>
    </w:p>
    <w:p w14:paraId="6552A3A1">
      <w:pPr>
        <w:adjustRightInd w:val="0"/>
        <w:snapToGrid w:val="0"/>
        <w:spacing w:line="300" w:lineRule="auto"/>
        <w:rPr>
          <w:snapToGrid w:val="0"/>
          <w:kern w:val="0"/>
        </w:rPr>
      </w:pPr>
    </w:p>
    <w:p w14:paraId="538F814B">
      <w:pPr>
        <w:adjustRightInd w:val="0"/>
        <w:snapToGrid w:val="0"/>
        <w:spacing w:line="300" w:lineRule="auto"/>
        <w:rPr>
          <w:snapToGrid w:val="0"/>
          <w:kern w:val="0"/>
        </w:rPr>
      </w:pPr>
    </w:p>
    <w:p w14:paraId="37F92534">
      <w:pPr>
        <w:adjustRightInd w:val="0"/>
        <w:snapToGrid w:val="0"/>
        <w:spacing w:line="300" w:lineRule="auto"/>
        <w:rPr>
          <w:snapToGrid w:val="0"/>
          <w:kern w:val="0"/>
        </w:rPr>
      </w:pPr>
      <w:r>
        <w:rPr>
          <w:rFonts w:hint="eastAsia"/>
          <w:snapToGrid w:val="0"/>
          <w:kern w:val="0"/>
        </w:rPr>
        <w:t>投标单位：（盖公章）</w:t>
      </w:r>
    </w:p>
    <w:p w14:paraId="4748604D">
      <w:pPr>
        <w:adjustRightInd w:val="0"/>
        <w:snapToGrid w:val="0"/>
        <w:spacing w:line="300" w:lineRule="auto"/>
        <w:rPr>
          <w:snapToGrid w:val="0"/>
          <w:kern w:val="0"/>
        </w:rPr>
      </w:pPr>
    </w:p>
    <w:p w14:paraId="17D4B455">
      <w:pPr>
        <w:adjustRightInd w:val="0"/>
        <w:snapToGrid w:val="0"/>
        <w:spacing w:line="300" w:lineRule="auto"/>
        <w:rPr>
          <w:snapToGrid w:val="0"/>
          <w:kern w:val="0"/>
        </w:rPr>
      </w:pPr>
    </w:p>
    <w:p w14:paraId="4C4A8803">
      <w:pPr>
        <w:adjustRightInd w:val="0"/>
        <w:snapToGrid w:val="0"/>
        <w:spacing w:line="300" w:lineRule="auto"/>
        <w:rPr>
          <w:snapToGrid w:val="0"/>
          <w:kern w:val="0"/>
        </w:rPr>
      </w:pPr>
    </w:p>
    <w:p w14:paraId="14C3C934">
      <w:pPr>
        <w:wordWrap w:val="0"/>
        <w:adjustRightInd w:val="0"/>
        <w:snapToGrid w:val="0"/>
        <w:spacing w:line="300" w:lineRule="auto"/>
        <w:jc w:val="right"/>
      </w:pPr>
      <w:r>
        <w:rPr>
          <w:rFonts w:hint="eastAsia"/>
          <w:snapToGrid w:val="0"/>
          <w:kern w:val="0"/>
        </w:rPr>
        <w:t>年    月   日</w:t>
      </w:r>
    </w:p>
    <w:p w14:paraId="6BF77CF2">
      <w:pPr>
        <w:pStyle w:val="29"/>
        <w:adjustRightInd w:val="0"/>
        <w:snapToGrid w:val="0"/>
        <w:spacing w:line="312" w:lineRule="auto"/>
        <w:jc w:val="center"/>
        <w:rPr>
          <w:rFonts w:ascii="Times New Roman" w:hAnsi="Times New Roman"/>
          <w:b/>
          <w:sz w:val="28"/>
        </w:rPr>
      </w:pPr>
    </w:p>
    <w:p w14:paraId="108D2720"/>
    <w:p w14:paraId="108DDBD1"/>
    <w:p w14:paraId="5F7976FA"/>
    <w:p w14:paraId="3EAEF512"/>
    <w:p w14:paraId="2ECB3635"/>
    <w:p w14:paraId="0AF1F29A"/>
    <w:p w14:paraId="653D18C5"/>
    <w:p w14:paraId="75E1CE0B"/>
    <w:p w14:paraId="533EA311">
      <w:r>
        <w:br w:type="page"/>
      </w:r>
    </w:p>
    <w:p w14:paraId="2FDDA4AE"/>
    <w:p w14:paraId="054C6E03">
      <w:pPr>
        <w:rPr>
          <w:highlight w:val="green"/>
        </w:rPr>
      </w:pPr>
    </w:p>
    <w:p w14:paraId="09958440">
      <w:pPr>
        <w:pStyle w:val="5"/>
        <w:tabs>
          <w:tab w:val="left" w:pos="371"/>
        </w:tabs>
        <w:spacing w:before="120" w:after="120"/>
        <w:ind w:left="-1" w:leftChars="-1" w:hanging="1"/>
        <w:jc w:val="center"/>
        <w:rPr>
          <w:rFonts w:ascii="宋体" w:hAnsi="宋体"/>
        </w:rPr>
      </w:pPr>
      <w:bookmarkStart w:id="77" w:name="_Toc171350604"/>
      <w:bookmarkStart w:id="78" w:name="_Toc44690435"/>
      <w:bookmarkStart w:id="79" w:name="_Toc44690708"/>
      <w:bookmarkStart w:id="80" w:name="_Toc135293188"/>
      <w:bookmarkStart w:id="81" w:name="_Toc44691399"/>
      <w:bookmarkStart w:id="82" w:name="_Toc44691167"/>
      <w:r>
        <w:rPr>
          <w:rFonts w:hint="eastAsia" w:ascii="宋体" w:hAnsi="宋体"/>
        </w:rPr>
        <w:t>格式7  服务方案</w:t>
      </w:r>
      <w:bookmarkEnd w:id="77"/>
      <w:bookmarkEnd w:id="78"/>
      <w:bookmarkEnd w:id="79"/>
      <w:bookmarkEnd w:id="80"/>
      <w:bookmarkEnd w:id="81"/>
      <w:bookmarkEnd w:id="82"/>
    </w:p>
    <w:p w14:paraId="77B6BCF2">
      <w:pPr>
        <w:pStyle w:val="8"/>
      </w:pPr>
    </w:p>
    <w:p w14:paraId="6F581697">
      <w:pPr>
        <w:spacing w:line="400" w:lineRule="exact"/>
        <w:ind w:firstLine="422" w:firstLineChars="200"/>
        <w:rPr>
          <w:rFonts w:ascii="宋体" w:hAnsi="宋体"/>
          <w:b/>
          <w:szCs w:val="21"/>
        </w:rPr>
      </w:pPr>
      <w:r>
        <w:rPr>
          <w:rFonts w:hint="eastAsia" w:ascii="宋体" w:hAnsi="宋体"/>
          <w:b/>
          <w:szCs w:val="21"/>
        </w:rPr>
        <w:t>本部分内容是投标人根据项目需求对其投标服务方案的详细描述，主要包括服务方案及拟投入本项目的人员配置等，投标单位自主编写，但应包含下列内容：</w:t>
      </w:r>
    </w:p>
    <w:p w14:paraId="7EA73B0A">
      <w:pPr>
        <w:spacing w:line="400" w:lineRule="exact"/>
        <w:ind w:firstLine="420" w:firstLineChars="200"/>
        <w:rPr>
          <w:rFonts w:ascii="宋体" w:hAnsi="宋体"/>
          <w:szCs w:val="21"/>
        </w:rPr>
      </w:pPr>
    </w:p>
    <w:p w14:paraId="70D6A60D">
      <w:pPr>
        <w:spacing w:line="360" w:lineRule="auto"/>
        <w:ind w:left="420"/>
        <w:rPr>
          <w:rFonts w:ascii="宋体" w:hAnsi="宋体"/>
          <w:bCs/>
        </w:rPr>
      </w:pPr>
      <w:r>
        <w:rPr>
          <w:rFonts w:hint="eastAsia" w:ascii="宋体" w:hAnsi="宋体"/>
          <w:bCs/>
        </w:rPr>
        <w:t>1、</w:t>
      </w:r>
      <w:r>
        <w:rPr>
          <w:rFonts w:hint="eastAsia" w:ascii="宋体" w:hAnsi="宋体" w:cs="宋体"/>
          <w:szCs w:val="21"/>
        </w:rPr>
        <w:t>人员配备数量及时间</w:t>
      </w:r>
    </w:p>
    <w:p w14:paraId="771F5F88">
      <w:pPr>
        <w:spacing w:line="360" w:lineRule="auto"/>
        <w:ind w:left="420"/>
        <w:rPr>
          <w:rFonts w:ascii="宋体" w:hAnsi="宋体"/>
          <w:bCs/>
        </w:rPr>
      </w:pPr>
      <w:r>
        <w:rPr>
          <w:rFonts w:hint="eastAsia" w:ascii="宋体" w:hAnsi="宋体"/>
          <w:bCs/>
        </w:rPr>
        <w:t>2、</w:t>
      </w:r>
      <w:r>
        <w:rPr>
          <w:rFonts w:hint="eastAsia" w:ascii="宋体" w:hAnsi="宋体" w:cs="宋体"/>
          <w:szCs w:val="21"/>
        </w:rPr>
        <w:t>承接现有人员</w:t>
      </w:r>
    </w:p>
    <w:p w14:paraId="687A5EA9">
      <w:pPr>
        <w:spacing w:line="360" w:lineRule="auto"/>
        <w:ind w:left="420"/>
        <w:rPr>
          <w:rFonts w:ascii="宋体" w:hAnsi="宋体"/>
          <w:bCs/>
        </w:rPr>
      </w:pPr>
      <w:r>
        <w:rPr>
          <w:rFonts w:hint="eastAsia" w:ascii="宋体" w:hAnsi="宋体"/>
          <w:bCs/>
        </w:rPr>
        <w:t>3、</w:t>
      </w:r>
      <w:r>
        <w:rPr>
          <w:rFonts w:hint="eastAsia" w:ascii="宋体" w:hAnsi="宋体" w:cs="宋体"/>
          <w:szCs w:val="21"/>
        </w:rPr>
        <w:t>管理规章制度</w:t>
      </w:r>
    </w:p>
    <w:p w14:paraId="70C7BA8F">
      <w:pPr>
        <w:spacing w:line="360" w:lineRule="auto"/>
        <w:ind w:left="420"/>
        <w:rPr>
          <w:rFonts w:ascii="宋体" w:hAnsi="宋体"/>
          <w:bCs/>
        </w:rPr>
      </w:pPr>
      <w:r>
        <w:rPr>
          <w:rFonts w:hint="eastAsia" w:ascii="宋体" w:hAnsi="宋体"/>
          <w:bCs/>
        </w:rPr>
        <w:t>4、</w:t>
      </w:r>
      <w:r>
        <w:rPr>
          <w:rFonts w:hint="eastAsia" w:ascii="宋体" w:hAnsi="宋体" w:cs="宋体"/>
          <w:szCs w:val="21"/>
        </w:rPr>
        <w:t>管理人员配置</w:t>
      </w:r>
    </w:p>
    <w:p w14:paraId="2EE3BA18">
      <w:pPr>
        <w:spacing w:line="360" w:lineRule="auto"/>
        <w:ind w:left="420"/>
        <w:rPr>
          <w:rFonts w:ascii="宋体" w:hAnsi="宋体"/>
          <w:bCs/>
        </w:rPr>
      </w:pPr>
      <w:r>
        <w:rPr>
          <w:rFonts w:hint="eastAsia" w:ascii="宋体" w:hAnsi="宋体"/>
          <w:bCs/>
        </w:rPr>
        <w:t>5、人员培训计划和教育监督方案</w:t>
      </w:r>
    </w:p>
    <w:p w14:paraId="7C4C0114">
      <w:pPr>
        <w:spacing w:line="360" w:lineRule="auto"/>
        <w:ind w:left="420"/>
        <w:rPr>
          <w:rFonts w:ascii="宋体" w:hAnsi="宋体"/>
          <w:bCs/>
        </w:rPr>
      </w:pPr>
      <w:r>
        <w:rPr>
          <w:rFonts w:hint="eastAsia" w:ascii="宋体" w:hAnsi="宋体"/>
          <w:bCs/>
        </w:rPr>
        <w:t>6、</w:t>
      </w:r>
      <w:r>
        <w:rPr>
          <w:rFonts w:hint="eastAsia" w:ascii="宋体" w:hAnsi="宋体" w:cs="宋体"/>
          <w:szCs w:val="21"/>
        </w:rPr>
        <w:t>人员薪酬发放</w:t>
      </w:r>
    </w:p>
    <w:p w14:paraId="7A3F5046">
      <w:pPr>
        <w:spacing w:line="360" w:lineRule="auto"/>
        <w:ind w:left="420"/>
        <w:rPr>
          <w:rFonts w:ascii="宋体" w:hAnsi="宋体"/>
          <w:bCs/>
        </w:rPr>
      </w:pPr>
      <w:r>
        <w:rPr>
          <w:rFonts w:hint="eastAsia" w:ascii="宋体" w:hAnsi="宋体"/>
          <w:bCs/>
        </w:rPr>
        <w:t>7、</w:t>
      </w:r>
      <w:r>
        <w:rPr>
          <w:rFonts w:hint="eastAsia" w:ascii="宋体" w:hAnsi="宋体" w:cs="宋体"/>
          <w:szCs w:val="21"/>
        </w:rPr>
        <w:t>人员绩效奖金发放</w:t>
      </w:r>
    </w:p>
    <w:p w14:paraId="40E4FB4E">
      <w:pPr>
        <w:spacing w:line="360" w:lineRule="auto"/>
        <w:ind w:left="420"/>
        <w:rPr>
          <w:rFonts w:ascii="宋体" w:hAnsi="宋体"/>
          <w:bCs/>
        </w:rPr>
      </w:pPr>
      <w:r>
        <w:rPr>
          <w:rFonts w:hint="eastAsia" w:ascii="宋体" w:hAnsi="宋体"/>
          <w:bCs/>
        </w:rPr>
        <w:t>8、</w:t>
      </w:r>
      <w:r>
        <w:rPr>
          <w:rFonts w:hint="eastAsia" w:ascii="宋体" w:hAnsi="宋体" w:cs="宋体"/>
          <w:szCs w:val="21"/>
        </w:rPr>
        <w:t>人员其他薪资待遇保障</w:t>
      </w:r>
    </w:p>
    <w:p w14:paraId="590BB0BE">
      <w:pPr>
        <w:spacing w:line="360" w:lineRule="auto"/>
        <w:ind w:left="420"/>
        <w:rPr>
          <w:rFonts w:ascii="宋体" w:hAnsi="宋体"/>
          <w:bCs/>
        </w:rPr>
      </w:pPr>
      <w:r>
        <w:rPr>
          <w:rFonts w:hint="eastAsia" w:ascii="宋体" w:hAnsi="宋体"/>
          <w:bCs/>
        </w:rPr>
        <w:t>9、食宿保障</w:t>
      </w:r>
    </w:p>
    <w:p w14:paraId="37B6270D">
      <w:pPr>
        <w:spacing w:line="360" w:lineRule="auto"/>
        <w:ind w:left="420"/>
        <w:rPr>
          <w:rFonts w:ascii="宋体" w:hAnsi="宋体"/>
          <w:bCs/>
        </w:rPr>
      </w:pPr>
      <w:r>
        <w:rPr>
          <w:rFonts w:hint="eastAsia" w:ascii="宋体" w:hAnsi="宋体"/>
          <w:bCs/>
        </w:rPr>
        <w:t>10、服装保障</w:t>
      </w:r>
    </w:p>
    <w:p w14:paraId="1494770A">
      <w:pPr>
        <w:spacing w:line="360" w:lineRule="auto"/>
        <w:ind w:left="420"/>
        <w:rPr>
          <w:rFonts w:ascii="宋体" w:hAnsi="宋体"/>
          <w:bCs/>
        </w:rPr>
      </w:pPr>
      <w:r>
        <w:rPr>
          <w:rFonts w:hint="eastAsia" w:ascii="宋体" w:hAnsi="宋体"/>
          <w:bCs/>
        </w:rPr>
        <w:t>11、</w:t>
      </w:r>
      <w:r>
        <w:rPr>
          <w:rFonts w:hint="eastAsia" w:ascii="宋体" w:hAnsi="宋体" w:cs="宋体"/>
          <w:szCs w:val="21"/>
        </w:rPr>
        <w:t>工作要求落实</w:t>
      </w:r>
    </w:p>
    <w:p w14:paraId="550D6B7F">
      <w:pPr>
        <w:spacing w:line="360" w:lineRule="auto"/>
        <w:ind w:left="420"/>
        <w:rPr>
          <w:rFonts w:ascii="宋体" w:hAnsi="宋体"/>
          <w:bCs/>
        </w:rPr>
      </w:pPr>
      <w:r>
        <w:rPr>
          <w:rFonts w:hint="eastAsia" w:ascii="宋体" w:hAnsi="宋体"/>
          <w:bCs/>
        </w:rPr>
        <w:t>12、</w:t>
      </w:r>
      <w:r>
        <w:rPr>
          <w:rFonts w:hint="eastAsia" w:ascii="宋体" w:hAnsi="宋体" w:cs="宋体"/>
          <w:szCs w:val="21"/>
        </w:rPr>
        <w:t>突发事件处置</w:t>
      </w:r>
    </w:p>
    <w:p w14:paraId="1735F082">
      <w:pPr>
        <w:spacing w:line="360" w:lineRule="auto"/>
        <w:ind w:left="420"/>
        <w:rPr>
          <w:rFonts w:ascii="宋体" w:hAnsi="宋体"/>
          <w:bCs/>
        </w:rPr>
      </w:pPr>
      <w:r>
        <w:rPr>
          <w:rFonts w:hint="eastAsia" w:ascii="宋体" w:hAnsi="宋体"/>
          <w:bCs/>
        </w:rPr>
        <w:t>13、</w:t>
      </w:r>
      <w:r>
        <w:rPr>
          <w:rFonts w:hint="eastAsia" w:ascii="宋体" w:hAnsi="宋体" w:cs="宋体"/>
          <w:szCs w:val="21"/>
        </w:rPr>
        <w:t>企业资质</w:t>
      </w:r>
    </w:p>
    <w:p w14:paraId="0E700C6E">
      <w:pPr>
        <w:spacing w:line="360" w:lineRule="auto"/>
        <w:ind w:left="420"/>
        <w:rPr>
          <w:rFonts w:ascii="宋体" w:hAnsi="宋体" w:cs="宋体"/>
          <w:szCs w:val="21"/>
        </w:rPr>
      </w:pPr>
      <w:r>
        <w:rPr>
          <w:rFonts w:hint="eastAsia" w:ascii="宋体" w:hAnsi="宋体"/>
          <w:bCs/>
        </w:rPr>
        <w:t>14、</w:t>
      </w:r>
      <w:r>
        <w:rPr>
          <w:rFonts w:hint="eastAsia" w:ascii="宋体" w:hAnsi="宋体" w:cs="宋体"/>
          <w:szCs w:val="21"/>
        </w:rPr>
        <w:t>同类项目业绩</w:t>
      </w:r>
    </w:p>
    <w:p w14:paraId="5FA7FA2C">
      <w:pPr>
        <w:spacing w:line="360" w:lineRule="auto"/>
        <w:ind w:left="420"/>
        <w:rPr>
          <w:rFonts w:ascii="宋体" w:hAnsi="宋体" w:cs="宋体"/>
          <w:szCs w:val="21"/>
        </w:rPr>
      </w:pPr>
      <w:r>
        <w:rPr>
          <w:rFonts w:hint="eastAsia" w:ascii="宋体" w:hAnsi="宋体" w:cs="宋体"/>
          <w:szCs w:val="21"/>
        </w:rPr>
        <w:t>15、后勤保障能力</w:t>
      </w:r>
    </w:p>
    <w:p w14:paraId="62C65AF4">
      <w:pPr>
        <w:spacing w:line="360" w:lineRule="auto"/>
        <w:ind w:left="420"/>
        <w:rPr>
          <w:rFonts w:ascii="宋体" w:hAnsi="宋体" w:cs="宋体"/>
          <w:szCs w:val="21"/>
        </w:rPr>
      </w:pPr>
      <w:r>
        <w:rPr>
          <w:rFonts w:hint="eastAsia" w:ascii="宋体" w:hAnsi="宋体" w:cs="宋体"/>
          <w:szCs w:val="21"/>
        </w:rPr>
        <w:t>16、荣誉情况</w:t>
      </w:r>
    </w:p>
    <w:p w14:paraId="05DDD44F">
      <w:pPr>
        <w:spacing w:line="360" w:lineRule="auto"/>
        <w:ind w:left="420"/>
        <w:rPr>
          <w:rFonts w:ascii="宋体" w:hAnsi="宋体" w:cs="宋体"/>
          <w:szCs w:val="21"/>
        </w:rPr>
      </w:pPr>
      <w:r>
        <w:rPr>
          <w:rFonts w:hint="eastAsia" w:ascii="宋体" w:hAnsi="宋体" w:cs="宋体"/>
          <w:szCs w:val="21"/>
        </w:rPr>
        <w:t>17、同类项目业绩履约评价</w:t>
      </w:r>
    </w:p>
    <w:p w14:paraId="3BF9F22F">
      <w:pPr>
        <w:spacing w:line="360" w:lineRule="auto"/>
        <w:ind w:left="420"/>
        <w:rPr>
          <w:snapToGrid w:val="0"/>
          <w:kern w:val="0"/>
        </w:rPr>
      </w:pPr>
      <w:r>
        <w:rPr>
          <w:rFonts w:hint="eastAsia" w:ascii="宋体" w:hAnsi="宋体" w:cs="宋体"/>
          <w:szCs w:val="21"/>
        </w:rPr>
        <w:t>18、</w:t>
      </w:r>
      <w:r>
        <w:rPr>
          <w:rFonts w:hint="eastAsia" w:ascii="宋体" w:hAnsi="宋体"/>
          <w:bCs/>
        </w:rPr>
        <w:t>投标人认为必要的其他方案</w:t>
      </w:r>
    </w:p>
    <w:p w14:paraId="00E4B017">
      <w:pPr>
        <w:adjustRightInd w:val="0"/>
        <w:snapToGrid w:val="0"/>
        <w:spacing w:line="300" w:lineRule="auto"/>
        <w:rPr>
          <w:snapToGrid w:val="0"/>
          <w:kern w:val="0"/>
        </w:rPr>
      </w:pPr>
    </w:p>
    <w:p w14:paraId="7CC83212">
      <w:pPr>
        <w:adjustRightInd w:val="0"/>
        <w:snapToGrid w:val="0"/>
        <w:spacing w:line="300" w:lineRule="auto"/>
        <w:rPr>
          <w:snapToGrid w:val="0"/>
          <w:kern w:val="0"/>
        </w:rPr>
      </w:pPr>
    </w:p>
    <w:p w14:paraId="03C34A7A">
      <w:pPr>
        <w:adjustRightInd w:val="0"/>
        <w:snapToGrid w:val="0"/>
        <w:spacing w:line="300" w:lineRule="auto"/>
        <w:rPr>
          <w:snapToGrid w:val="0"/>
          <w:kern w:val="0"/>
        </w:rPr>
      </w:pPr>
      <w:r>
        <w:rPr>
          <w:rFonts w:hint="eastAsia"/>
          <w:snapToGrid w:val="0"/>
          <w:kern w:val="0"/>
        </w:rPr>
        <w:t>投标单位：（盖公章）</w:t>
      </w:r>
    </w:p>
    <w:p w14:paraId="7F1E2183">
      <w:pPr>
        <w:adjustRightInd w:val="0"/>
        <w:snapToGrid w:val="0"/>
        <w:spacing w:line="300" w:lineRule="auto"/>
        <w:rPr>
          <w:snapToGrid w:val="0"/>
          <w:kern w:val="0"/>
        </w:rPr>
      </w:pPr>
    </w:p>
    <w:p w14:paraId="20361A1B">
      <w:pPr>
        <w:adjustRightInd w:val="0"/>
        <w:snapToGrid w:val="0"/>
        <w:spacing w:line="300" w:lineRule="auto"/>
        <w:rPr>
          <w:snapToGrid w:val="0"/>
          <w:kern w:val="0"/>
        </w:rPr>
      </w:pPr>
    </w:p>
    <w:p w14:paraId="01D84E09">
      <w:pPr>
        <w:adjustRightInd w:val="0"/>
        <w:snapToGrid w:val="0"/>
        <w:spacing w:line="300" w:lineRule="auto"/>
        <w:rPr>
          <w:snapToGrid w:val="0"/>
          <w:kern w:val="0"/>
        </w:rPr>
      </w:pPr>
    </w:p>
    <w:p w14:paraId="2B5BAB74">
      <w:pPr>
        <w:wordWrap w:val="0"/>
        <w:adjustRightInd w:val="0"/>
        <w:snapToGrid w:val="0"/>
        <w:spacing w:line="300" w:lineRule="auto"/>
        <w:jc w:val="right"/>
        <w:rPr>
          <w:snapToGrid w:val="0"/>
          <w:kern w:val="0"/>
        </w:rPr>
      </w:pPr>
      <w:r>
        <w:rPr>
          <w:rFonts w:hint="eastAsia"/>
          <w:snapToGrid w:val="0"/>
          <w:kern w:val="0"/>
        </w:rPr>
        <w:t>年    月   日</w:t>
      </w:r>
    </w:p>
    <w:p w14:paraId="4774483C">
      <w:pPr>
        <w:adjustRightInd w:val="0"/>
        <w:snapToGrid w:val="0"/>
        <w:spacing w:line="300" w:lineRule="auto"/>
        <w:jc w:val="right"/>
        <w:rPr>
          <w:snapToGrid w:val="0"/>
          <w:kern w:val="0"/>
        </w:rPr>
      </w:pPr>
    </w:p>
    <w:p w14:paraId="63A6EFAA">
      <w:pPr>
        <w:adjustRightInd w:val="0"/>
        <w:snapToGrid w:val="0"/>
        <w:spacing w:line="300" w:lineRule="auto"/>
        <w:jc w:val="right"/>
        <w:rPr>
          <w:snapToGrid w:val="0"/>
          <w:kern w:val="0"/>
        </w:rPr>
      </w:pPr>
    </w:p>
    <w:p w14:paraId="1123766F">
      <w:pPr>
        <w:adjustRightInd w:val="0"/>
        <w:snapToGrid w:val="0"/>
        <w:spacing w:line="300" w:lineRule="auto"/>
        <w:jc w:val="right"/>
        <w:rPr>
          <w:snapToGrid w:val="0"/>
          <w:kern w:val="0"/>
        </w:rPr>
      </w:pPr>
    </w:p>
    <w:p w14:paraId="698E8F0B">
      <w:pPr>
        <w:tabs>
          <w:tab w:val="left" w:pos="8248"/>
          <w:tab w:val="left" w:pos="9368"/>
        </w:tabs>
        <w:spacing w:line="360" w:lineRule="auto"/>
      </w:pPr>
      <w:r>
        <w:rPr>
          <w:rFonts w:hint="eastAsia"/>
        </w:rPr>
        <w:t>附表：</w:t>
      </w:r>
    </w:p>
    <w:p w14:paraId="2BE18770">
      <w:pPr>
        <w:pStyle w:val="361"/>
        <w:jc w:val="center"/>
        <w:rPr>
          <w:rFonts w:ascii="仿宋" w:hAnsi="仿宋" w:eastAsia="仿宋"/>
          <w:b/>
          <w:snapToGrid w:val="0"/>
          <w:sz w:val="28"/>
          <w:szCs w:val="28"/>
        </w:rPr>
      </w:pPr>
      <w:r>
        <w:rPr>
          <w:rFonts w:hint="eastAsia" w:ascii="仿宋" w:hAnsi="仿宋" w:eastAsia="仿宋"/>
          <w:b/>
          <w:snapToGrid w:val="0"/>
          <w:sz w:val="28"/>
          <w:szCs w:val="28"/>
        </w:rPr>
        <w:t>项目人员情况一览表</w:t>
      </w:r>
    </w:p>
    <w:p w14:paraId="383B6ADB"/>
    <w:tbl>
      <w:tblPr>
        <w:tblStyle w:val="5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4" w:type="dxa"/>
          <w:bottom w:w="0" w:type="dxa"/>
          <w:right w:w="54" w:type="dxa"/>
        </w:tblCellMar>
      </w:tblPr>
      <w:tblGrid>
        <w:gridCol w:w="705"/>
        <w:gridCol w:w="1491"/>
        <w:gridCol w:w="851"/>
        <w:gridCol w:w="567"/>
        <w:gridCol w:w="1308"/>
        <w:gridCol w:w="1544"/>
        <w:gridCol w:w="1260"/>
        <w:gridCol w:w="1620"/>
      </w:tblGrid>
      <w:tr w14:paraId="6EC11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402" w:hRule="atLeast"/>
          <w:jc w:val="center"/>
        </w:trPr>
        <w:tc>
          <w:tcPr>
            <w:tcW w:w="705" w:type="dxa"/>
            <w:vAlign w:val="center"/>
          </w:tcPr>
          <w:p w14:paraId="04C8E085">
            <w:pPr>
              <w:jc w:val="center"/>
              <w:rPr>
                <w:rFonts w:ascii="宋体" w:hAnsi="宋体" w:cs="Courier New"/>
                <w:snapToGrid w:val="0"/>
                <w:szCs w:val="21"/>
              </w:rPr>
            </w:pPr>
            <w:r>
              <w:rPr>
                <w:rFonts w:hint="eastAsia" w:ascii="宋体" w:hAnsi="宋体" w:cs="Courier New"/>
                <w:snapToGrid w:val="0"/>
                <w:szCs w:val="21"/>
              </w:rPr>
              <w:t>序号</w:t>
            </w:r>
          </w:p>
        </w:tc>
        <w:tc>
          <w:tcPr>
            <w:tcW w:w="1491" w:type="dxa"/>
            <w:vAlign w:val="center"/>
          </w:tcPr>
          <w:p w14:paraId="35CDB9F8">
            <w:pPr>
              <w:jc w:val="center"/>
              <w:rPr>
                <w:rFonts w:ascii="宋体" w:hAnsi="宋体" w:cs="Courier New"/>
                <w:snapToGrid w:val="0"/>
                <w:szCs w:val="21"/>
              </w:rPr>
            </w:pPr>
            <w:r>
              <w:rPr>
                <w:rFonts w:hint="eastAsia" w:ascii="宋体" w:hAnsi="宋体" w:cs="Courier New"/>
                <w:snapToGrid w:val="0"/>
                <w:szCs w:val="21"/>
              </w:rPr>
              <w:t>项目</w:t>
            </w:r>
          </w:p>
        </w:tc>
        <w:tc>
          <w:tcPr>
            <w:tcW w:w="851" w:type="dxa"/>
            <w:vAlign w:val="center"/>
          </w:tcPr>
          <w:p w14:paraId="0F9B2A52">
            <w:pPr>
              <w:jc w:val="center"/>
              <w:rPr>
                <w:rFonts w:ascii="宋体" w:hAnsi="宋体" w:cs="Courier New"/>
                <w:snapToGrid w:val="0"/>
                <w:szCs w:val="21"/>
              </w:rPr>
            </w:pPr>
            <w:r>
              <w:rPr>
                <w:rFonts w:hint="eastAsia" w:ascii="宋体" w:hAnsi="宋体" w:cs="Courier New"/>
                <w:snapToGrid w:val="0"/>
                <w:szCs w:val="21"/>
              </w:rPr>
              <w:t>姓名</w:t>
            </w:r>
          </w:p>
        </w:tc>
        <w:tc>
          <w:tcPr>
            <w:tcW w:w="567" w:type="dxa"/>
            <w:vAlign w:val="center"/>
          </w:tcPr>
          <w:p w14:paraId="1314C225">
            <w:pPr>
              <w:jc w:val="center"/>
              <w:rPr>
                <w:rFonts w:ascii="宋体" w:hAnsi="宋体" w:cs="Courier New"/>
                <w:snapToGrid w:val="0"/>
                <w:szCs w:val="21"/>
              </w:rPr>
            </w:pPr>
            <w:r>
              <w:rPr>
                <w:rFonts w:hint="eastAsia" w:ascii="宋体" w:hAnsi="宋体" w:cs="Courier New"/>
                <w:snapToGrid w:val="0"/>
                <w:szCs w:val="21"/>
              </w:rPr>
              <w:t>学历</w:t>
            </w:r>
          </w:p>
        </w:tc>
        <w:tc>
          <w:tcPr>
            <w:tcW w:w="1308" w:type="dxa"/>
            <w:vAlign w:val="center"/>
          </w:tcPr>
          <w:p w14:paraId="5CEE582D">
            <w:pPr>
              <w:jc w:val="center"/>
              <w:rPr>
                <w:rFonts w:ascii="宋体" w:hAnsi="宋体" w:cs="Courier New"/>
                <w:snapToGrid w:val="0"/>
                <w:szCs w:val="21"/>
              </w:rPr>
            </w:pPr>
            <w:r>
              <w:rPr>
                <w:rFonts w:hint="eastAsia" w:ascii="宋体" w:hAnsi="宋体" w:cs="Courier New"/>
                <w:snapToGrid w:val="0"/>
                <w:szCs w:val="21"/>
              </w:rPr>
              <w:t>岗位及职务</w:t>
            </w:r>
          </w:p>
        </w:tc>
        <w:tc>
          <w:tcPr>
            <w:tcW w:w="1544" w:type="dxa"/>
            <w:vAlign w:val="center"/>
          </w:tcPr>
          <w:p w14:paraId="3EC02269">
            <w:pPr>
              <w:ind w:right="-53" w:rightChars="-25"/>
              <w:jc w:val="center"/>
              <w:rPr>
                <w:rFonts w:ascii="宋体" w:hAnsi="宋体" w:cs="Courier New"/>
                <w:snapToGrid w:val="0"/>
                <w:szCs w:val="21"/>
              </w:rPr>
            </w:pPr>
            <w:r>
              <w:rPr>
                <w:rFonts w:hint="eastAsia" w:ascii="宋体" w:hAnsi="宋体" w:cs="Courier New"/>
                <w:snapToGrid w:val="0"/>
                <w:szCs w:val="21"/>
              </w:rPr>
              <w:t>持何种资格证件</w:t>
            </w:r>
          </w:p>
        </w:tc>
        <w:tc>
          <w:tcPr>
            <w:tcW w:w="1260" w:type="dxa"/>
            <w:vAlign w:val="center"/>
          </w:tcPr>
          <w:p w14:paraId="7DEF1F2E">
            <w:pPr>
              <w:jc w:val="center"/>
              <w:rPr>
                <w:rFonts w:ascii="宋体" w:hAnsi="宋体" w:cs="Courier New"/>
                <w:snapToGrid w:val="0"/>
                <w:szCs w:val="21"/>
              </w:rPr>
            </w:pPr>
            <w:r>
              <w:rPr>
                <w:rFonts w:hint="eastAsia" w:ascii="宋体" w:hAnsi="宋体" w:cs="Courier New"/>
                <w:snapToGrid w:val="0"/>
                <w:szCs w:val="21"/>
              </w:rPr>
              <w:t>发证时间</w:t>
            </w:r>
          </w:p>
        </w:tc>
        <w:tc>
          <w:tcPr>
            <w:tcW w:w="1620" w:type="dxa"/>
            <w:vAlign w:val="center"/>
          </w:tcPr>
          <w:p w14:paraId="0D7810F3">
            <w:pPr>
              <w:jc w:val="center"/>
              <w:rPr>
                <w:rFonts w:ascii="宋体" w:hAnsi="宋体" w:cs="Courier New"/>
                <w:snapToGrid w:val="0"/>
                <w:szCs w:val="21"/>
              </w:rPr>
            </w:pPr>
            <w:r>
              <w:rPr>
                <w:rFonts w:hint="eastAsia" w:ascii="宋体" w:hAnsi="宋体" w:cs="Courier New"/>
                <w:snapToGrid w:val="0"/>
                <w:szCs w:val="21"/>
              </w:rPr>
              <w:t>工作经验</w:t>
            </w:r>
          </w:p>
        </w:tc>
      </w:tr>
      <w:tr w14:paraId="41963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680" w:hRule="exact"/>
          <w:jc w:val="center"/>
        </w:trPr>
        <w:tc>
          <w:tcPr>
            <w:tcW w:w="705" w:type="dxa"/>
            <w:vAlign w:val="center"/>
          </w:tcPr>
          <w:p w14:paraId="3F7B6601">
            <w:pPr>
              <w:jc w:val="center"/>
              <w:rPr>
                <w:rFonts w:ascii="宋体" w:hAnsi="宋体" w:cs="Courier New"/>
                <w:snapToGrid w:val="0"/>
                <w:szCs w:val="21"/>
              </w:rPr>
            </w:pPr>
            <w:r>
              <w:rPr>
                <w:rFonts w:ascii="宋体" w:hAnsi="宋体" w:cs="Courier New"/>
                <w:snapToGrid w:val="0"/>
                <w:szCs w:val="21"/>
              </w:rPr>
              <w:t>1</w:t>
            </w:r>
          </w:p>
        </w:tc>
        <w:tc>
          <w:tcPr>
            <w:tcW w:w="1491" w:type="dxa"/>
            <w:vAlign w:val="center"/>
          </w:tcPr>
          <w:p w14:paraId="0320BC1D">
            <w:pPr>
              <w:jc w:val="center"/>
              <w:rPr>
                <w:rFonts w:ascii="宋体" w:hAnsi="宋体" w:cs="Courier New"/>
                <w:snapToGrid w:val="0"/>
                <w:szCs w:val="21"/>
              </w:rPr>
            </w:pPr>
            <w:r>
              <w:rPr>
                <w:rFonts w:hint="eastAsia" w:ascii="宋体" w:hAnsi="宋体" w:cs="Courier New"/>
                <w:snapToGrid w:val="0"/>
                <w:szCs w:val="21"/>
              </w:rPr>
              <w:t>项目负责人</w:t>
            </w:r>
          </w:p>
        </w:tc>
        <w:tc>
          <w:tcPr>
            <w:tcW w:w="851" w:type="dxa"/>
            <w:vAlign w:val="center"/>
          </w:tcPr>
          <w:p w14:paraId="1A28451B">
            <w:pPr>
              <w:rPr>
                <w:rFonts w:ascii="宋体" w:hAnsi="宋体" w:cs="Courier New"/>
                <w:snapToGrid w:val="0"/>
                <w:szCs w:val="21"/>
              </w:rPr>
            </w:pPr>
          </w:p>
        </w:tc>
        <w:tc>
          <w:tcPr>
            <w:tcW w:w="567" w:type="dxa"/>
            <w:vAlign w:val="center"/>
          </w:tcPr>
          <w:p w14:paraId="4EC64352">
            <w:pPr>
              <w:rPr>
                <w:rFonts w:ascii="宋体" w:hAnsi="宋体" w:cs="Courier New"/>
                <w:snapToGrid w:val="0"/>
                <w:szCs w:val="21"/>
              </w:rPr>
            </w:pPr>
          </w:p>
        </w:tc>
        <w:tc>
          <w:tcPr>
            <w:tcW w:w="1308" w:type="dxa"/>
            <w:vAlign w:val="center"/>
          </w:tcPr>
          <w:p w14:paraId="392BB67D">
            <w:pPr>
              <w:rPr>
                <w:rFonts w:ascii="宋体" w:hAnsi="宋体" w:cs="Courier New"/>
                <w:snapToGrid w:val="0"/>
                <w:szCs w:val="21"/>
              </w:rPr>
            </w:pPr>
          </w:p>
        </w:tc>
        <w:tc>
          <w:tcPr>
            <w:tcW w:w="1544" w:type="dxa"/>
            <w:vAlign w:val="center"/>
          </w:tcPr>
          <w:p w14:paraId="65116ED1">
            <w:pPr>
              <w:rPr>
                <w:rFonts w:ascii="宋体" w:hAnsi="宋体" w:cs="Courier New"/>
                <w:snapToGrid w:val="0"/>
                <w:szCs w:val="21"/>
              </w:rPr>
            </w:pPr>
          </w:p>
        </w:tc>
        <w:tc>
          <w:tcPr>
            <w:tcW w:w="1260" w:type="dxa"/>
            <w:vAlign w:val="center"/>
          </w:tcPr>
          <w:p w14:paraId="6AC01FB4">
            <w:pPr>
              <w:rPr>
                <w:rFonts w:ascii="宋体" w:hAnsi="宋体" w:cs="Courier New"/>
                <w:snapToGrid w:val="0"/>
                <w:szCs w:val="21"/>
              </w:rPr>
            </w:pPr>
          </w:p>
        </w:tc>
        <w:tc>
          <w:tcPr>
            <w:tcW w:w="1620" w:type="dxa"/>
            <w:vAlign w:val="center"/>
          </w:tcPr>
          <w:p w14:paraId="5DB00DF9">
            <w:pPr>
              <w:rPr>
                <w:rFonts w:ascii="宋体" w:hAnsi="宋体" w:cs="Courier New"/>
                <w:snapToGrid w:val="0"/>
                <w:szCs w:val="21"/>
              </w:rPr>
            </w:pPr>
          </w:p>
        </w:tc>
      </w:tr>
      <w:tr w14:paraId="7375D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774BEBC9">
            <w:pPr>
              <w:jc w:val="center"/>
              <w:rPr>
                <w:rFonts w:ascii="宋体" w:hAnsi="宋体" w:cs="Courier New"/>
                <w:snapToGrid w:val="0"/>
                <w:szCs w:val="21"/>
              </w:rPr>
            </w:pPr>
            <w:r>
              <w:rPr>
                <w:rFonts w:hint="eastAsia" w:ascii="宋体" w:hAnsi="宋体" w:cs="Courier New"/>
                <w:snapToGrid w:val="0"/>
                <w:szCs w:val="21"/>
              </w:rPr>
              <w:t>2</w:t>
            </w:r>
          </w:p>
        </w:tc>
        <w:tc>
          <w:tcPr>
            <w:tcW w:w="1491" w:type="dxa"/>
            <w:vMerge w:val="restart"/>
            <w:vAlign w:val="center"/>
          </w:tcPr>
          <w:p w14:paraId="7FF9FCD5">
            <w:pPr>
              <w:jc w:val="center"/>
              <w:rPr>
                <w:rFonts w:ascii="宋体" w:hAnsi="宋体" w:cs="Courier New"/>
                <w:snapToGrid w:val="0"/>
                <w:szCs w:val="21"/>
              </w:rPr>
            </w:pPr>
            <w:r>
              <w:rPr>
                <w:rFonts w:hint="eastAsia" w:ascii="宋体" w:hAnsi="宋体" w:cs="Courier New"/>
                <w:snapToGrid w:val="0"/>
                <w:szCs w:val="21"/>
              </w:rPr>
              <w:t>项目团队成员</w:t>
            </w:r>
          </w:p>
        </w:tc>
        <w:tc>
          <w:tcPr>
            <w:tcW w:w="851" w:type="dxa"/>
          </w:tcPr>
          <w:p w14:paraId="307005EB">
            <w:pPr>
              <w:rPr>
                <w:rFonts w:ascii="宋体" w:hAnsi="宋体" w:cs="Courier New"/>
                <w:snapToGrid w:val="0"/>
                <w:szCs w:val="21"/>
              </w:rPr>
            </w:pPr>
          </w:p>
        </w:tc>
        <w:tc>
          <w:tcPr>
            <w:tcW w:w="567" w:type="dxa"/>
          </w:tcPr>
          <w:p w14:paraId="68C0E31A">
            <w:pPr>
              <w:rPr>
                <w:rFonts w:ascii="宋体" w:hAnsi="宋体" w:cs="Courier New"/>
                <w:snapToGrid w:val="0"/>
                <w:szCs w:val="21"/>
              </w:rPr>
            </w:pPr>
          </w:p>
        </w:tc>
        <w:tc>
          <w:tcPr>
            <w:tcW w:w="1308" w:type="dxa"/>
          </w:tcPr>
          <w:p w14:paraId="4CDEB42E">
            <w:pPr>
              <w:rPr>
                <w:rFonts w:ascii="宋体" w:hAnsi="宋体" w:cs="Courier New"/>
                <w:snapToGrid w:val="0"/>
                <w:szCs w:val="21"/>
              </w:rPr>
            </w:pPr>
          </w:p>
        </w:tc>
        <w:tc>
          <w:tcPr>
            <w:tcW w:w="1544" w:type="dxa"/>
          </w:tcPr>
          <w:p w14:paraId="46226599">
            <w:pPr>
              <w:rPr>
                <w:rFonts w:ascii="宋体" w:hAnsi="宋体" w:cs="Courier New"/>
                <w:snapToGrid w:val="0"/>
                <w:szCs w:val="21"/>
              </w:rPr>
            </w:pPr>
          </w:p>
        </w:tc>
        <w:tc>
          <w:tcPr>
            <w:tcW w:w="1260" w:type="dxa"/>
          </w:tcPr>
          <w:p w14:paraId="439AF022">
            <w:pPr>
              <w:rPr>
                <w:rFonts w:ascii="宋体" w:hAnsi="宋体" w:cs="Courier New"/>
                <w:snapToGrid w:val="0"/>
                <w:szCs w:val="21"/>
              </w:rPr>
            </w:pPr>
          </w:p>
        </w:tc>
        <w:tc>
          <w:tcPr>
            <w:tcW w:w="1620" w:type="dxa"/>
          </w:tcPr>
          <w:p w14:paraId="776EB21C">
            <w:pPr>
              <w:rPr>
                <w:rFonts w:ascii="宋体" w:hAnsi="宋体" w:cs="Courier New"/>
                <w:snapToGrid w:val="0"/>
                <w:szCs w:val="21"/>
              </w:rPr>
            </w:pPr>
          </w:p>
        </w:tc>
      </w:tr>
      <w:tr w14:paraId="60A4E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7EA5C2A2">
            <w:pPr>
              <w:jc w:val="center"/>
              <w:rPr>
                <w:rFonts w:ascii="宋体" w:hAnsi="宋体" w:cs="Courier New"/>
                <w:snapToGrid w:val="0"/>
                <w:szCs w:val="21"/>
              </w:rPr>
            </w:pPr>
            <w:r>
              <w:rPr>
                <w:rFonts w:hint="eastAsia" w:ascii="宋体" w:hAnsi="宋体" w:cs="Courier New"/>
                <w:snapToGrid w:val="0"/>
                <w:szCs w:val="21"/>
              </w:rPr>
              <w:t>3</w:t>
            </w:r>
          </w:p>
        </w:tc>
        <w:tc>
          <w:tcPr>
            <w:tcW w:w="1491" w:type="dxa"/>
            <w:vMerge w:val="continue"/>
          </w:tcPr>
          <w:p w14:paraId="3F35F11E">
            <w:pPr>
              <w:jc w:val="center"/>
              <w:rPr>
                <w:rFonts w:ascii="宋体" w:hAnsi="宋体" w:cs="Courier New"/>
                <w:snapToGrid w:val="0"/>
                <w:szCs w:val="21"/>
              </w:rPr>
            </w:pPr>
          </w:p>
        </w:tc>
        <w:tc>
          <w:tcPr>
            <w:tcW w:w="851" w:type="dxa"/>
          </w:tcPr>
          <w:p w14:paraId="1E7C7B70">
            <w:pPr>
              <w:rPr>
                <w:rFonts w:ascii="宋体" w:hAnsi="宋体" w:cs="Courier New"/>
                <w:snapToGrid w:val="0"/>
                <w:szCs w:val="21"/>
              </w:rPr>
            </w:pPr>
          </w:p>
        </w:tc>
        <w:tc>
          <w:tcPr>
            <w:tcW w:w="567" w:type="dxa"/>
          </w:tcPr>
          <w:p w14:paraId="0B535F03">
            <w:pPr>
              <w:rPr>
                <w:rFonts w:ascii="宋体" w:hAnsi="宋体" w:cs="Courier New"/>
                <w:snapToGrid w:val="0"/>
                <w:szCs w:val="21"/>
              </w:rPr>
            </w:pPr>
          </w:p>
        </w:tc>
        <w:tc>
          <w:tcPr>
            <w:tcW w:w="1308" w:type="dxa"/>
          </w:tcPr>
          <w:p w14:paraId="0B023B90">
            <w:pPr>
              <w:rPr>
                <w:rFonts w:ascii="宋体" w:hAnsi="宋体" w:cs="Courier New"/>
                <w:snapToGrid w:val="0"/>
                <w:szCs w:val="21"/>
              </w:rPr>
            </w:pPr>
          </w:p>
        </w:tc>
        <w:tc>
          <w:tcPr>
            <w:tcW w:w="1544" w:type="dxa"/>
          </w:tcPr>
          <w:p w14:paraId="0D5F8643">
            <w:pPr>
              <w:rPr>
                <w:rFonts w:ascii="宋体" w:hAnsi="宋体" w:cs="Courier New"/>
                <w:snapToGrid w:val="0"/>
                <w:szCs w:val="21"/>
              </w:rPr>
            </w:pPr>
          </w:p>
        </w:tc>
        <w:tc>
          <w:tcPr>
            <w:tcW w:w="1260" w:type="dxa"/>
          </w:tcPr>
          <w:p w14:paraId="1444F527">
            <w:pPr>
              <w:rPr>
                <w:rFonts w:ascii="宋体" w:hAnsi="宋体" w:cs="Courier New"/>
                <w:snapToGrid w:val="0"/>
                <w:szCs w:val="21"/>
              </w:rPr>
            </w:pPr>
          </w:p>
        </w:tc>
        <w:tc>
          <w:tcPr>
            <w:tcW w:w="1620" w:type="dxa"/>
          </w:tcPr>
          <w:p w14:paraId="267E9B0D">
            <w:pPr>
              <w:rPr>
                <w:rFonts w:ascii="宋体" w:hAnsi="宋体" w:cs="Courier New"/>
                <w:snapToGrid w:val="0"/>
                <w:szCs w:val="21"/>
              </w:rPr>
            </w:pPr>
          </w:p>
        </w:tc>
      </w:tr>
      <w:tr w14:paraId="34652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7C57633B">
            <w:pPr>
              <w:jc w:val="center"/>
              <w:rPr>
                <w:rFonts w:ascii="宋体" w:hAnsi="宋体" w:cs="Courier New"/>
                <w:snapToGrid w:val="0"/>
                <w:szCs w:val="21"/>
              </w:rPr>
            </w:pPr>
            <w:r>
              <w:rPr>
                <w:rFonts w:hint="eastAsia" w:ascii="宋体" w:hAnsi="宋体" w:cs="Courier New"/>
                <w:snapToGrid w:val="0"/>
                <w:szCs w:val="21"/>
              </w:rPr>
              <w:t>4</w:t>
            </w:r>
          </w:p>
        </w:tc>
        <w:tc>
          <w:tcPr>
            <w:tcW w:w="1491" w:type="dxa"/>
            <w:vMerge w:val="continue"/>
          </w:tcPr>
          <w:p w14:paraId="03760F0E">
            <w:pPr>
              <w:jc w:val="center"/>
              <w:rPr>
                <w:rFonts w:ascii="宋体" w:hAnsi="宋体" w:cs="Courier New"/>
                <w:snapToGrid w:val="0"/>
                <w:szCs w:val="21"/>
              </w:rPr>
            </w:pPr>
          </w:p>
        </w:tc>
        <w:tc>
          <w:tcPr>
            <w:tcW w:w="851" w:type="dxa"/>
          </w:tcPr>
          <w:p w14:paraId="6C3ECCF6">
            <w:pPr>
              <w:rPr>
                <w:rFonts w:ascii="宋体" w:hAnsi="宋体" w:cs="Courier New"/>
                <w:snapToGrid w:val="0"/>
                <w:szCs w:val="21"/>
              </w:rPr>
            </w:pPr>
          </w:p>
        </w:tc>
        <w:tc>
          <w:tcPr>
            <w:tcW w:w="567" w:type="dxa"/>
          </w:tcPr>
          <w:p w14:paraId="2618BD76">
            <w:pPr>
              <w:rPr>
                <w:rFonts w:ascii="宋体" w:hAnsi="宋体" w:cs="Courier New"/>
                <w:snapToGrid w:val="0"/>
                <w:szCs w:val="21"/>
              </w:rPr>
            </w:pPr>
          </w:p>
        </w:tc>
        <w:tc>
          <w:tcPr>
            <w:tcW w:w="1308" w:type="dxa"/>
          </w:tcPr>
          <w:p w14:paraId="102BBB2F">
            <w:pPr>
              <w:rPr>
                <w:rFonts w:ascii="宋体" w:hAnsi="宋体" w:cs="Courier New"/>
                <w:snapToGrid w:val="0"/>
                <w:szCs w:val="21"/>
              </w:rPr>
            </w:pPr>
          </w:p>
        </w:tc>
        <w:tc>
          <w:tcPr>
            <w:tcW w:w="1544" w:type="dxa"/>
          </w:tcPr>
          <w:p w14:paraId="304CD9DC">
            <w:pPr>
              <w:rPr>
                <w:rFonts w:ascii="宋体" w:hAnsi="宋体" w:cs="Courier New"/>
                <w:snapToGrid w:val="0"/>
                <w:szCs w:val="21"/>
              </w:rPr>
            </w:pPr>
          </w:p>
        </w:tc>
        <w:tc>
          <w:tcPr>
            <w:tcW w:w="1260" w:type="dxa"/>
          </w:tcPr>
          <w:p w14:paraId="3692600B">
            <w:pPr>
              <w:rPr>
                <w:rFonts w:ascii="宋体" w:hAnsi="宋体" w:cs="Courier New"/>
                <w:snapToGrid w:val="0"/>
                <w:szCs w:val="21"/>
              </w:rPr>
            </w:pPr>
          </w:p>
        </w:tc>
        <w:tc>
          <w:tcPr>
            <w:tcW w:w="1620" w:type="dxa"/>
          </w:tcPr>
          <w:p w14:paraId="189ACDB6">
            <w:pPr>
              <w:rPr>
                <w:rFonts w:ascii="宋体" w:hAnsi="宋体" w:cs="Courier New"/>
                <w:snapToGrid w:val="0"/>
                <w:szCs w:val="21"/>
              </w:rPr>
            </w:pPr>
          </w:p>
        </w:tc>
      </w:tr>
      <w:tr w14:paraId="01A20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6DD9C24A">
            <w:pPr>
              <w:jc w:val="center"/>
              <w:rPr>
                <w:rFonts w:ascii="宋体" w:hAnsi="宋体" w:cs="Courier New"/>
                <w:snapToGrid w:val="0"/>
                <w:szCs w:val="21"/>
              </w:rPr>
            </w:pPr>
            <w:r>
              <w:rPr>
                <w:rFonts w:hint="eastAsia" w:ascii="宋体" w:hAnsi="宋体" w:cs="Courier New"/>
                <w:snapToGrid w:val="0"/>
                <w:szCs w:val="21"/>
              </w:rPr>
              <w:t>5</w:t>
            </w:r>
          </w:p>
        </w:tc>
        <w:tc>
          <w:tcPr>
            <w:tcW w:w="1491" w:type="dxa"/>
            <w:vMerge w:val="continue"/>
          </w:tcPr>
          <w:p w14:paraId="3250E6E9">
            <w:pPr>
              <w:jc w:val="center"/>
              <w:rPr>
                <w:rFonts w:ascii="宋体" w:hAnsi="宋体" w:cs="Courier New"/>
                <w:snapToGrid w:val="0"/>
                <w:szCs w:val="21"/>
              </w:rPr>
            </w:pPr>
          </w:p>
        </w:tc>
        <w:tc>
          <w:tcPr>
            <w:tcW w:w="851" w:type="dxa"/>
          </w:tcPr>
          <w:p w14:paraId="3307D9CF">
            <w:pPr>
              <w:rPr>
                <w:rFonts w:ascii="宋体" w:hAnsi="宋体" w:cs="Courier New"/>
                <w:snapToGrid w:val="0"/>
                <w:szCs w:val="21"/>
              </w:rPr>
            </w:pPr>
          </w:p>
        </w:tc>
        <w:tc>
          <w:tcPr>
            <w:tcW w:w="567" w:type="dxa"/>
          </w:tcPr>
          <w:p w14:paraId="5A39E1BC">
            <w:pPr>
              <w:rPr>
                <w:rFonts w:ascii="宋体" w:hAnsi="宋体" w:cs="Courier New"/>
                <w:snapToGrid w:val="0"/>
                <w:szCs w:val="21"/>
              </w:rPr>
            </w:pPr>
          </w:p>
        </w:tc>
        <w:tc>
          <w:tcPr>
            <w:tcW w:w="1308" w:type="dxa"/>
          </w:tcPr>
          <w:p w14:paraId="5DBA5F76">
            <w:pPr>
              <w:rPr>
                <w:rFonts w:ascii="宋体" w:hAnsi="宋体" w:cs="Courier New"/>
                <w:snapToGrid w:val="0"/>
                <w:szCs w:val="21"/>
              </w:rPr>
            </w:pPr>
          </w:p>
        </w:tc>
        <w:tc>
          <w:tcPr>
            <w:tcW w:w="1544" w:type="dxa"/>
          </w:tcPr>
          <w:p w14:paraId="21D09F44">
            <w:pPr>
              <w:rPr>
                <w:rFonts w:ascii="宋体" w:hAnsi="宋体" w:cs="Courier New"/>
                <w:snapToGrid w:val="0"/>
                <w:szCs w:val="21"/>
              </w:rPr>
            </w:pPr>
          </w:p>
        </w:tc>
        <w:tc>
          <w:tcPr>
            <w:tcW w:w="1260" w:type="dxa"/>
          </w:tcPr>
          <w:p w14:paraId="343F0910">
            <w:pPr>
              <w:rPr>
                <w:rFonts w:ascii="宋体" w:hAnsi="宋体" w:cs="Courier New"/>
                <w:snapToGrid w:val="0"/>
                <w:szCs w:val="21"/>
              </w:rPr>
            </w:pPr>
          </w:p>
        </w:tc>
        <w:tc>
          <w:tcPr>
            <w:tcW w:w="1620" w:type="dxa"/>
          </w:tcPr>
          <w:p w14:paraId="77CC68B0">
            <w:pPr>
              <w:rPr>
                <w:rFonts w:ascii="宋体" w:hAnsi="宋体" w:cs="Courier New"/>
                <w:snapToGrid w:val="0"/>
                <w:szCs w:val="21"/>
              </w:rPr>
            </w:pPr>
          </w:p>
        </w:tc>
      </w:tr>
      <w:tr w14:paraId="7E7C0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73C7C354">
            <w:pPr>
              <w:jc w:val="center"/>
              <w:rPr>
                <w:rFonts w:ascii="宋体" w:hAnsi="宋体" w:cs="Courier New"/>
                <w:snapToGrid w:val="0"/>
                <w:szCs w:val="21"/>
              </w:rPr>
            </w:pPr>
            <w:r>
              <w:rPr>
                <w:rFonts w:hint="eastAsia" w:ascii="宋体" w:hAnsi="宋体" w:cs="Courier New"/>
                <w:snapToGrid w:val="0"/>
                <w:szCs w:val="21"/>
              </w:rPr>
              <w:t>6</w:t>
            </w:r>
          </w:p>
        </w:tc>
        <w:tc>
          <w:tcPr>
            <w:tcW w:w="1491" w:type="dxa"/>
            <w:vMerge w:val="continue"/>
          </w:tcPr>
          <w:p w14:paraId="0442EE92">
            <w:pPr>
              <w:jc w:val="center"/>
              <w:rPr>
                <w:rFonts w:ascii="宋体" w:hAnsi="宋体" w:cs="Courier New"/>
                <w:snapToGrid w:val="0"/>
                <w:szCs w:val="21"/>
              </w:rPr>
            </w:pPr>
          </w:p>
        </w:tc>
        <w:tc>
          <w:tcPr>
            <w:tcW w:w="851" w:type="dxa"/>
          </w:tcPr>
          <w:p w14:paraId="60295DE8">
            <w:pPr>
              <w:rPr>
                <w:rFonts w:ascii="宋体" w:hAnsi="宋体" w:cs="Courier New"/>
                <w:snapToGrid w:val="0"/>
                <w:szCs w:val="21"/>
              </w:rPr>
            </w:pPr>
          </w:p>
        </w:tc>
        <w:tc>
          <w:tcPr>
            <w:tcW w:w="567" w:type="dxa"/>
          </w:tcPr>
          <w:p w14:paraId="0B494272">
            <w:pPr>
              <w:rPr>
                <w:rFonts w:ascii="宋体" w:hAnsi="宋体" w:cs="Courier New"/>
                <w:snapToGrid w:val="0"/>
                <w:szCs w:val="21"/>
              </w:rPr>
            </w:pPr>
          </w:p>
        </w:tc>
        <w:tc>
          <w:tcPr>
            <w:tcW w:w="1308" w:type="dxa"/>
          </w:tcPr>
          <w:p w14:paraId="6CCE2E40">
            <w:pPr>
              <w:rPr>
                <w:rFonts w:ascii="宋体" w:hAnsi="宋体" w:cs="Courier New"/>
                <w:snapToGrid w:val="0"/>
                <w:szCs w:val="21"/>
              </w:rPr>
            </w:pPr>
          </w:p>
        </w:tc>
        <w:tc>
          <w:tcPr>
            <w:tcW w:w="1544" w:type="dxa"/>
          </w:tcPr>
          <w:p w14:paraId="3F7FAA9E">
            <w:pPr>
              <w:rPr>
                <w:rFonts w:ascii="宋体" w:hAnsi="宋体" w:cs="Courier New"/>
                <w:snapToGrid w:val="0"/>
                <w:szCs w:val="21"/>
              </w:rPr>
            </w:pPr>
          </w:p>
        </w:tc>
        <w:tc>
          <w:tcPr>
            <w:tcW w:w="1260" w:type="dxa"/>
          </w:tcPr>
          <w:p w14:paraId="4C7B0E75">
            <w:pPr>
              <w:rPr>
                <w:rFonts w:ascii="宋体" w:hAnsi="宋体" w:cs="Courier New"/>
                <w:snapToGrid w:val="0"/>
                <w:szCs w:val="21"/>
              </w:rPr>
            </w:pPr>
          </w:p>
        </w:tc>
        <w:tc>
          <w:tcPr>
            <w:tcW w:w="1620" w:type="dxa"/>
          </w:tcPr>
          <w:p w14:paraId="0BE53B2C">
            <w:pPr>
              <w:rPr>
                <w:rFonts w:ascii="宋体" w:hAnsi="宋体" w:cs="Courier New"/>
                <w:snapToGrid w:val="0"/>
                <w:szCs w:val="21"/>
              </w:rPr>
            </w:pPr>
          </w:p>
        </w:tc>
      </w:tr>
      <w:tr w14:paraId="6D648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496D2C5B">
            <w:pPr>
              <w:jc w:val="center"/>
              <w:rPr>
                <w:rFonts w:ascii="宋体" w:hAnsi="宋体" w:cs="Courier New"/>
                <w:snapToGrid w:val="0"/>
                <w:szCs w:val="21"/>
              </w:rPr>
            </w:pPr>
            <w:r>
              <w:rPr>
                <w:rFonts w:hint="eastAsia" w:ascii="宋体" w:hAnsi="宋体" w:cs="Courier New"/>
                <w:snapToGrid w:val="0"/>
                <w:szCs w:val="21"/>
              </w:rPr>
              <w:t>7</w:t>
            </w:r>
          </w:p>
        </w:tc>
        <w:tc>
          <w:tcPr>
            <w:tcW w:w="1491" w:type="dxa"/>
            <w:vMerge w:val="continue"/>
          </w:tcPr>
          <w:p w14:paraId="36E3264E">
            <w:pPr>
              <w:jc w:val="center"/>
              <w:rPr>
                <w:rFonts w:ascii="宋体" w:hAnsi="宋体" w:cs="Courier New"/>
                <w:snapToGrid w:val="0"/>
                <w:szCs w:val="21"/>
              </w:rPr>
            </w:pPr>
          </w:p>
        </w:tc>
        <w:tc>
          <w:tcPr>
            <w:tcW w:w="851" w:type="dxa"/>
          </w:tcPr>
          <w:p w14:paraId="3735FA7A">
            <w:pPr>
              <w:rPr>
                <w:rFonts w:ascii="宋体" w:hAnsi="宋体" w:cs="Courier New"/>
                <w:snapToGrid w:val="0"/>
                <w:szCs w:val="21"/>
              </w:rPr>
            </w:pPr>
          </w:p>
        </w:tc>
        <w:tc>
          <w:tcPr>
            <w:tcW w:w="567" w:type="dxa"/>
          </w:tcPr>
          <w:p w14:paraId="13C607A3">
            <w:pPr>
              <w:rPr>
                <w:rFonts w:ascii="宋体" w:hAnsi="宋体" w:cs="Courier New"/>
                <w:snapToGrid w:val="0"/>
                <w:szCs w:val="21"/>
              </w:rPr>
            </w:pPr>
          </w:p>
        </w:tc>
        <w:tc>
          <w:tcPr>
            <w:tcW w:w="1308" w:type="dxa"/>
          </w:tcPr>
          <w:p w14:paraId="42A85FE8">
            <w:pPr>
              <w:rPr>
                <w:rFonts w:ascii="宋体" w:hAnsi="宋体" w:cs="Courier New"/>
                <w:snapToGrid w:val="0"/>
                <w:szCs w:val="21"/>
              </w:rPr>
            </w:pPr>
          </w:p>
        </w:tc>
        <w:tc>
          <w:tcPr>
            <w:tcW w:w="1544" w:type="dxa"/>
          </w:tcPr>
          <w:p w14:paraId="3F2F820D">
            <w:pPr>
              <w:rPr>
                <w:rFonts w:ascii="宋体" w:hAnsi="宋体" w:cs="Courier New"/>
                <w:snapToGrid w:val="0"/>
                <w:szCs w:val="21"/>
              </w:rPr>
            </w:pPr>
          </w:p>
        </w:tc>
        <w:tc>
          <w:tcPr>
            <w:tcW w:w="1260" w:type="dxa"/>
          </w:tcPr>
          <w:p w14:paraId="742E8FC9">
            <w:pPr>
              <w:rPr>
                <w:rFonts w:ascii="宋体" w:hAnsi="宋体" w:cs="Courier New"/>
                <w:snapToGrid w:val="0"/>
                <w:szCs w:val="21"/>
              </w:rPr>
            </w:pPr>
          </w:p>
        </w:tc>
        <w:tc>
          <w:tcPr>
            <w:tcW w:w="1620" w:type="dxa"/>
          </w:tcPr>
          <w:p w14:paraId="64D3BA73">
            <w:pPr>
              <w:rPr>
                <w:rFonts w:ascii="宋体" w:hAnsi="宋体" w:cs="Courier New"/>
                <w:snapToGrid w:val="0"/>
                <w:szCs w:val="21"/>
              </w:rPr>
            </w:pPr>
          </w:p>
        </w:tc>
      </w:tr>
      <w:tr w14:paraId="0BB49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1D555021">
            <w:pPr>
              <w:jc w:val="center"/>
              <w:rPr>
                <w:rFonts w:ascii="宋体" w:hAnsi="宋体" w:cs="Courier New"/>
                <w:snapToGrid w:val="0"/>
                <w:szCs w:val="21"/>
              </w:rPr>
            </w:pPr>
            <w:r>
              <w:rPr>
                <w:rFonts w:hint="eastAsia" w:ascii="宋体" w:hAnsi="宋体" w:cs="Courier New"/>
                <w:snapToGrid w:val="0"/>
                <w:szCs w:val="21"/>
              </w:rPr>
              <w:t>8</w:t>
            </w:r>
          </w:p>
        </w:tc>
        <w:tc>
          <w:tcPr>
            <w:tcW w:w="1491" w:type="dxa"/>
            <w:vMerge w:val="continue"/>
          </w:tcPr>
          <w:p w14:paraId="3090B77A">
            <w:pPr>
              <w:jc w:val="center"/>
              <w:rPr>
                <w:rFonts w:ascii="宋体" w:hAnsi="宋体" w:cs="Courier New"/>
                <w:snapToGrid w:val="0"/>
                <w:szCs w:val="21"/>
              </w:rPr>
            </w:pPr>
          </w:p>
        </w:tc>
        <w:tc>
          <w:tcPr>
            <w:tcW w:w="851" w:type="dxa"/>
          </w:tcPr>
          <w:p w14:paraId="7AC78C95">
            <w:pPr>
              <w:rPr>
                <w:rFonts w:ascii="宋体" w:hAnsi="宋体" w:cs="Courier New"/>
                <w:snapToGrid w:val="0"/>
                <w:szCs w:val="21"/>
              </w:rPr>
            </w:pPr>
          </w:p>
        </w:tc>
        <w:tc>
          <w:tcPr>
            <w:tcW w:w="567" w:type="dxa"/>
          </w:tcPr>
          <w:p w14:paraId="3B5413BE">
            <w:pPr>
              <w:rPr>
                <w:rFonts w:ascii="宋体" w:hAnsi="宋体" w:cs="Courier New"/>
                <w:snapToGrid w:val="0"/>
                <w:szCs w:val="21"/>
              </w:rPr>
            </w:pPr>
          </w:p>
        </w:tc>
        <w:tc>
          <w:tcPr>
            <w:tcW w:w="1308" w:type="dxa"/>
          </w:tcPr>
          <w:p w14:paraId="1C155AFB">
            <w:pPr>
              <w:rPr>
                <w:rFonts w:ascii="宋体" w:hAnsi="宋体" w:cs="Courier New"/>
                <w:snapToGrid w:val="0"/>
                <w:szCs w:val="21"/>
              </w:rPr>
            </w:pPr>
          </w:p>
        </w:tc>
        <w:tc>
          <w:tcPr>
            <w:tcW w:w="1544" w:type="dxa"/>
          </w:tcPr>
          <w:p w14:paraId="212BA975">
            <w:pPr>
              <w:rPr>
                <w:rFonts w:ascii="宋体" w:hAnsi="宋体" w:cs="Courier New"/>
                <w:snapToGrid w:val="0"/>
                <w:szCs w:val="21"/>
              </w:rPr>
            </w:pPr>
          </w:p>
        </w:tc>
        <w:tc>
          <w:tcPr>
            <w:tcW w:w="1260" w:type="dxa"/>
          </w:tcPr>
          <w:p w14:paraId="66B6540B">
            <w:pPr>
              <w:rPr>
                <w:rFonts w:ascii="宋体" w:hAnsi="宋体" w:cs="Courier New"/>
                <w:snapToGrid w:val="0"/>
                <w:szCs w:val="21"/>
              </w:rPr>
            </w:pPr>
          </w:p>
        </w:tc>
        <w:tc>
          <w:tcPr>
            <w:tcW w:w="1620" w:type="dxa"/>
          </w:tcPr>
          <w:p w14:paraId="33798FA8">
            <w:pPr>
              <w:rPr>
                <w:rFonts w:ascii="宋体" w:hAnsi="宋体" w:cs="Courier New"/>
                <w:snapToGrid w:val="0"/>
                <w:szCs w:val="21"/>
              </w:rPr>
            </w:pPr>
          </w:p>
        </w:tc>
      </w:tr>
      <w:tr w14:paraId="3FCB8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4DE03166">
            <w:pPr>
              <w:jc w:val="center"/>
              <w:rPr>
                <w:rFonts w:ascii="宋体" w:hAnsi="宋体" w:cs="Courier New"/>
                <w:snapToGrid w:val="0"/>
                <w:szCs w:val="21"/>
              </w:rPr>
            </w:pPr>
            <w:r>
              <w:rPr>
                <w:rFonts w:hint="eastAsia" w:ascii="宋体" w:hAnsi="宋体" w:cs="Courier New"/>
                <w:snapToGrid w:val="0"/>
                <w:szCs w:val="21"/>
              </w:rPr>
              <w:t>9</w:t>
            </w:r>
          </w:p>
        </w:tc>
        <w:tc>
          <w:tcPr>
            <w:tcW w:w="1491" w:type="dxa"/>
            <w:vMerge w:val="continue"/>
          </w:tcPr>
          <w:p w14:paraId="7CEC3057">
            <w:pPr>
              <w:jc w:val="center"/>
              <w:rPr>
                <w:rFonts w:ascii="宋体" w:hAnsi="宋体" w:cs="Courier New"/>
                <w:snapToGrid w:val="0"/>
                <w:szCs w:val="21"/>
              </w:rPr>
            </w:pPr>
          </w:p>
        </w:tc>
        <w:tc>
          <w:tcPr>
            <w:tcW w:w="851" w:type="dxa"/>
          </w:tcPr>
          <w:p w14:paraId="3394C839">
            <w:pPr>
              <w:rPr>
                <w:rFonts w:ascii="宋体" w:hAnsi="宋体" w:cs="Courier New"/>
                <w:snapToGrid w:val="0"/>
                <w:szCs w:val="21"/>
              </w:rPr>
            </w:pPr>
          </w:p>
        </w:tc>
        <w:tc>
          <w:tcPr>
            <w:tcW w:w="567" w:type="dxa"/>
          </w:tcPr>
          <w:p w14:paraId="0336E8C9">
            <w:pPr>
              <w:rPr>
                <w:rFonts w:ascii="宋体" w:hAnsi="宋体" w:cs="Courier New"/>
                <w:snapToGrid w:val="0"/>
                <w:szCs w:val="21"/>
              </w:rPr>
            </w:pPr>
          </w:p>
        </w:tc>
        <w:tc>
          <w:tcPr>
            <w:tcW w:w="1308" w:type="dxa"/>
          </w:tcPr>
          <w:p w14:paraId="4A1D6767">
            <w:pPr>
              <w:rPr>
                <w:rFonts w:ascii="宋体" w:hAnsi="宋体" w:cs="Courier New"/>
                <w:snapToGrid w:val="0"/>
                <w:szCs w:val="21"/>
              </w:rPr>
            </w:pPr>
          </w:p>
        </w:tc>
        <w:tc>
          <w:tcPr>
            <w:tcW w:w="1544" w:type="dxa"/>
          </w:tcPr>
          <w:p w14:paraId="11F7D22E">
            <w:pPr>
              <w:rPr>
                <w:rFonts w:ascii="宋体" w:hAnsi="宋体" w:cs="Courier New"/>
                <w:snapToGrid w:val="0"/>
                <w:szCs w:val="21"/>
              </w:rPr>
            </w:pPr>
          </w:p>
        </w:tc>
        <w:tc>
          <w:tcPr>
            <w:tcW w:w="1260" w:type="dxa"/>
          </w:tcPr>
          <w:p w14:paraId="54E2EC85">
            <w:pPr>
              <w:rPr>
                <w:rFonts w:ascii="宋体" w:hAnsi="宋体" w:cs="Courier New"/>
                <w:snapToGrid w:val="0"/>
                <w:szCs w:val="21"/>
              </w:rPr>
            </w:pPr>
          </w:p>
        </w:tc>
        <w:tc>
          <w:tcPr>
            <w:tcW w:w="1620" w:type="dxa"/>
          </w:tcPr>
          <w:p w14:paraId="58357EA2">
            <w:pPr>
              <w:rPr>
                <w:rFonts w:ascii="宋体" w:hAnsi="宋体" w:cs="Courier New"/>
                <w:snapToGrid w:val="0"/>
                <w:szCs w:val="21"/>
              </w:rPr>
            </w:pPr>
          </w:p>
        </w:tc>
      </w:tr>
    </w:tbl>
    <w:p w14:paraId="5EF8AC98">
      <w:pPr>
        <w:autoSpaceDE w:val="0"/>
        <w:autoSpaceDN w:val="0"/>
        <w:adjustRightInd w:val="0"/>
        <w:spacing w:line="360" w:lineRule="auto"/>
        <w:rPr>
          <w:rFonts w:ascii="宋体" w:hAnsi="宋体"/>
          <w:szCs w:val="21"/>
          <w:lang w:val="zh-CN"/>
        </w:rPr>
      </w:pPr>
      <w:r>
        <w:rPr>
          <w:rFonts w:hint="eastAsia" w:ascii="宋体" w:hAnsi="宋体"/>
          <w:szCs w:val="21"/>
          <w:lang w:val="zh-CN"/>
        </w:rPr>
        <w:t xml:space="preserve">注： </w:t>
      </w:r>
    </w:p>
    <w:p w14:paraId="59405613">
      <w:pPr>
        <w:tabs>
          <w:tab w:val="left" w:pos="170"/>
        </w:tabs>
        <w:autoSpaceDE w:val="0"/>
        <w:autoSpaceDN w:val="0"/>
        <w:adjustRightInd w:val="0"/>
        <w:spacing w:line="360" w:lineRule="auto"/>
        <w:ind w:firstLine="210" w:firstLineChars="100"/>
        <w:rPr>
          <w:rFonts w:ascii="宋体" w:hAnsi="宋体"/>
          <w:szCs w:val="21"/>
          <w:lang w:val="zh-CN"/>
        </w:rPr>
      </w:pPr>
      <w:r>
        <w:rPr>
          <w:rFonts w:hint="eastAsia" w:ascii="宋体" w:hAnsi="宋体"/>
          <w:szCs w:val="21"/>
          <w:lang w:val="zh-CN"/>
        </w:rPr>
        <w:t>1、填写时，如本表格不适合投标单位的实际情况，可根据本表格格式自行划表填写。</w:t>
      </w:r>
    </w:p>
    <w:p w14:paraId="63A8B930">
      <w:pPr>
        <w:tabs>
          <w:tab w:val="left" w:pos="170"/>
        </w:tabs>
        <w:autoSpaceDE w:val="0"/>
        <w:autoSpaceDN w:val="0"/>
        <w:adjustRightInd w:val="0"/>
        <w:spacing w:line="360" w:lineRule="auto"/>
        <w:ind w:firstLine="210" w:firstLineChars="100"/>
        <w:rPr>
          <w:rFonts w:ascii="宋体" w:hAnsi="宋体"/>
          <w:szCs w:val="21"/>
          <w:lang w:val="zh-CN"/>
        </w:rPr>
      </w:pPr>
      <w:r>
        <w:rPr>
          <w:rFonts w:hint="eastAsia" w:ascii="宋体" w:hAnsi="宋体"/>
          <w:szCs w:val="21"/>
          <w:lang w:val="zh-CN"/>
        </w:rPr>
        <w:t>2、有关人员简历及资格证书及其它证明材料（复印件或扫描件加盖公章）需附在本表之后。</w:t>
      </w:r>
    </w:p>
    <w:p w14:paraId="0F163683">
      <w:pPr>
        <w:tabs>
          <w:tab w:val="left" w:pos="170"/>
        </w:tabs>
        <w:autoSpaceDE w:val="0"/>
        <w:autoSpaceDN w:val="0"/>
        <w:adjustRightInd w:val="0"/>
        <w:spacing w:line="360" w:lineRule="auto"/>
        <w:ind w:firstLine="210" w:firstLineChars="100"/>
        <w:rPr>
          <w:rFonts w:ascii="宋体" w:hAnsi="宋体"/>
          <w:szCs w:val="21"/>
          <w:lang w:val="zh-CN"/>
        </w:rPr>
      </w:pPr>
      <w:r>
        <w:rPr>
          <w:rFonts w:hint="eastAsia" w:ascii="宋体" w:hAnsi="宋体"/>
          <w:szCs w:val="21"/>
          <w:lang w:val="zh-CN"/>
        </w:rPr>
        <w:t>3、本表格所要求填写的人员是指投标单位将安排在此项目的具体人员。</w:t>
      </w:r>
    </w:p>
    <w:p w14:paraId="600C1514">
      <w:pPr>
        <w:spacing w:line="360" w:lineRule="auto"/>
        <w:rPr>
          <w:rFonts w:cs="Courier New"/>
          <w:snapToGrid w:val="0"/>
          <w:szCs w:val="18"/>
        </w:rPr>
      </w:pPr>
    </w:p>
    <w:p w14:paraId="63B3159D">
      <w:pPr>
        <w:spacing w:line="360" w:lineRule="auto"/>
        <w:rPr>
          <w:rFonts w:cs="Courier New"/>
          <w:snapToGrid w:val="0"/>
          <w:szCs w:val="18"/>
        </w:rPr>
      </w:pPr>
    </w:p>
    <w:p w14:paraId="5A425102">
      <w:pPr>
        <w:adjustRightInd w:val="0"/>
        <w:snapToGrid w:val="0"/>
        <w:spacing w:line="300" w:lineRule="auto"/>
        <w:rPr>
          <w:snapToGrid w:val="0"/>
          <w:kern w:val="0"/>
        </w:rPr>
      </w:pPr>
      <w:r>
        <w:rPr>
          <w:rFonts w:hint="eastAsia"/>
          <w:snapToGrid w:val="0"/>
          <w:kern w:val="0"/>
        </w:rPr>
        <w:t>投标单位：（盖公章）</w:t>
      </w:r>
    </w:p>
    <w:p w14:paraId="70748865">
      <w:pPr>
        <w:adjustRightInd w:val="0"/>
        <w:snapToGrid w:val="0"/>
        <w:spacing w:line="300" w:lineRule="auto"/>
        <w:rPr>
          <w:snapToGrid w:val="0"/>
          <w:kern w:val="0"/>
        </w:rPr>
      </w:pPr>
    </w:p>
    <w:p w14:paraId="7A1648DF">
      <w:pPr>
        <w:adjustRightInd w:val="0"/>
        <w:snapToGrid w:val="0"/>
        <w:spacing w:line="300" w:lineRule="auto"/>
        <w:rPr>
          <w:snapToGrid w:val="0"/>
          <w:kern w:val="0"/>
        </w:rPr>
      </w:pPr>
    </w:p>
    <w:p w14:paraId="2DDE18CF">
      <w:pPr>
        <w:adjustRightInd w:val="0"/>
        <w:snapToGrid w:val="0"/>
        <w:spacing w:line="300" w:lineRule="auto"/>
        <w:rPr>
          <w:snapToGrid w:val="0"/>
          <w:kern w:val="0"/>
        </w:rPr>
      </w:pPr>
    </w:p>
    <w:p w14:paraId="23E52272">
      <w:pPr>
        <w:wordWrap w:val="0"/>
        <w:adjustRightInd w:val="0"/>
        <w:snapToGrid w:val="0"/>
        <w:spacing w:line="300" w:lineRule="auto"/>
        <w:jc w:val="right"/>
        <w:rPr>
          <w:snapToGrid w:val="0"/>
          <w:kern w:val="0"/>
        </w:rPr>
      </w:pPr>
      <w:r>
        <w:rPr>
          <w:rFonts w:hint="eastAsia"/>
          <w:snapToGrid w:val="0"/>
          <w:kern w:val="0"/>
        </w:rPr>
        <w:t>年    月   日</w:t>
      </w:r>
    </w:p>
    <w:p w14:paraId="5D72DD69">
      <w:pPr>
        <w:adjustRightInd w:val="0"/>
        <w:snapToGrid w:val="0"/>
        <w:spacing w:line="300" w:lineRule="auto"/>
        <w:jc w:val="right"/>
        <w:rPr>
          <w:snapToGrid w:val="0"/>
          <w:kern w:val="0"/>
        </w:rPr>
      </w:pPr>
    </w:p>
    <w:p w14:paraId="69F9D294">
      <w:pPr>
        <w:adjustRightInd w:val="0"/>
        <w:snapToGrid w:val="0"/>
        <w:spacing w:line="300" w:lineRule="auto"/>
        <w:jc w:val="right"/>
        <w:rPr>
          <w:snapToGrid w:val="0"/>
          <w:kern w:val="0"/>
        </w:rPr>
      </w:pPr>
    </w:p>
    <w:p w14:paraId="434DE2E7">
      <w:pPr>
        <w:adjustRightInd w:val="0"/>
        <w:snapToGrid w:val="0"/>
        <w:spacing w:line="300" w:lineRule="auto"/>
        <w:jc w:val="right"/>
        <w:rPr>
          <w:snapToGrid w:val="0"/>
          <w:kern w:val="0"/>
        </w:rPr>
      </w:pPr>
    </w:p>
    <w:p w14:paraId="4D123254">
      <w:pPr>
        <w:adjustRightInd w:val="0"/>
        <w:snapToGrid w:val="0"/>
        <w:spacing w:line="300" w:lineRule="auto"/>
        <w:jc w:val="left"/>
        <w:rPr>
          <w:snapToGrid w:val="0"/>
          <w:kern w:val="0"/>
        </w:rPr>
      </w:pPr>
    </w:p>
    <w:p w14:paraId="2EB1B003">
      <w:pPr>
        <w:adjustRightInd w:val="0"/>
        <w:snapToGrid w:val="0"/>
        <w:spacing w:line="300" w:lineRule="auto"/>
        <w:jc w:val="right"/>
        <w:rPr>
          <w:snapToGrid w:val="0"/>
          <w:kern w:val="0"/>
        </w:rPr>
      </w:pPr>
    </w:p>
    <w:p w14:paraId="68AB3EAC">
      <w:pPr>
        <w:adjustRightInd w:val="0"/>
        <w:snapToGrid w:val="0"/>
        <w:spacing w:line="300" w:lineRule="auto"/>
        <w:jc w:val="right"/>
        <w:rPr>
          <w:snapToGrid w:val="0"/>
          <w:kern w:val="0"/>
        </w:rPr>
      </w:pPr>
    </w:p>
    <w:p w14:paraId="0D4046AB">
      <w:pPr>
        <w:adjustRightInd w:val="0"/>
        <w:snapToGrid w:val="0"/>
        <w:spacing w:line="300" w:lineRule="auto"/>
        <w:jc w:val="right"/>
        <w:rPr>
          <w:snapToGrid w:val="0"/>
          <w:kern w:val="0"/>
        </w:rPr>
      </w:pPr>
    </w:p>
    <w:p w14:paraId="2EDCC8B6"/>
    <w:p w14:paraId="6E8DA566">
      <w:pPr>
        <w:pStyle w:val="5"/>
        <w:tabs>
          <w:tab w:val="left" w:pos="371"/>
        </w:tabs>
        <w:spacing w:before="120" w:after="120"/>
        <w:ind w:left="-1" w:leftChars="-1" w:hanging="1"/>
        <w:jc w:val="center"/>
        <w:rPr>
          <w:rFonts w:ascii="宋体" w:hAnsi="宋体"/>
        </w:rPr>
      </w:pPr>
      <w:bookmarkStart w:id="83" w:name="_Toc171350605"/>
      <w:bookmarkStart w:id="84" w:name="_Toc135293189"/>
    </w:p>
    <w:p w14:paraId="5F2E2AC5">
      <w:pPr>
        <w:rPr>
          <w:rFonts w:ascii="宋体" w:hAnsi="宋体"/>
        </w:rPr>
      </w:pPr>
    </w:p>
    <w:p w14:paraId="15CF49D7">
      <w:pPr>
        <w:rPr>
          <w:rFonts w:ascii="宋体" w:hAnsi="宋体"/>
        </w:rPr>
      </w:pPr>
    </w:p>
    <w:p w14:paraId="0E04ECB9">
      <w:pPr>
        <w:rPr>
          <w:rFonts w:ascii="宋体" w:hAnsi="宋体"/>
        </w:rPr>
      </w:pPr>
    </w:p>
    <w:p w14:paraId="22F4CBD6">
      <w:pPr>
        <w:rPr>
          <w:rFonts w:ascii="宋体" w:hAnsi="宋体"/>
        </w:rPr>
      </w:pPr>
    </w:p>
    <w:p w14:paraId="19974481">
      <w:pPr>
        <w:rPr>
          <w:rFonts w:ascii="宋体" w:hAnsi="宋体"/>
        </w:rPr>
      </w:pPr>
    </w:p>
    <w:p w14:paraId="0EAD92DD">
      <w:pPr>
        <w:pStyle w:val="5"/>
        <w:tabs>
          <w:tab w:val="left" w:pos="371"/>
        </w:tabs>
        <w:spacing w:before="120" w:after="120"/>
        <w:ind w:left="-1" w:leftChars="-1" w:hanging="1"/>
        <w:jc w:val="center"/>
        <w:rPr>
          <w:rFonts w:ascii="宋体" w:hAnsi="宋体"/>
        </w:rPr>
      </w:pPr>
      <w:r>
        <w:rPr>
          <w:rFonts w:ascii="宋体" w:hAnsi="宋体"/>
        </w:rPr>
        <w:t>格式</w:t>
      </w:r>
      <w:r>
        <w:rPr>
          <w:rFonts w:hint="eastAsia" w:ascii="宋体" w:hAnsi="宋体"/>
        </w:rPr>
        <w:t>8投标人情况介绍</w:t>
      </w:r>
      <w:bookmarkEnd w:id="83"/>
      <w:bookmarkEnd w:id="84"/>
    </w:p>
    <w:p w14:paraId="14938443"/>
    <w:p w14:paraId="0E546794">
      <w:pPr>
        <w:adjustRightInd w:val="0"/>
        <w:snapToGrid w:val="0"/>
        <w:spacing w:line="360" w:lineRule="auto"/>
        <w:rPr>
          <w:rFonts w:ascii="宋体" w:hAnsi="宋体"/>
          <w:bCs/>
          <w:snapToGrid w:val="0"/>
          <w:kern w:val="0"/>
          <w:szCs w:val="21"/>
        </w:rPr>
      </w:pPr>
      <w:r>
        <w:rPr>
          <w:rFonts w:ascii="宋体" w:hAnsi="宋体"/>
          <w:bCs/>
          <w:snapToGrid w:val="0"/>
          <w:kern w:val="0"/>
        </w:rPr>
        <w:t>1、</w:t>
      </w:r>
      <w:r>
        <w:rPr>
          <w:rFonts w:hint="eastAsia" w:ascii="宋体" w:hAnsi="宋体"/>
          <w:bCs/>
          <w:snapToGrid w:val="0"/>
          <w:kern w:val="0"/>
        </w:rPr>
        <w:t>投标人基本情况简介，格式自拟，包括但不限于经营范围、依法纳税记录等；</w:t>
      </w:r>
    </w:p>
    <w:p w14:paraId="74649919">
      <w:pPr>
        <w:adjustRightInd w:val="0"/>
        <w:snapToGrid w:val="0"/>
        <w:spacing w:line="360" w:lineRule="auto"/>
        <w:rPr>
          <w:rFonts w:ascii="宋体" w:hAnsi="宋体"/>
          <w:bCs/>
          <w:snapToGrid w:val="0"/>
          <w:kern w:val="0"/>
          <w:szCs w:val="21"/>
        </w:rPr>
      </w:pPr>
    </w:p>
    <w:p w14:paraId="098E37C0">
      <w:pPr>
        <w:adjustRightInd w:val="0"/>
        <w:snapToGrid w:val="0"/>
        <w:spacing w:line="360" w:lineRule="auto"/>
        <w:rPr>
          <w:rFonts w:ascii="宋体" w:hAnsi="宋体"/>
          <w:snapToGrid w:val="0"/>
          <w:kern w:val="0"/>
          <w:szCs w:val="21"/>
        </w:rPr>
      </w:pPr>
      <w:r>
        <w:rPr>
          <w:rFonts w:hint="eastAsia" w:ascii="宋体" w:hAnsi="宋体"/>
          <w:bCs/>
          <w:snapToGrid w:val="0"/>
          <w:kern w:val="0"/>
          <w:szCs w:val="21"/>
        </w:rPr>
        <w:t>2、</w:t>
      </w:r>
      <w:r>
        <w:rPr>
          <w:rFonts w:hint="eastAsia" w:ascii="宋体" w:hAnsi="宋体"/>
          <w:bCs/>
          <w:snapToGrid w:val="0"/>
          <w:kern w:val="0"/>
        </w:rPr>
        <w:t>投标人认为有必要提供的其他文件。</w:t>
      </w:r>
    </w:p>
    <w:p w14:paraId="6642FF3D">
      <w:pPr>
        <w:adjustRightInd w:val="0"/>
        <w:snapToGrid w:val="0"/>
        <w:spacing w:line="360" w:lineRule="auto"/>
        <w:rPr>
          <w:bCs/>
          <w:snapToGrid w:val="0"/>
          <w:kern w:val="0"/>
        </w:rPr>
      </w:pPr>
    </w:p>
    <w:p w14:paraId="31EF7FF9">
      <w:pPr>
        <w:adjustRightInd w:val="0"/>
        <w:snapToGrid w:val="0"/>
        <w:spacing w:line="360" w:lineRule="auto"/>
        <w:rPr>
          <w:rFonts w:eastAsia="楷体_GB2312"/>
          <w:b/>
          <w:bCs/>
          <w:snapToGrid w:val="0"/>
          <w:kern w:val="0"/>
        </w:rPr>
      </w:pPr>
      <w:r>
        <w:rPr>
          <w:rFonts w:hint="eastAsia" w:eastAsia="楷体_GB2312"/>
          <w:b/>
          <w:bCs/>
          <w:snapToGrid w:val="0"/>
          <w:kern w:val="0"/>
        </w:rPr>
        <w:t>注：投标人提供的以上资料若为复印件或扫描件需加盖投标人公章</w:t>
      </w:r>
    </w:p>
    <w:p w14:paraId="5C95DD03">
      <w:pPr>
        <w:rPr>
          <w:rFonts w:ascii="宋体" w:hAnsi="宋体"/>
          <w:sz w:val="28"/>
        </w:rPr>
      </w:pPr>
    </w:p>
    <w:p w14:paraId="523F40AB"/>
    <w:p w14:paraId="6949D91F"/>
    <w:p w14:paraId="62B7702B"/>
    <w:p w14:paraId="046BE5F9"/>
    <w:p w14:paraId="2155F482"/>
    <w:p w14:paraId="192E2C76"/>
    <w:p w14:paraId="57998B04"/>
    <w:p w14:paraId="6AC33744"/>
    <w:p w14:paraId="4A4ED7F6"/>
    <w:p w14:paraId="0077E738"/>
    <w:p w14:paraId="49A87CDB"/>
    <w:p w14:paraId="30C2C168"/>
    <w:p w14:paraId="6E40ADA2"/>
    <w:p w14:paraId="10844E00"/>
    <w:p w14:paraId="48C0143E"/>
    <w:p w14:paraId="178831A3"/>
    <w:p w14:paraId="56D2C389"/>
    <w:p w14:paraId="09D22596"/>
    <w:p w14:paraId="1F6A57F0"/>
    <w:p w14:paraId="0AD69532"/>
    <w:p w14:paraId="31C53359"/>
    <w:p w14:paraId="00843D25"/>
    <w:p w14:paraId="059DF69F"/>
    <w:p w14:paraId="235D53A9"/>
    <w:p w14:paraId="6F735335"/>
    <w:p w14:paraId="03328E6A"/>
    <w:p w14:paraId="01CCACEA"/>
    <w:p w14:paraId="4429FAC5"/>
    <w:p w14:paraId="13B4BDA2">
      <w:pPr>
        <w:pStyle w:val="5"/>
        <w:tabs>
          <w:tab w:val="left" w:pos="371"/>
        </w:tabs>
        <w:spacing w:before="120" w:after="120"/>
        <w:ind w:left="-1" w:leftChars="-1" w:hanging="1"/>
        <w:jc w:val="center"/>
        <w:rPr>
          <w:rFonts w:ascii="宋体" w:hAnsi="宋体"/>
        </w:rPr>
      </w:pPr>
      <w:bookmarkStart w:id="85" w:name="_Toc44690436"/>
      <w:bookmarkStart w:id="86" w:name="_Toc135293190"/>
      <w:bookmarkStart w:id="87" w:name="_Toc44690709"/>
      <w:bookmarkStart w:id="88" w:name="_Toc171350606"/>
      <w:bookmarkStart w:id="89" w:name="_Toc44691168"/>
      <w:bookmarkStart w:id="90" w:name="_Toc44691400"/>
    </w:p>
    <w:p w14:paraId="0967249F">
      <w:pPr>
        <w:pStyle w:val="5"/>
        <w:tabs>
          <w:tab w:val="left" w:pos="371"/>
        </w:tabs>
        <w:spacing w:before="120" w:after="120"/>
        <w:ind w:left="-1" w:leftChars="-1" w:hanging="1"/>
        <w:jc w:val="center"/>
        <w:rPr>
          <w:rFonts w:ascii="宋体" w:hAnsi="宋体"/>
        </w:rPr>
        <w:sectPr>
          <w:pgSz w:w="11906" w:h="16838"/>
          <w:pgMar w:top="1134" w:right="1134" w:bottom="1134" w:left="1134" w:header="851" w:footer="992" w:gutter="0"/>
          <w:cols w:space="720" w:num="1"/>
          <w:titlePg/>
          <w:docGrid w:type="lines" w:linePitch="312" w:charSpace="0"/>
        </w:sectPr>
      </w:pPr>
    </w:p>
    <w:p w14:paraId="2AD0DDDD">
      <w:pPr>
        <w:pStyle w:val="5"/>
        <w:tabs>
          <w:tab w:val="left" w:pos="371"/>
        </w:tabs>
        <w:spacing w:before="120" w:after="120"/>
        <w:ind w:left="-1" w:leftChars="-1" w:hanging="1"/>
        <w:jc w:val="center"/>
        <w:rPr>
          <w:rFonts w:ascii="宋体" w:hAnsi="宋体"/>
        </w:rPr>
      </w:pPr>
      <w:r>
        <w:rPr>
          <w:rFonts w:hint="eastAsia" w:ascii="宋体" w:hAnsi="宋体"/>
        </w:rPr>
        <w:t>格式9  偏离表</w:t>
      </w:r>
      <w:bookmarkEnd w:id="85"/>
      <w:bookmarkEnd w:id="86"/>
      <w:bookmarkEnd w:id="87"/>
      <w:bookmarkEnd w:id="88"/>
      <w:bookmarkEnd w:id="89"/>
      <w:bookmarkEnd w:id="90"/>
    </w:p>
    <w:p w14:paraId="250E7096">
      <w:pPr>
        <w:adjustRightInd w:val="0"/>
        <w:snapToGrid w:val="0"/>
        <w:spacing w:line="360" w:lineRule="auto"/>
        <w:rPr>
          <w:rFonts w:ascii="宋体" w:hAnsi="宋体"/>
        </w:rPr>
      </w:pPr>
    </w:p>
    <w:p w14:paraId="07A52AA8">
      <w:pPr>
        <w:snapToGrid w:val="0"/>
        <w:spacing w:line="360" w:lineRule="auto"/>
        <w:jc w:val="center"/>
        <w:rPr>
          <w:b/>
          <w:bCs/>
        </w:rPr>
      </w:pPr>
      <w:r>
        <w:rPr>
          <w:rFonts w:hint="eastAsia"/>
          <w:b/>
          <w:bCs/>
        </w:rPr>
        <w:t>服务要求偏离表</w:t>
      </w:r>
    </w:p>
    <w:tbl>
      <w:tblPr>
        <w:tblStyle w:val="50"/>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482"/>
        <w:gridCol w:w="1701"/>
        <w:gridCol w:w="1275"/>
        <w:gridCol w:w="2304"/>
      </w:tblGrid>
      <w:tr w14:paraId="4DBF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77D5B2B1">
            <w:pPr>
              <w:spacing w:line="360" w:lineRule="auto"/>
              <w:jc w:val="center"/>
              <w:rPr>
                <w:rFonts w:ascii="宋体" w:hAnsi="宋体"/>
                <w:szCs w:val="21"/>
              </w:rPr>
            </w:pPr>
            <w:r>
              <w:rPr>
                <w:rFonts w:hint="eastAsia" w:ascii="宋体" w:hAnsi="宋体"/>
                <w:szCs w:val="21"/>
              </w:rPr>
              <w:t>序号</w:t>
            </w:r>
          </w:p>
        </w:tc>
        <w:tc>
          <w:tcPr>
            <w:tcW w:w="2482" w:type="dxa"/>
            <w:vAlign w:val="center"/>
          </w:tcPr>
          <w:p w14:paraId="5012525E">
            <w:pPr>
              <w:spacing w:line="360" w:lineRule="auto"/>
              <w:jc w:val="center"/>
              <w:rPr>
                <w:rFonts w:ascii="宋体" w:hAnsi="宋体"/>
                <w:szCs w:val="21"/>
              </w:rPr>
            </w:pPr>
            <w:r>
              <w:rPr>
                <w:rFonts w:hint="eastAsia" w:ascii="宋体" w:hAnsi="宋体"/>
                <w:szCs w:val="21"/>
              </w:rPr>
              <w:t>招标服务要求</w:t>
            </w:r>
          </w:p>
        </w:tc>
        <w:tc>
          <w:tcPr>
            <w:tcW w:w="1701" w:type="dxa"/>
            <w:vAlign w:val="center"/>
          </w:tcPr>
          <w:p w14:paraId="307A4B87">
            <w:pPr>
              <w:spacing w:line="360" w:lineRule="auto"/>
              <w:jc w:val="center"/>
              <w:rPr>
                <w:rFonts w:ascii="宋体" w:hAnsi="宋体"/>
                <w:szCs w:val="21"/>
              </w:rPr>
            </w:pPr>
            <w:r>
              <w:rPr>
                <w:rFonts w:hint="eastAsia" w:ascii="宋体" w:hAnsi="宋体"/>
                <w:szCs w:val="21"/>
              </w:rPr>
              <w:t>投标服务响应</w:t>
            </w:r>
          </w:p>
        </w:tc>
        <w:tc>
          <w:tcPr>
            <w:tcW w:w="1275" w:type="dxa"/>
            <w:vAlign w:val="center"/>
          </w:tcPr>
          <w:p w14:paraId="5AEEFC34">
            <w:pPr>
              <w:spacing w:line="360" w:lineRule="auto"/>
              <w:jc w:val="center"/>
              <w:rPr>
                <w:rFonts w:ascii="宋体" w:hAnsi="宋体"/>
                <w:szCs w:val="21"/>
              </w:rPr>
            </w:pPr>
            <w:r>
              <w:rPr>
                <w:rFonts w:hint="eastAsia" w:ascii="宋体" w:hAnsi="宋体"/>
                <w:szCs w:val="21"/>
              </w:rPr>
              <w:t>偏离情况</w:t>
            </w:r>
          </w:p>
        </w:tc>
        <w:tc>
          <w:tcPr>
            <w:tcW w:w="2304" w:type="dxa"/>
            <w:vAlign w:val="center"/>
          </w:tcPr>
          <w:p w14:paraId="4B013EE7">
            <w:pPr>
              <w:spacing w:line="360" w:lineRule="auto"/>
              <w:jc w:val="center"/>
              <w:rPr>
                <w:rFonts w:ascii="宋体" w:hAnsi="宋体"/>
                <w:szCs w:val="21"/>
              </w:rPr>
            </w:pPr>
            <w:r>
              <w:rPr>
                <w:rFonts w:hint="eastAsia" w:ascii="宋体" w:hAnsi="宋体"/>
                <w:szCs w:val="21"/>
              </w:rPr>
              <w:t>说明</w:t>
            </w:r>
          </w:p>
        </w:tc>
      </w:tr>
      <w:tr w14:paraId="00AF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729ACD08">
            <w:pPr>
              <w:spacing w:line="360" w:lineRule="auto"/>
              <w:jc w:val="center"/>
              <w:rPr>
                <w:rFonts w:ascii="宋体" w:hAnsi="宋体"/>
                <w:szCs w:val="21"/>
              </w:rPr>
            </w:pPr>
          </w:p>
        </w:tc>
        <w:tc>
          <w:tcPr>
            <w:tcW w:w="2482" w:type="dxa"/>
            <w:vAlign w:val="center"/>
          </w:tcPr>
          <w:p w14:paraId="4B7E70EC">
            <w:pPr>
              <w:spacing w:line="360" w:lineRule="auto"/>
              <w:jc w:val="center"/>
              <w:rPr>
                <w:rFonts w:ascii="宋体" w:hAnsi="宋体"/>
                <w:szCs w:val="21"/>
              </w:rPr>
            </w:pPr>
          </w:p>
        </w:tc>
        <w:tc>
          <w:tcPr>
            <w:tcW w:w="1701" w:type="dxa"/>
            <w:vAlign w:val="center"/>
          </w:tcPr>
          <w:p w14:paraId="2C55C467">
            <w:pPr>
              <w:spacing w:line="360" w:lineRule="auto"/>
              <w:jc w:val="center"/>
              <w:rPr>
                <w:rFonts w:ascii="宋体" w:hAnsi="宋体"/>
                <w:szCs w:val="21"/>
              </w:rPr>
            </w:pPr>
          </w:p>
        </w:tc>
        <w:tc>
          <w:tcPr>
            <w:tcW w:w="1275" w:type="dxa"/>
            <w:vAlign w:val="center"/>
          </w:tcPr>
          <w:p w14:paraId="1BD0D5A7">
            <w:pPr>
              <w:spacing w:line="360" w:lineRule="auto"/>
              <w:jc w:val="center"/>
              <w:rPr>
                <w:rFonts w:ascii="宋体" w:hAnsi="宋体"/>
                <w:szCs w:val="21"/>
              </w:rPr>
            </w:pPr>
          </w:p>
        </w:tc>
        <w:tc>
          <w:tcPr>
            <w:tcW w:w="2304" w:type="dxa"/>
            <w:vAlign w:val="center"/>
          </w:tcPr>
          <w:p w14:paraId="0A4C32B4">
            <w:pPr>
              <w:jc w:val="center"/>
              <w:rPr>
                <w:rFonts w:ascii="宋体" w:hAnsi="宋体"/>
                <w:szCs w:val="21"/>
              </w:rPr>
            </w:pPr>
            <w:r>
              <w:rPr>
                <w:rFonts w:hint="eastAsia" w:ascii="宋体" w:hAnsi="宋体"/>
                <w:szCs w:val="21"/>
              </w:rPr>
              <w:t>如需附证明文件，应在</w:t>
            </w:r>
            <w:r>
              <w:rPr>
                <w:rFonts w:hint="eastAsia"/>
                <w:szCs w:val="21"/>
              </w:rPr>
              <w:t>“说明”</w:t>
            </w:r>
            <w:r>
              <w:rPr>
                <w:rFonts w:hint="eastAsia" w:ascii="宋体" w:hAnsi="宋体"/>
                <w:szCs w:val="21"/>
              </w:rPr>
              <w:t>栏填写证明文件对应名称和页码。</w:t>
            </w:r>
          </w:p>
        </w:tc>
      </w:tr>
      <w:tr w14:paraId="1005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01D421DD">
            <w:pPr>
              <w:spacing w:line="360" w:lineRule="auto"/>
              <w:jc w:val="center"/>
              <w:rPr>
                <w:rFonts w:ascii="宋体" w:hAnsi="宋体"/>
                <w:szCs w:val="21"/>
              </w:rPr>
            </w:pPr>
          </w:p>
        </w:tc>
        <w:tc>
          <w:tcPr>
            <w:tcW w:w="2482" w:type="dxa"/>
            <w:vAlign w:val="center"/>
          </w:tcPr>
          <w:p w14:paraId="71E449DB">
            <w:pPr>
              <w:spacing w:line="360" w:lineRule="auto"/>
              <w:jc w:val="center"/>
              <w:rPr>
                <w:rFonts w:ascii="宋体" w:hAnsi="宋体"/>
                <w:szCs w:val="21"/>
              </w:rPr>
            </w:pPr>
          </w:p>
        </w:tc>
        <w:tc>
          <w:tcPr>
            <w:tcW w:w="1701" w:type="dxa"/>
            <w:vAlign w:val="center"/>
          </w:tcPr>
          <w:p w14:paraId="5BD92D71">
            <w:pPr>
              <w:spacing w:line="360" w:lineRule="auto"/>
              <w:jc w:val="center"/>
              <w:rPr>
                <w:rFonts w:ascii="宋体" w:hAnsi="宋体"/>
                <w:szCs w:val="21"/>
              </w:rPr>
            </w:pPr>
          </w:p>
        </w:tc>
        <w:tc>
          <w:tcPr>
            <w:tcW w:w="1275" w:type="dxa"/>
            <w:vAlign w:val="center"/>
          </w:tcPr>
          <w:p w14:paraId="6D91353C">
            <w:pPr>
              <w:spacing w:line="360" w:lineRule="auto"/>
              <w:jc w:val="center"/>
              <w:rPr>
                <w:rFonts w:ascii="宋体" w:hAnsi="宋体"/>
                <w:szCs w:val="21"/>
              </w:rPr>
            </w:pPr>
          </w:p>
        </w:tc>
        <w:tc>
          <w:tcPr>
            <w:tcW w:w="2304" w:type="dxa"/>
            <w:vAlign w:val="center"/>
          </w:tcPr>
          <w:p w14:paraId="2604027C">
            <w:pPr>
              <w:spacing w:line="360" w:lineRule="auto"/>
              <w:jc w:val="center"/>
              <w:rPr>
                <w:rFonts w:ascii="宋体" w:hAnsi="宋体"/>
                <w:szCs w:val="21"/>
              </w:rPr>
            </w:pPr>
          </w:p>
        </w:tc>
      </w:tr>
      <w:tr w14:paraId="457D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7142E024">
            <w:pPr>
              <w:spacing w:line="360" w:lineRule="auto"/>
              <w:jc w:val="center"/>
              <w:rPr>
                <w:rFonts w:ascii="宋体" w:hAnsi="宋体"/>
                <w:szCs w:val="21"/>
              </w:rPr>
            </w:pPr>
          </w:p>
        </w:tc>
        <w:tc>
          <w:tcPr>
            <w:tcW w:w="2482" w:type="dxa"/>
            <w:vAlign w:val="center"/>
          </w:tcPr>
          <w:p w14:paraId="7A73F05F">
            <w:pPr>
              <w:spacing w:line="360" w:lineRule="auto"/>
              <w:jc w:val="center"/>
              <w:rPr>
                <w:rFonts w:ascii="宋体" w:hAnsi="宋体"/>
                <w:szCs w:val="21"/>
              </w:rPr>
            </w:pPr>
          </w:p>
        </w:tc>
        <w:tc>
          <w:tcPr>
            <w:tcW w:w="1701" w:type="dxa"/>
            <w:vAlign w:val="center"/>
          </w:tcPr>
          <w:p w14:paraId="2F442528">
            <w:pPr>
              <w:spacing w:line="360" w:lineRule="auto"/>
              <w:jc w:val="center"/>
              <w:rPr>
                <w:rFonts w:ascii="宋体" w:hAnsi="宋体"/>
                <w:szCs w:val="21"/>
              </w:rPr>
            </w:pPr>
          </w:p>
        </w:tc>
        <w:tc>
          <w:tcPr>
            <w:tcW w:w="1275" w:type="dxa"/>
            <w:vAlign w:val="center"/>
          </w:tcPr>
          <w:p w14:paraId="4EF1C160">
            <w:pPr>
              <w:spacing w:line="360" w:lineRule="auto"/>
              <w:jc w:val="center"/>
              <w:rPr>
                <w:rFonts w:ascii="宋体" w:hAnsi="宋体"/>
                <w:szCs w:val="21"/>
              </w:rPr>
            </w:pPr>
          </w:p>
        </w:tc>
        <w:tc>
          <w:tcPr>
            <w:tcW w:w="2304" w:type="dxa"/>
            <w:vAlign w:val="center"/>
          </w:tcPr>
          <w:p w14:paraId="05CDE69F">
            <w:pPr>
              <w:spacing w:line="360" w:lineRule="auto"/>
              <w:jc w:val="center"/>
              <w:rPr>
                <w:rFonts w:ascii="宋体" w:hAnsi="宋体"/>
                <w:szCs w:val="21"/>
              </w:rPr>
            </w:pPr>
          </w:p>
        </w:tc>
      </w:tr>
      <w:tr w14:paraId="054F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17878AA8">
            <w:pPr>
              <w:spacing w:line="360" w:lineRule="auto"/>
              <w:jc w:val="center"/>
              <w:rPr>
                <w:rFonts w:ascii="宋体" w:hAnsi="宋体"/>
                <w:szCs w:val="21"/>
              </w:rPr>
            </w:pPr>
          </w:p>
        </w:tc>
        <w:tc>
          <w:tcPr>
            <w:tcW w:w="2482" w:type="dxa"/>
            <w:vAlign w:val="center"/>
          </w:tcPr>
          <w:p w14:paraId="201F37A8">
            <w:pPr>
              <w:spacing w:line="360" w:lineRule="auto"/>
              <w:jc w:val="center"/>
              <w:rPr>
                <w:rFonts w:ascii="宋体" w:hAnsi="宋体"/>
                <w:szCs w:val="21"/>
              </w:rPr>
            </w:pPr>
          </w:p>
        </w:tc>
        <w:tc>
          <w:tcPr>
            <w:tcW w:w="1701" w:type="dxa"/>
            <w:vAlign w:val="center"/>
          </w:tcPr>
          <w:p w14:paraId="2E80B3ED">
            <w:pPr>
              <w:spacing w:line="360" w:lineRule="auto"/>
              <w:jc w:val="center"/>
              <w:rPr>
                <w:rFonts w:ascii="宋体" w:hAnsi="宋体"/>
                <w:szCs w:val="21"/>
              </w:rPr>
            </w:pPr>
          </w:p>
        </w:tc>
        <w:tc>
          <w:tcPr>
            <w:tcW w:w="1275" w:type="dxa"/>
            <w:vAlign w:val="center"/>
          </w:tcPr>
          <w:p w14:paraId="6ABBB00A">
            <w:pPr>
              <w:spacing w:line="360" w:lineRule="auto"/>
              <w:jc w:val="center"/>
              <w:rPr>
                <w:rFonts w:ascii="宋体" w:hAnsi="宋体"/>
                <w:szCs w:val="21"/>
              </w:rPr>
            </w:pPr>
          </w:p>
        </w:tc>
        <w:tc>
          <w:tcPr>
            <w:tcW w:w="2304" w:type="dxa"/>
            <w:vAlign w:val="center"/>
          </w:tcPr>
          <w:p w14:paraId="4EB5A9DD">
            <w:pPr>
              <w:spacing w:line="360" w:lineRule="auto"/>
              <w:jc w:val="center"/>
              <w:rPr>
                <w:rFonts w:ascii="宋体" w:hAnsi="宋体"/>
                <w:szCs w:val="21"/>
              </w:rPr>
            </w:pPr>
          </w:p>
        </w:tc>
      </w:tr>
    </w:tbl>
    <w:p w14:paraId="5F826071">
      <w:pPr>
        <w:spacing w:line="400" w:lineRule="exact"/>
        <w:rPr>
          <w:rFonts w:ascii="宋体" w:hAnsi="宋体" w:cs="Arial"/>
          <w:b/>
          <w:bCs/>
          <w:szCs w:val="21"/>
        </w:rPr>
      </w:pPr>
      <w:r>
        <w:rPr>
          <w:rFonts w:hint="eastAsia" w:ascii="宋体" w:hAnsi="宋体" w:cs="Arial"/>
          <w:bCs/>
          <w:szCs w:val="21"/>
        </w:rPr>
        <w:t>备注：1、“</w:t>
      </w:r>
      <w:r>
        <w:rPr>
          <w:rFonts w:hint="eastAsia" w:ascii="宋体" w:hAnsi="宋体"/>
          <w:szCs w:val="21"/>
        </w:rPr>
        <w:t>招标服务要求</w:t>
      </w:r>
      <w:r>
        <w:rPr>
          <w:rFonts w:hint="eastAsia" w:ascii="宋体" w:hAnsi="宋体" w:cs="Arial"/>
          <w:bCs/>
          <w:szCs w:val="21"/>
        </w:rPr>
        <w:t>”一栏逐一列出招标文件第二章《项目需求》中</w:t>
      </w:r>
      <w:r>
        <w:rPr>
          <w:rFonts w:hint="eastAsia" w:ascii="宋体" w:hAnsi="宋体" w:cs="Arial"/>
          <w:b/>
          <w:bCs/>
          <w:szCs w:val="21"/>
        </w:rPr>
        <w:t>“二、</w:t>
      </w:r>
      <w:r>
        <w:rPr>
          <w:rFonts w:hint="eastAsia"/>
          <w:b/>
        </w:rPr>
        <w:t>项目服务要求</w:t>
      </w:r>
      <w:r>
        <w:rPr>
          <w:rFonts w:hint="eastAsia" w:ascii="宋体" w:hAnsi="宋体" w:cs="Arial"/>
          <w:b/>
          <w:bCs/>
          <w:szCs w:val="21"/>
        </w:rPr>
        <w:t>”</w:t>
      </w:r>
      <w:r>
        <w:rPr>
          <w:rFonts w:hint="eastAsia" w:ascii="宋体" w:hAnsi="宋体" w:cs="Arial"/>
          <w:bCs/>
          <w:szCs w:val="21"/>
        </w:rPr>
        <w:t>的内容；“</w:t>
      </w:r>
      <w:r>
        <w:rPr>
          <w:rFonts w:hint="eastAsia" w:ascii="宋体" w:hAnsi="宋体"/>
          <w:szCs w:val="21"/>
        </w:rPr>
        <w:t>投标服务响应</w:t>
      </w:r>
      <w:r>
        <w:rPr>
          <w:rFonts w:hint="eastAsia" w:ascii="宋体" w:hAnsi="宋体" w:cs="Arial"/>
          <w:bCs/>
          <w:szCs w:val="21"/>
        </w:rPr>
        <w:t>”一栏应详细填写投标的具体响应情况。</w:t>
      </w:r>
    </w:p>
    <w:p w14:paraId="5AD69AF0">
      <w:pPr>
        <w:spacing w:line="400" w:lineRule="exact"/>
        <w:ind w:firstLine="424" w:firstLineChars="202"/>
        <w:rPr>
          <w:rFonts w:ascii="宋体" w:hAnsi="宋体" w:cs="Arial"/>
          <w:bCs/>
          <w:szCs w:val="21"/>
        </w:rPr>
      </w:pPr>
      <w:r>
        <w:rPr>
          <w:rFonts w:hint="eastAsia" w:ascii="宋体" w:hAnsi="宋体" w:cs="Arial"/>
          <w:bCs/>
          <w:szCs w:val="21"/>
        </w:rPr>
        <w:t>2、“偏离情况”栏中应如实填写“正偏离”、“负偏离”或“无偏离”。</w:t>
      </w:r>
      <w:r>
        <w:rPr>
          <w:rFonts w:hint="eastAsia" w:ascii="宋体" w:hAnsi="宋体"/>
          <w:kern w:val="0"/>
          <w:szCs w:val="21"/>
        </w:rPr>
        <w:t>★</w:t>
      </w:r>
      <w:r>
        <w:rPr>
          <w:rFonts w:hint="eastAsia" w:ascii="宋体" w:hAnsi="宋体"/>
          <w:szCs w:val="21"/>
        </w:rPr>
        <w:t>条款为不可负偏离的实质性条款，投标文件响应为“负偏离”或未响应的，投标文件将按无效投标处理。</w:t>
      </w:r>
    </w:p>
    <w:p w14:paraId="5183C0AF">
      <w:pPr>
        <w:spacing w:line="400" w:lineRule="exact"/>
        <w:ind w:firstLine="424" w:firstLineChars="202"/>
        <w:rPr>
          <w:rFonts w:ascii="宋体" w:hAnsi="宋体"/>
          <w:szCs w:val="21"/>
        </w:rPr>
      </w:pPr>
      <w:r>
        <w:rPr>
          <w:rFonts w:hint="eastAsia" w:ascii="宋体" w:hAnsi="宋体" w:cs="Arial"/>
          <w:bCs/>
          <w:szCs w:val="21"/>
        </w:rPr>
        <w:t>3、</w:t>
      </w:r>
      <w:r>
        <w:rPr>
          <w:rFonts w:hint="eastAsia" w:ascii="宋体" w:hAnsi="宋体" w:cs="宋体"/>
          <w:bCs/>
          <w:szCs w:val="21"/>
        </w:rPr>
        <w:t>如采购文件要求提供证明材料，</w:t>
      </w:r>
      <w:r>
        <w:rPr>
          <w:rFonts w:hint="eastAsia" w:ascii="宋体" w:hAnsi="宋体"/>
          <w:szCs w:val="21"/>
        </w:rPr>
        <w:t>投标人应在“说明”一栏中列出证明资料名称，并注明该证明资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w:t>
      </w:r>
    </w:p>
    <w:p w14:paraId="6230FFAE">
      <w:pPr>
        <w:adjustRightInd w:val="0"/>
        <w:snapToGrid w:val="0"/>
        <w:spacing w:line="360" w:lineRule="auto"/>
        <w:rPr>
          <w:bCs/>
          <w:snapToGrid w:val="0"/>
        </w:rPr>
      </w:pPr>
    </w:p>
    <w:p w14:paraId="4F25C7D4">
      <w:pPr>
        <w:snapToGrid w:val="0"/>
        <w:spacing w:line="360" w:lineRule="auto"/>
        <w:jc w:val="center"/>
        <w:rPr>
          <w:b/>
        </w:rPr>
      </w:pPr>
      <w:r>
        <w:rPr>
          <w:rFonts w:hint="eastAsia"/>
          <w:b/>
        </w:rPr>
        <w:t>商务条款偏离表</w:t>
      </w:r>
    </w:p>
    <w:tbl>
      <w:tblPr>
        <w:tblStyle w:val="50"/>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903"/>
        <w:gridCol w:w="2580"/>
        <w:gridCol w:w="1699"/>
        <w:gridCol w:w="1429"/>
      </w:tblGrid>
      <w:tr w14:paraId="78EE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Align w:val="center"/>
          </w:tcPr>
          <w:p w14:paraId="10ABEBC8">
            <w:pPr>
              <w:spacing w:line="360" w:lineRule="auto"/>
              <w:jc w:val="center"/>
              <w:rPr>
                <w:rFonts w:ascii="宋体" w:hAnsi="宋体"/>
                <w:szCs w:val="21"/>
              </w:rPr>
            </w:pPr>
            <w:r>
              <w:rPr>
                <w:rFonts w:hint="eastAsia" w:ascii="宋体" w:hAnsi="宋体"/>
                <w:szCs w:val="21"/>
              </w:rPr>
              <w:t>序号</w:t>
            </w:r>
          </w:p>
        </w:tc>
        <w:tc>
          <w:tcPr>
            <w:tcW w:w="2903" w:type="dxa"/>
            <w:vAlign w:val="center"/>
          </w:tcPr>
          <w:p w14:paraId="6169BC3E">
            <w:pPr>
              <w:spacing w:line="360" w:lineRule="auto"/>
              <w:jc w:val="center"/>
              <w:rPr>
                <w:rFonts w:ascii="宋体" w:hAnsi="宋体"/>
                <w:szCs w:val="21"/>
              </w:rPr>
            </w:pPr>
            <w:r>
              <w:rPr>
                <w:rFonts w:hint="eastAsia" w:ascii="宋体" w:hAnsi="宋体"/>
                <w:szCs w:val="21"/>
              </w:rPr>
              <w:t>招标商务要求</w:t>
            </w:r>
          </w:p>
        </w:tc>
        <w:tc>
          <w:tcPr>
            <w:tcW w:w="2580" w:type="dxa"/>
            <w:vAlign w:val="center"/>
          </w:tcPr>
          <w:p w14:paraId="70B3E968">
            <w:pPr>
              <w:spacing w:line="360" w:lineRule="auto"/>
              <w:jc w:val="center"/>
              <w:rPr>
                <w:rFonts w:ascii="宋体" w:hAnsi="宋体"/>
                <w:szCs w:val="21"/>
              </w:rPr>
            </w:pPr>
            <w:r>
              <w:rPr>
                <w:rFonts w:hint="eastAsia" w:ascii="宋体" w:hAnsi="宋体"/>
                <w:szCs w:val="21"/>
              </w:rPr>
              <w:t>投标商务响应</w:t>
            </w:r>
          </w:p>
        </w:tc>
        <w:tc>
          <w:tcPr>
            <w:tcW w:w="1699" w:type="dxa"/>
            <w:vAlign w:val="center"/>
          </w:tcPr>
          <w:p w14:paraId="1893E6C9">
            <w:pPr>
              <w:spacing w:line="360" w:lineRule="auto"/>
              <w:jc w:val="center"/>
              <w:rPr>
                <w:rFonts w:ascii="宋体" w:hAnsi="宋体"/>
                <w:szCs w:val="21"/>
              </w:rPr>
            </w:pPr>
            <w:r>
              <w:rPr>
                <w:rFonts w:hint="eastAsia" w:ascii="宋体" w:hAnsi="宋体"/>
                <w:szCs w:val="21"/>
              </w:rPr>
              <w:t>偏离情况</w:t>
            </w:r>
          </w:p>
        </w:tc>
        <w:tc>
          <w:tcPr>
            <w:tcW w:w="1429" w:type="dxa"/>
            <w:vAlign w:val="center"/>
          </w:tcPr>
          <w:p w14:paraId="7B9E98E0">
            <w:pPr>
              <w:spacing w:line="360" w:lineRule="auto"/>
              <w:jc w:val="center"/>
              <w:rPr>
                <w:rFonts w:ascii="宋体" w:hAnsi="宋体"/>
                <w:szCs w:val="21"/>
              </w:rPr>
            </w:pPr>
            <w:r>
              <w:rPr>
                <w:rFonts w:hint="eastAsia" w:ascii="宋体" w:hAnsi="宋体"/>
                <w:szCs w:val="21"/>
              </w:rPr>
              <w:t>说明</w:t>
            </w:r>
          </w:p>
        </w:tc>
      </w:tr>
      <w:tr w14:paraId="259B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67" w:type="dxa"/>
            <w:vAlign w:val="center"/>
          </w:tcPr>
          <w:p w14:paraId="196C25AD">
            <w:pPr>
              <w:spacing w:line="360" w:lineRule="auto"/>
              <w:jc w:val="center"/>
              <w:rPr>
                <w:rFonts w:ascii="宋体" w:hAnsi="宋体" w:cs="宋体"/>
                <w:bCs/>
                <w:szCs w:val="21"/>
              </w:rPr>
            </w:pPr>
          </w:p>
        </w:tc>
        <w:tc>
          <w:tcPr>
            <w:tcW w:w="2903" w:type="dxa"/>
          </w:tcPr>
          <w:p w14:paraId="5EABA8FF">
            <w:pPr>
              <w:spacing w:line="360" w:lineRule="auto"/>
              <w:rPr>
                <w:rFonts w:ascii="宋体" w:hAnsi="宋体"/>
                <w:bCs/>
                <w:szCs w:val="21"/>
              </w:rPr>
            </w:pPr>
          </w:p>
        </w:tc>
        <w:tc>
          <w:tcPr>
            <w:tcW w:w="2580" w:type="dxa"/>
          </w:tcPr>
          <w:p w14:paraId="616282FA">
            <w:pPr>
              <w:spacing w:line="360" w:lineRule="auto"/>
              <w:rPr>
                <w:rFonts w:ascii="宋体" w:hAnsi="宋体" w:cs="宋体"/>
                <w:szCs w:val="21"/>
              </w:rPr>
            </w:pPr>
          </w:p>
        </w:tc>
        <w:tc>
          <w:tcPr>
            <w:tcW w:w="1699" w:type="dxa"/>
          </w:tcPr>
          <w:p w14:paraId="2A1004BC">
            <w:pPr>
              <w:spacing w:line="360" w:lineRule="auto"/>
              <w:rPr>
                <w:rFonts w:ascii="宋体" w:hAnsi="宋体" w:cs="宋体"/>
                <w:szCs w:val="21"/>
              </w:rPr>
            </w:pPr>
          </w:p>
        </w:tc>
        <w:tc>
          <w:tcPr>
            <w:tcW w:w="1429" w:type="dxa"/>
          </w:tcPr>
          <w:p w14:paraId="739935CE">
            <w:pPr>
              <w:rPr>
                <w:rFonts w:ascii="宋体" w:hAnsi="宋体" w:cs="宋体"/>
                <w:szCs w:val="21"/>
              </w:rPr>
            </w:pPr>
            <w:r>
              <w:rPr>
                <w:rFonts w:hint="eastAsia" w:ascii="宋体" w:hAnsi="宋体"/>
                <w:szCs w:val="21"/>
              </w:rPr>
              <w:t>如需附证明文件，应在</w:t>
            </w:r>
            <w:r>
              <w:rPr>
                <w:rFonts w:hint="eastAsia"/>
                <w:szCs w:val="21"/>
              </w:rPr>
              <w:t>“说明”</w:t>
            </w:r>
            <w:r>
              <w:rPr>
                <w:rFonts w:hint="eastAsia" w:ascii="宋体" w:hAnsi="宋体"/>
                <w:szCs w:val="21"/>
              </w:rPr>
              <w:t>栏填写证明文件对应名称和页码。</w:t>
            </w:r>
          </w:p>
        </w:tc>
      </w:tr>
      <w:tr w14:paraId="3185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67" w:type="dxa"/>
            <w:vAlign w:val="center"/>
          </w:tcPr>
          <w:p w14:paraId="2AEE4E27">
            <w:pPr>
              <w:spacing w:line="360" w:lineRule="auto"/>
              <w:jc w:val="center"/>
              <w:rPr>
                <w:rFonts w:ascii="宋体" w:hAnsi="宋体" w:cs="宋体"/>
                <w:bCs/>
                <w:szCs w:val="21"/>
              </w:rPr>
            </w:pPr>
          </w:p>
        </w:tc>
        <w:tc>
          <w:tcPr>
            <w:tcW w:w="2903" w:type="dxa"/>
          </w:tcPr>
          <w:p w14:paraId="17EAF763">
            <w:pPr>
              <w:spacing w:line="360" w:lineRule="auto"/>
              <w:rPr>
                <w:rFonts w:ascii="宋体" w:hAnsi="宋体" w:cs="宋体"/>
                <w:b/>
                <w:szCs w:val="21"/>
              </w:rPr>
            </w:pPr>
          </w:p>
        </w:tc>
        <w:tc>
          <w:tcPr>
            <w:tcW w:w="2580" w:type="dxa"/>
          </w:tcPr>
          <w:p w14:paraId="3A582B34">
            <w:pPr>
              <w:spacing w:line="360" w:lineRule="auto"/>
              <w:rPr>
                <w:rFonts w:ascii="宋体" w:hAnsi="宋体" w:cs="宋体"/>
                <w:szCs w:val="21"/>
              </w:rPr>
            </w:pPr>
          </w:p>
        </w:tc>
        <w:tc>
          <w:tcPr>
            <w:tcW w:w="1699" w:type="dxa"/>
          </w:tcPr>
          <w:p w14:paraId="70D898AE">
            <w:pPr>
              <w:spacing w:line="360" w:lineRule="auto"/>
              <w:rPr>
                <w:rFonts w:ascii="宋体" w:hAnsi="宋体" w:cs="宋体"/>
                <w:szCs w:val="21"/>
              </w:rPr>
            </w:pPr>
          </w:p>
        </w:tc>
        <w:tc>
          <w:tcPr>
            <w:tcW w:w="1429" w:type="dxa"/>
          </w:tcPr>
          <w:p w14:paraId="29AA4BA8">
            <w:pPr>
              <w:spacing w:line="360" w:lineRule="auto"/>
              <w:rPr>
                <w:rFonts w:ascii="宋体" w:hAnsi="宋体" w:cs="宋体"/>
                <w:szCs w:val="21"/>
              </w:rPr>
            </w:pPr>
          </w:p>
        </w:tc>
      </w:tr>
      <w:tr w14:paraId="2F9C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67" w:type="dxa"/>
            <w:vAlign w:val="center"/>
          </w:tcPr>
          <w:p w14:paraId="35730AC0">
            <w:pPr>
              <w:spacing w:line="360" w:lineRule="auto"/>
              <w:jc w:val="center"/>
              <w:rPr>
                <w:rFonts w:ascii="宋体" w:hAnsi="宋体" w:cs="宋体"/>
                <w:bCs/>
                <w:szCs w:val="21"/>
              </w:rPr>
            </w:pPr>
          </w:p>
        </w:tc>
        <w:tc>
          <w:tcPr>
            <w:tcW w:w="2903" w:type="dxa"/>
          </w:tcPr>
          <w:p w14:paraId="56C9344D">
            <w:pPr>
              <w:spacing w:line="360" w:lineRule="auto"/>
              <w:rPr>
                <w:rFonts w:ascii="宋体" w:hAnsi="宋体"/>
                <w:bCs/>
                <w:szCs w:val="21"/>
              </w:rPr>
            </w:pPr>
          </w:p>
        </w:tc>
        <w:tc>
          <w:tcPr>
            <w:tcW w:w="2580" w:type="dxa"/>
          </w:tcPr>
          <w:p w14:paraId="0B9DB353">
            <w:pPr>
              <w:spacing w:line="360" w:lineRule="auto"/>
              <w:rPr>
                <w:rFonts w:ascii="宋体" w:hAnsi="宋体" w:cs="宋体"/>
                <w:szCs w:val="21"/>
              </w:rPr>
            </w:pPr>
          </w:p>
        </w:tc>
        <w:tc>
          <w:tcPr>
            <w:tcW w:w="1699" w:type="dxa"/>
          </w:tcPr>
          <w:p w14:paraId="021EB336">
            <w:pPr>
              <w:spacing w:line="360" w:lineRule="auto"/>
              <w:rPr>
                <w:rFonts w:ascii="宋体" w:hAnsi="宋体" w:cs="宋体"/>
                <w:szCs w:val="21"/>
              </w:rPr>
            </w:pPr>
          </w:p>
        </w:tc>
        <w:tc>
          <w:tcPr>
            <w:tcW w:w="1429" w:type="dxa"/>
          </w:tcPr>
          <w:p w14:paraId="34557800">
            <w:pPr>
              <w:spacing w:line="360" w:lineRule="auto"/>
              <w:rPr>
                <w:rFonts w:ascii="宋体" w:hAnsi="宋体" w:cs="宋体"/>
                <w:szCs w:val="21"/>
              </w:rPr>
            </w:pPr>
          </w:p>
        </w:tc>
      </w:tr>
      <w:tr w14:paraId="7799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67" w:type="dxa"/>
            <w:vAlign w:val="center"/>
          </w:tcPr>
          <w:p w14:paraId="5F8F8F75">
            <w:pPr>
              <w:spacing w:line="360" w:lineRule="auto"/>
              <w:jc w:val="center"/>
              <w:rPr>
                <w:rFonts w:ascii="宋体" w:hAnsi="宋体" w:cs="宋体"/>
                <w:bCs/>
                <w:szCs w:val="21"/>
              </w:rPr>
            </w:pPr>
          </w:p>
        </w:tc>
        <w:tc>
          <w:tcPr>
            <w:tcW w:w="2903" w:type="dxa"/>
          </w:tcPr>
          <w:p w14:paraId="74BCDE00">
            <w:pPr>
              <w:spacing w:line="360" w:lineRule="auto"/>
              <w:rPr>
                <w:rFonts w:ascii="宋体" w:hAnsi="宋体" w:cs="宋体"/>
                <w:b/>
                <w:szCs w:val="21"/>
              </w:rPr>
            </w:pPr>
          </w:p>
        </w:tc>
        <w:tc>
          <w:tcPr>
            <w:tcW w:w="2580" w:type="dxa"/>
          </w:tcPr>
          <w:p w14:paraId="5BC1DD1B">
            <w:pPr>
              <w:spacing w:line="360" w:lineRule="auto"/>
              <w:rPr>
                <w:rFonts w:ascii="宋体" w:hAnsi="宋体" w:cs="宋体"/>
                <w:szCs w:val="21"/>
              </w:rPr>
            </w:pPr>
          </w:p>
        </w:tc>
        <w:tc>
          <w:tcPr>
            <w:tcW w:w="1699" w:type="dxa"/>
          </w:tcPr>
          <w:p w14:paraId="66F5ECA2">
            <w:pPr>
              <w:spacing w:line="360" w:lineRule="auto"/>
              <w:rPr>
                <w:rFonts w:ascii="宋体" w:hAnsi="宋体" w:cs="宋体"/>
                <w:szCs w:val="21"/>
              </w:rPr>
            </w:pPr>
          </w:p>
        </w:tc>
        <w:tc>
          <w:tcPr>
            <w:tcW w:w="1429" w:type="dxa"/>
          </w:tcPr>
          <w:p w14:paraId="13576FB7">
            <w:pPr>
              <w:spacing w:line="360" w:lineRule="auto"/>
              <w:rPr>
                <w:rFonts w:ascii="宋体" w:hAnsi="宋体" w:cs="宋体"/>
                <w:szCs w:val="21"/>
              </w:rPr>
            </w:pPr>
          </w:p>
        </w:tc>
      </w:tr>
    </w:tbl>
    <w:p w14:paraId="6647B987">
      <w:pPr>
        <w:spacing w:line="400" w:lineRule="exact"/>
        <w:rPr>
          <w:rFonts w:ascii="宋体" w:hAnsi="宋体" w:cs="Arial"/>
          <w:bCs/>
          <w:szCs w:val="21"/>
        </w:rPr>
      </w:pPr>
      <w:r>
        <w:rPr>
          <w:rFonts w:hint="eastAsia" w:ascii="宋体" w:hAnsi="宋体" w:cs="Arial"/>
          <w:bCs/>
          <w:szCs w:val="21"/>
        </w:rPr>
        <w:t>备注：1、“</w:t>
      </w:r>
      <w:r>
        <w:rPr>
          <w:rFonts w:hint="eastAsia" w:ascii="宋体" w:hAnsi="宋体"/>
          <w:szCs w:val="21"/>
        </w:rPr>
        <w:t>招标商务要求</w:t>
      </w:r>
      <w:r>
        <w:rPr>
          <w:rFonts w:hint="eastAsia" w:ascii="宋体" w:hAnsi="宋体" w:cs="Arial"/>
          <w:bCs/>
          <w:szCs w:val="21"/>
        </w:rPr>
        <w:t>”一栏逐一列出招标文件第二章《项目需求》中“</w:t>
      </w:r>
      <w:r>
        <w:rPr>
          <w:rFonts w:hint="eastAsia" w:ascii="宋体" w:hAnsi="宋体" w:cs="Arial"/>
          <w:b/>
          <w:bCs/>
          <w:szCs w:val="21"/>
        </w:rPr>
        <w:t>三、项目商务要求</w:t>
      </w:r>
      <w:r>
        <w:rPr>
          <w:rFonts w:hint="eastAsia" w:ascii="宋体" w:hAnsi="宋体" w:cs="Arial"/>
          <w:bCs/>
          <w:szCs w:val="21"/>
        </w:rPr>
        <w:t>”的内容；“</w:t>
      </w:r>
      <w:r>
        <w:rPr>
          <w:rFonts w:hint="eastAsia" w:ascii="宋体" w:hAnsi="宋体"/>
          <w:szCs w:val="21"/>
        </w:rPr>
        <w:t>投标商务响应</w:t>
      </w:r>
      <w:r>
        <w:rPr>
          <w:rFonts w:hint="eastAsia" w:ascii="宋体" w:hAnsi="宋体" w:cs="Arial"/>
          <w:bCs/>
          <w:szCs w:val="21"/>
        </w:rPr>
        <w:t>”一栏应详细填写投标商务条款的响应内容。</w:t>
      </w:r>
    </w:p>
    <w:p w14:paraId="22316F54">
      <w:pPr>
        <w:spacing w:line="400" w:lineRule="exact"/>
        <w:ind w:firstLine="420" w:firstLineChars="200"/>
      </w:pPr>
      <w:r>
        <w:rPr>
          <w:rFonts w:hint="eastAsia" w:ascii="宋体" w:hAnsi="宋体" w:cs="Arial"/>
          <w:bCs/>
          <w:szCs w:val="21"/>
        </w:rPr>
        <w:t>2、“偏离情况”栏中应如实填写“正偏离”、“负偏离”或“无偏离”</w:t>
      </w:r>
      <w:r>
        <w:rPr>
          <w:rFonts w:hint="eastAsia"/>
        </w:rPr>
        <w:t>。</w:t>
      </w:r>
      <w:r>
        <w:rPr>
          <w:rFonts w:hint="eastAsia" w:ascii="宋体" w:hAnsi="宋体"/>
          <w:kern w:val="0"/>
          <w:szCs w:val="21"/>
        </w:rPr>
        <w:t>★</w:t>
      </w:r>
      <w:r>
        <w:rPr>
          <w:rFonts w:hint="eastAsia" w:ascii="宋体" w:hAnsi="宋体"/>
          <w:szCs w:val="21"/>
        </w:rPr>
        <w:t>条款为不可负偏离的实质性条款，投标文件响应为“负偏离”或未响应的，投标文件将按无效投标处理。</w:t>
      </w:r>
    </w:p>
    <w:p w14:paraId="7878FC60">
      <w:pPr>
        <w:spacing w:line="400" w:lineRule="exact"/>
        <w:ind w:firstLine="420" w:firstLineChars="200"/>
      </w:pPr>
      <w:r>
        <w:rPr>
          <w:rFonts w:hint="eastAsia" w:ascii="宋体" w:hAnsi="宋体"/>
          <w:szCs w:val="21"/>
        </w:rPr>
        <w:t>3、</w:t>
      </w:r>
      <w:r>
        <w:rPr>
          <w:rFonts w:hint="eastAsia" w:ascii="宋体" w:hAnsi="宋体" w:cs="宋体"/>
          <w:bCs/>
          <w:szCs w:val="21"/>
        </w:rPr>
        <w:t>如采购文件要求提供证明材料，</w:t>
      </w:r>
      <w:r>
        <w:rPr>
          <w:rFonts w:hint="eastAsia" w:ascii="宋体" w:hAnsi="宋体"/>
          <w:szCs w:val="21"/>
        </w:rPr>
        <w:t>投标人应在“说明”一栏中列出商务条款的证明资料名称，并注明该证明资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w:t>
      </w:r>
    </w:p>
    <w:p w14:paraId="450F3942">
      <w:pPr>
        <w:spacing w:line="400" w:lineRule="exact"/>
        <w:ind w:firstLine="420" w:firstLineChars="200"/>
      </w:pPr>
    </w:p>
    <w:p w14:paraId="402DAA07">
      <w:pPr>
        <w:spacing w:line="400" w:lineRule="exact"/>
        <w:ind w:firstLine="420" w:firstLineChars="200"/>
      </w:pPr>
    </w:p>
    <w:p w14:paraId="6C74DCB6">
      <w:pPr>
        <w:adjustRightInd w:val="0"/>
        <w:snapToGrid w:val="0"/>
        <w:spacing w:line="300" w:lineRule="auto"/>
        <w:rPr>
          <w:snapToGrid w:val="0"/>
          <w:kern w:val="0"/>
        </w:rPr>
      </w:pPr>
    </w:p>
    <w:p w14:paraId="4496F004">
      <w:pPr>
        <w:adjustRightInd w:val="0"/>
        <w:snapToGrid w:val="0"/>
        <w:spacing w:line="300" w:lineRule="auto"/>
        <w:rPr>
          <w:snapToGrid w:val="0"/>
          <w:kern w:val="0"/>
        </w:rPr>
      </w:pPr>
      <w:r>
        <w:rPr>
          <w:rFonts w:hint="eastAsia"/>
          <w:snapToGrid w:val="0"/>
          <w:kern w:val="0"/>
        </w:rPr>
        <w:t>投标单位：（盖公章）</w:t>
      </w:r>
    </w:p>
    <w:p w14:paraId="16584EA6">
      <w:pPr>
        <w:adjustRightInd w:val="0"/>
        <w:snapToGrid w:val="0"/>
        <w:spacing w:line="300" w:lineRule="auto"/>
        <w:rPr>
          <w:snapToGrid w:val="0"/>
          <w:kern w:val="0"/>
        </w:rPr>
      </w:pPr>
    </w:p>
    <w:p w14:paraId="27B3747C">
      <w:pPr>
        <w:adjustRightInd w:val="0"/>
        <w:snapToGrid w:val="0"/>
        <w:spacing w:line="300" w:lineRule="auto"/>
        <w:rPr>
          <w:snapToGrid w:val="0"/>
          <w:kern w:val="0"/>
        </w:rPr>
      </w:pPr>
    </w:p>
    <w:p w14:paraId="55FE8F1A">
      <w:pPr>
        <w:adjustRightInd w:val="0"/>
        <w:snapToGrid w:val="0"/>
        <w:spacing w:line="300" w:lineRule="auto"/>
        <w:ind w:right="420"/>
        <w:jc w:val="center"/>
      </w:pPr>
      <w:r>
        <w:rPr>
          <w:rFonts w:hint="eastAsia"/>
          <w:snapToGrid w:val="0"/>
          <w:kern w:val="0"/>
        </w:rPr>
        <w:t xml:space="preserve">                                                            年    月    日</w:t>
      </w:r>
    </w:p>
    <w:p w14:paraId="5D3ADFD3">
      <w:pPr>
        <w:adjustRightInd w:val="0"/>
        <w:snapToGrid w:val="0"/>
        <w:spacing w:line="300" w:lineRule="auto"/>
        <w:rPr>
          <w:rFonts w:eastAsia="楷体_GB2312"/>
          <w:snapToGrid w:val="0"/>
          <w:kern w:val="0"/>
        </w:rPr>
      </w:pPr>
    </w:p>
    <w:p w14:paraId="3F2B9F9A">
      <w:pPr>
        <w:adjustRightInd w:val="0"/>
        <w:snapToGrid w:val="0"/>
        <w:spacing w:line="300" w:lineRule="auto"/>
        <w:jc w:val="left"/>
        <w:rPr>
          <w:snapToGrid w:val="0"/>
          <w:kern w:val="0"/>
        </w:rPr>
      </w:pPr>
    </w:p>
    <w:p w14:paraId="55F75D4A">
      <w:pPr>
        <w:adjustRightInd w:val="0"/>
        <w:snapToGrid w:val="0"/>
        <w:spacing w:line="300" w:lineRule="auto"/>
        <w:jc w:val="left"/>
        <w:rPr>
          <w:snapToGrid w:val="0"/>
          <w:kern w:val="0"/>
        </w:rPr>
      </w:pPr>
    </w:p>
    <w:p w14:paraId="061573A9">
      <w:pPr>
        <w:pStyle w:val="5"/>
        <w:tabs>
          <w:tab w:val="left" w:pos="371"/>
        </w:tabs>
        <w:spacing w:before="120" w:after="120"/>
        <w:ind w:left="-1" w:leftChars="-1" w:hanging="1"/>
        <w:jc w:val="center"/>
        <w:rPr>
          <w:rFonts w:ascii="宋体" w:hAnsi="宋体"/>
        </w:rPr>
      </w:pPr>
      <w:bookmarkStart w:id="91" w:name="_格式5__"/>
      <w:bookmarkEnd w:id="91"/>
      <w:bookmarkStart w:id="92" w:name="q17"/>
      <w:bookmarkEnd w:id="92"/>
      <w:bookmarkStart w:id="93" w:name="q15"/>
      <w:bookmarkEnd w:id="93"/>
      <w:bookmarkStart w:id="94" w:name="_格式2__投标保证金凭证"/>
      <w:bookmarkEnd w:id="94"/>
      <w:bookmarkStart w:id="95" w:name="_格式4__"/>
      <w:bookmarkEnd w:id="95"/>
      <w:bookmarkStart w:id="96" w:name="_格式3__"/>
      <w:bookmarkEnd w:id="96"/>
      <w:bookmarkStart w:id="97" w:name="q16"/>
      <w:bookmarkEnd w:id="97"/>
    </w:p>
    <w:p w14:paraId="75682C81">
      <w:pPr>
        <w:pStyle w:val="5"/>
        <w:tabs>
          <w:tab w:val="left" w:pos="371"/>
        </w:tabs>
        <w:spacing w:before="120" w:after="120"/>
        <w:ind w:left="-1" w:leftChars="-1" w:hanging="1"/>
        <w:jc w:val="center"/>
        <w:rPr>
          <w:rFonts w:ascii="宋体" w:hAnsi="宋体"/>
        </w:rPr>
      </w:pPr>
    </w:p>
    <w:p w14:paraId="215F4DF4">
      <w:pPr>
        <w:pStyle w:val="5"/>
        <w:tabs>
          <w:tab w:val="left" w:pos="371"/>
        </w:tabs>
        <w:spacing w:before="120" w:after="120"/>
        <w:ind w:left="-1" w:leftChars="-1" w:hanging="1"/>
        <w:jc w:val="center"/>
        <w:rPr>
          <w:rFonts w:ascii="宋体" w:hAnsi="宋体"/>
        </w:rPr>
      </w:pPr>
      <w:r>
        <w:rPr>
          <w:rFonts w:ascii="宋体" w:hAnsi="宋体"/>
        </w:rPr>
        <w:tab/>
      </w:r>
      <w:bookmarkStart w:id="98" w:name="_Toc44691169"/>
      <w:bookmarkStart w:id="99" w:name="_Toc44690710"/>
      <w:bookmarkStart w:id="100" w:name="_Toc44691401"/>
      <w:bookmarkStart w:id="101" w:name="_Toc44690437"/>
      <w:bookmarkStart w:id="102" w:name="_Toc171350607"/>
      <w:bookmarkStart w:id="103" w:name="_Toc135293191"/>
      <w:r>
        <w:rPr>
          <w:rFonts w:hint="eastAsia" w:ascii="宋体" w:hAnsi="宋体"/>
        </w:rPr>
        <w:t xml:space="preserve">格式10  </w:t>
      </w:r>
      <w:bookmarkEnd w:id="98"/>
      <w:bookmarkEnd w:id="99"/>
      <w:bookmarkEnd w:id="100"/>
      <w:bookmarkEnd w:id="101"/>
      <w:r>
        <w:rPr>
          <w:rFonts w:hint="eastAsia" w:ascii="宋体" w:hAnsi="宋体"/>
        </w:rPr>
        <w:t>招标文件要求的其他资料或投标人认为需要补充的资料</w:t>
      </w:r>
      <w:bookmarkEnd w:id="102"/>
      <w:bookmarkEnd w:id="103"/>
    </w:p>
    <w:p w14:paraId="54028A98">
      <w:pPr>
        <w:jc w:val="center"/>
      </w:pPr>
      <w:r>
        <w:rPr>
          <w:rFonts w:hint="eastAsia" w:ascii="宋体" w:hAnsi="宋体"/>
        </w:rPr>
        <w:t>如有，格式自拟</w:t>
      </w:r>
    </w:p>
    <w:p w14:paraId="075C1133">
      <w:pPr>
        <w:spacing w:line="360" w:lineRule="auto"/>
        <w:jc w:val="center"/>
      </w:pPr>
    </w:p>
    <w:p w14:paraId="4D2E519F">
      <w:pPr>
        <w:jc w:val="left"/>
        <w:rPr>
          <w:snapToGrid w:val="0"/>
          <w:kern w:val="0"/>
          <w:sz w:val="52"/>
          <w:szCs w:val="52"/>
        </w:rPr>
      </w:pPr>
    </w:p>
    <w:p w14:paraId="715A2565"/>
    <w:p w14:paraId="2D1F2F1E"/>
    <w:p w14:paraId="35C2491B"/>
    <w:p w14:paraId="2B5CEA49"/>
    <w:p w14:paraId="7C860ABD"/>
    <w:p w14:paraId="24B0991F"/>
    <w:p w14:paraId="2E613113"/>
    <w:p w14:paraId="09075B2F">
      <w:pPr>
        <w:pStyle w:val="3"/>
      </w:pPr>
      <w:bookmarkStart w:id="104" w:name="_Toc171350608"/>
    </w:p>
    <w:p w14:paraId="51E1B3C4">
      <w:pPr>
        <w:pStyle w:val="3"/>
      </w:pPr>
    </w:p>
    <w:p w14:paraId="3722B9CC">
      <w:pPr>
        <w:pStyle w:val="3"/>
        <w:sectPr>
          <w:pgSz w:w="11906" w:h="16838"/>
          <w:pgMar w:top="1134" w:right="1134" w:bottom="1134" w:left="1134" w:header="851" w:footer="992" w:gutter="0"/>
          <w:cols w:space="720" w:num="1"/>
          <w:titlePg/>
          <w:docGrid w:type="lines" w:linePitch="312" w:charSpace="0"/>
        </w:sectPr>
      </w:pPr>
    </w:p>
    <w:p w14:paraId="5F18E048">
      <w:pPr>
        <w:pStyle w:val="3"/>
      </w:pPr>
      <w:r>
        <w:rPr>
          <w:rFonts w:hint="eastAsia"/>
        </w:rPr>
        <w:t>第八章  合同条款</w:t>
      </w:r>
      <w:bookmarkEnd w:id="104"/>
    </w:p>
    <w:p w14:paraId="01BC351A">
      <w:pPr>
        <w:jc w:val="center"/>
        <w:rPr>
          <w:b/>
          <w:szCs w:val="21"/>
        </w:rPr>
      </w:pPr>
    </w:p>
    <w:p w14:paraId="2DDFB878">
      <w:pPr>
        <w:jc w:val="left"/>
        <w:rPr>
          <w:rFonts w:ascii="宋体" w:hAnsi="宋体" w:cs="宋体"/>
          <w:b/>
          <w:bCs/>
          <w:color w:val="000000" w:themeColor="text1"/>
          <w:szCs w:val="21"/>
          <w14:textFill>
            <w14:solidFill>
              <w14:schemeClr w14:val="tx1"/>
            </w14:solidFill>
          </w14:textFill>
        </w:rPr>
      </w:pPr>
      <w:bookmarkStart w:id="105" w:name="_Toc171350614"/>
      <w:bookmarkStart w:id="106" w:name="_Toc73610161"/>
      <w:r>
        <w:rPr>
          <w:rFonts w:hint="eastAsia" w:ascii="宋体" w:hAnsi="宋体" w:cs="宋体"/>
          <w:b/>
          <w:bCs/>
          <w:color w:val="000000" w:themeColor="text1"/>
          <w:szCs w:val="21"/>
          <w14:textFill>
            <w14:solidFill>
              <w14:schemeClr w14:val="tx1"/>
            </w14:solidFill>
          </w14:textFill>
        </w:rPr>
        <w:t>重要说明：本章合同内容为拟签订的采购合同基础范本，投标人对本章合同内容规定有异议的应在投标文件商务要求偏离表或服务要求偏离表中声明，未作声明者视为认可本合同基础范本。本项目最终合同依据中华人民共和国民法典及相关法律法规、采购内容、招标文件、中标人的投标文件编制。</w:t>
      </w:r>
    </w:p>
    <w:p w14:paraId="6B766344">
      <w:pPr>
        <w:jc w:val="left"/>
        <w:rPr>
          <w:rFonts w:ascii="宋体" w:hAnsi="宋体" w:cs="宋体"/>
          <w:b/>
          <w:bCs/>
          <w:color w:val="000000" w:themeColor="text1"/>
          <w:szCs w:val="21"/>
          <w14:textFill>
            <w14:solidFill>
              <w14:schemeClr w14:val="tx1"/>
            </w14:solidFill>
          </w14:textFill>
        </w:rPr>
      </w:pPr>
    </w:p>
    <w:p w14:paraId="3C832CBC">
      <w:pPr>
        <w:spacing w:line="560" w:lineRule="exact"/>
        <w:jc w:val="cente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深圳海关辅助执法作业服务项目（XX片区）采购合同</w:t>
      </w:r>
    </w:p>
    <w:p w14:paraId="3E475E29">
      <w:pPr>
        <w:spacing w:line="360" w:lineRule="auto"/>
        <w:ind w:firstLine="371" w:firstLineChars="177"/>
        <w:rPr>
          <w:rFonts w:ascii="宋体" w:hAnsi="宋体" w:cs="宋体"/>
          <w:color w:val="000000" w:themeColor="text1"/>
          <w:szCs w:val="21"/>
          <w14:textFill>
            <w14:solidFill>
              <w14:schemeClr w14:val="tx1"/>
            </w14:solidFill>
          </w14:textFill>
        </w:rPr>
      </w:pPr>
    </w:p>
    <w:p w14:paraId="5F1798E3">
      <w:pPr>
        <w:spacing w:line="360" w:lineRule="auto"/>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甲方：中华人民共和国深圳海关</w:t>
      </w:r>
    </w:p>
    <w:p w14:paraId="1794665B">
      <w:pPr>
        <w:spacing w:line="360" w:lineRule="auto"/>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乙方：</w:t>
      </w:r>
    </w:p>
    <w:p w14:paraId="4A2AA487">
      <w:pPr>
        <w:spacing w:line="360" w:lineRule="auto"/>
        <w:ind w:firstLine="371" w:firstLineChars="177"/>
        <w:rPr>
          <w:rFonts w:ascii="宋体" w:hAnsi="宋体" w:cs="宋体"/>
          <w:color w:val="000000" w:themeColor="text1"/>
          <w:szCs w:val="21"/>
          <w14:textFill>
            <w14:solidFill>
              <w14:schemeClr w14:val="tx1"/>
            </w14:solidFill>
          </w14:textFill>
        </w:rPr>
      </w:pPr>
    </w:p>
    <w:p w14:paraId="04C84FA5">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根据《中华人民共和国民法典》等法律法规，甲、乙双方在自愿、平等、协商一致的基础上，就深圳海关XX片区辅助执法作业服务采购事宜，订立本合同。</w:t>
      </w:r>
    </w:p>
    <w:p w14:paraId="17F4E68A">
      <w:pPr>
        <w:spacing w:line="360" w:lineRule="auto"/>
        <w:ind w:firstLine="373" w:firstLineChars="177"/>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第一章 服务内容</w:t>
      </w:r>
    </w:p>
    <w:p w14:paraId="34D326F2">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第一条 本合同涉及的服务地点为：深圳海关XX片区各隶属单位。</w:t>
      </w:r>
    </w:p>
    <w:p w14:paraId="18F14C47">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第二条 本合同涉及的服务内容为：乙方根据甲方服务要求，协助甲方隶属单位开展口岸通关秩序维护、监管场所巡查、查验辅助及其他不涉及海关行政执法权力的辅助性作业服务。乙方参与甲方上述辅助性作业服务的总人数为XXX人，以下简称“协管员”。</w:t>
      </w:r>
    </w:p>
    <w:p w14:paraId="71CF4D67">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第三条 本合同期限为：2025年</w:t>
      </w:r>
      <w:r>
        <w:rPr>
          <w:rFonts w:hint="eastAsia" w:ascii="宋体" w:hAnsi="宋体" w:cs="宋体"/>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月</w:t>
      </w:r>
      <w:r>
        <w:rPr>
          <w:rFonts w:hint="eastAsia" w:ascii="宋体" w:hAnsi="宋体" w:cs="宋体"/>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日至2026年</w:t>
      </w:r>
      <w:r>
        <w:rPr>
          <w:rFonts w:hint="eastAsia" w:ascii="宋体" w:hAnsi="宋体" w:cs="宋体"/>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月</w:t>
      </w:r>
      <w:r>
        <w:rPr>
          <w:rFonts w:hint="eastAsia" w:ascii="宋体" w:hAnsi="宋体" w:cs="宋体"/>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日。</w:t>
      </w:r>
    </w:p>
    <w:p w14:paraId="696E459A">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合同期满但双方未续约的，甲方有权将协管员退回，乙方不得拒绝。</w:t>
      </w:r>
    </w:p>
    <w:p w14:paraId="4B0E6221">
      <w:pPr>
        <w:spacing w:line="360" w:lineRule="auto"/>
        <w:ind w:firstLine="373" w:firstLineChars="177"/>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第二章 服务要求</w:t>
      </w:r>
    </w:p>
    <w:p w14:paraId="44D3089A">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第四条 乙方参与提供辅助性作业服务的协管员应具备以下条件：</w:t>
      </w:r>
    </w:p>
    <w:p w14:paraId="3387C53B">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（一）拥护中华人民共和国宪法、遵守国家法律法规，具有良好的品行；</w:t>
      </w:r>
    </w:p>
    <w:p w14:paraId="0289E132">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（二）年龄为20周岁以上，35周岁以下</w:t>
      </w:r>
      <w:r>
        <w:rPr>
          <w:rFonts w:hint="eastAsia" w:ascii="宋体" w:hAnsi="宋体" w:cs="宋体"/>
          <w:szCs w:val="21"/>
        </w:rPr>
        <w:t>，如协管员具有甲方认可的岗位所需的工作技能或经验，可适当放宽年龄要求</w:t>
      </w:r>
      <w:r>
        <w:rPr>
          <w:rFonts w:hint="eastAsia" w:ascii="宋体" w:hAnsi="宋体" w:cs="宋体"/>
          <w:color w:val="000000" w:themeColor="text1"/>
          <w:szCs w:val="21"/>
          <w14:textFill>
            <w14:solidFill>
              <w14:schemeClr w14:val="tx1"/>
            </w14:solidFill>
          </w14:textFill>
        </w:rPr>
        <w:t>；</w:t>
      </w:r>
    </w:p>
    <w:p w14:paraId="3965B8B1">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（三）具有大学专科以上文化程度，如协管员具有甲方认可的岗位所需的工作技能或经验，可适当放宽学历要求；</w:t>
      </w:r>
    </w:p>
    <w:p w14:paraId="2FCE38FC">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（四）仪表端庄，身体健康，具有正常履行职责的身体条件；</w:t>
      </w:r>
    </w:p>
    <w:p w14:paraId="4823DAF9">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（五）具备基本法律知识和提供服务所应知应会的业务知识；</w:t>
      </w:r>
    </w:p>
    <w:p w14:paraId="4875048C">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（六）符合甲方提出的其他要求。</w:t>
      </w:r>
    </w:p>
    <w:p w14:paraId="6FFC8BF8">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第五条 乙方参与提供辅助性作业服务的协管员不得存在下列情形：</w:t>
      </w:r>
    </w:p>
    <w:p w14:paraId="6AC67B88">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（一）受过刑事处罚或涉嫌违法犯罪尚未查清的；</w:t>
      </w:r>
    </w:p>
    <w:p w14:paraId="07199D66">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（二）曾因违法行为，被给予行政拘留、收容教养、强制戒毒等限制人身自由的治安行政处罚的；</w:t>
      </w:r>
    </w:p>
    <w:p w14:paraId="511F5270">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（三）被国家机关、事业单位开除公职或者辞退的；</w:t>
      </w:r>
    </w:p>
    <w:p w14:paraId="1935FF0C">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（四）曾有过走私违法行为或其他违反海关监管规定行为的；</w:t>
      </w:r>
    </w:p>
    <w:p w14:paraId="750AC98F">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（五）有个人不良信用记录的人员；</w:t>
      </w:r>
    </w:p>
    <w:p w14:paraId="7B271F5D">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（六）曾作为协管员被甲方或服务的隶属单位要求调换、解聘的；</w:t>
      </w:r>
    </w:p>
    <w:p w14:paraId="3768B901">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（七）其他原因不适合从事协管员工作的。</w:t>
      </w:r>
    </w:p>
    <w:p w14:paraId="55C04B97">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第六条 乙方参与提供辅助性作业服务的协管员应服从甲方的工作安排，遵守甲方的管理制度和相关规定，听从甲方工作人员的指挥并接受监督。</w:t>
      </w:r>
    </w:p>
    <w:p w14:paraId="5B1D1462">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第七条 乙方参与提供辅助性作业服务的协管员的工作时长应符合国家《</w:t>
      </w:r>
      <w:r>
        <w:rPr>
          <w:rFonts w:hint="eastAsia" w:ascii="宋体" w:hAnsi="宋体" w:cs="宋体"/>
          <w:szCs w:val="21"/>
        </w:rPr>
        <w:t>中华人民共和国</w:t>
      </w:r>
      <w:r>
        <w:rPr>
          <w:rFonts w:hint="eastAsia" w:ascii="宋体" w:hAnsi="宋体" w:cs="宋体"/>
          <w:color w:val="000000" w:themeColor="text1"/>
          <w:szCs w:val="21"/>
          <w14:textFill>
            <w14:solidFill>
              <w14:schemeClr w14:val="tx1"/>
            </w14:solidFill>
          </w14:textFill>
        </w:rPr>
        <w:t>劳动法》</w:t>
      </w:r>
      <w:r>
        <w:rPr>
          <w:rFonts w:hint="eastAsia" w:ascii="宋体" w:hAnsi="宋体" w:cs="宋体"/>
          <w:szCs w:val="21"/>
          <w:lang w:eastAsia="zh-CN"/>
        </w:rPr>
        <w:t>（下称《劳动法》）</w:t>
      </w:r>
      <w:r>
        <w:rPr>
          <w:rFonts w:hint="eastAsia" w:ascii="宋体" w:hAnsi="宋体" w:cs="宋体"/>
          <w:color w:val="000000" w:themeColor="text1"/>
          <w:szCs w:val="21"/>
          <w14:textFill>
            <w14:solidFill>
              <w14:schemeClr w14:val="tx1"/>
            </w14:solidFill>
          </w14:textFill>
        </w:rPr>
        <w:t>相关要求，一般每周工作时间不应超过40小时（含通宵班），每周休息2天，如需加班工作可给予相应补休，甲方不另行支付乙方相关费用。</w:t>
      </w:r>
    </w:p>
    <w:p w14:paraId="1E07C89A">
      <w:pPr>
        <w:spacing w:line="360" w:lineRule="auto"/>
        <w:ind w:firstLine="371" w:firstLineChars="177"/>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第八条 乙方应于2025年7月1日安排400名协管员前往甲方指定的隶属单位提供服务，其余协管员应在合同签订后2周内按照甲方要求分批上岗。因乙方参与提供辅助性作业服务的协管员出现离职、请假等原因或甲方现场业务形势变化，导致甲方发生现场一线协管员空缺等应急事件时，乙方应机动调整协管员于1天内到岗。</w:t>
      </w:r>
    </w:p>
    <w:p w14:paraId="35B2EAF1">
      <w:pPr>
        <w:spacing w:line="360" w:lineRule="auto"/>
        <w:ind w:firstLine="371" w:firstLineChars="177"/>
        <w:jc w:val="left"/>
        <w:rPr>
          <w:rFonts w:ascii="宋体" w:hAnsi="宋体" w:cs="宋体"/>
          <w:szCs w:val="21"/>
        </w:rPr>
      </w:pPr>
      <w:r>
        <w:rPr>
          <w:rFonts w:hint="eastAsia" w:ascii="宋体" w:hAnsi="宋体" w:cs="宋体"/>
          <w:color w:val="000000" w:themeColor="text1"/>
          <w:szCs w:val="21"/>
          <w14:textFill>
            <w14:solidFill>
              <w14:schemeClr w14:val="tx1"/>
            </w14:solidFill>
          </w14:textFill>
        </w:rPr>
        <w:t>第九条</w:t>
      </w:r>
      <w:r>
        <w:rPr>
          <w:rFonts w:hint="eastAsia" w:ascii="宋体" w:hAnsi="宋体" w:cs="宋体"/>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为确保服务质量，乙方需为本项目指派1名负责人，并为服务范围内的每个服务的隶属单位指派1名协管员管理人员</w:t>
      </w:r>
      <w:r>
        <w:rPr>
          <w:rFonts w:hint="eastAsia" w:ascii="宋体" w:hAnsi="宋体" w:cs="宋体"/>
          <w:szCs w:val="21"/>
        </w:rPr>
        <w:t>。</w:t>
      </w:r>
    </w:p>
    <w:p w14:paraId="49980D2D">
      <w:pPr>
        <w:spacing w:line="360" w:lineRule="auto"/>
        <w:ind w:firstLine="371" w:firstLineChars="177"/>
        <w:jc w:val="left"/>
        <w:rPr>
          <w:rFonts w:ascii="宋体" w:hAnsi="宋体" w:cs="宋体"/>
          <w:szCs w:val="21"/>
        </w:rPr>
      </w:pPr>
    </w:p>
    <w:p w14:paraId="439783D4">
      <w:pPr>
        <w:spacing w:line="360" w:lineRule="auto"/>
        <w:ind w:firstLine="373" w:firstLineChars="177"/>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第三章 协管员的配备与管理</w:t>
      </w:r>
    </w:p>
    <w:p w14:paraId="3C6EA62A">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第十条 甲方根据工作需要，安排协管员的服务内容和服务时间，乙方应给予配合。</w:t>
      </w:r>
    </w:p>
    <w:p w14:paraId="613404B4">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第十一条 为确保服务质量，甲方每月将协管员服务期间的表现情况向乙方通报，乙方应根据甲方的建议实施奖惩。</w:t>
      </w:r>
    </w:p>
    <w:p w14:paraId="38556A29">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第十二条 为确保服务质量，甲方每月向乙方提供协管员的服务质量考核结果，包括考勤记录、考核等次结果，其中考核等次分为“不合格”、“合格”和“优秀”三个等次。乙方应据此核算并及时、足额支付协管员薪酬及绩效奖金，其中实际发放的绩效奖金一般应与甲方提出的考核等次结果相对应，确有需要调整的，应与甲方协商一致。</w:t>
      </w:r>
    </w:p>
    <w:p w14:paraId="723D3053">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第十三条 为确保服务质量，乙方应按照《劳动法》及深圳市社保相关规定，及时、足额支付协管员的工资薪酬、法定节假日加班费、业务培训、社会保险、健康体检、工作日用餐、住宿、工作服装等福利待遇，不再向协管员额外收取费用。</w:t>
      </w:r>
    </w:p>
    <w:p w14:paraId="20111005">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第十四条 为确保服务质量，乙方按照《劳动法》及深圳市社保相关规定，为协管员提供的薪资待遇应至少包括以下内容：</w:t>
      </w:r>
    </w:p>
    <w:p w14:paraId="4D7997FC">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（一）基本工资；</w:t>
      </w:r>
    </w:p>
    <w:p w14:paraId="0B2EA3D2">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（二）绩效奖金； </w:t>
      </w:r>
    </w:p>
    <w:p w14:paraId="79F6FA09">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（三）法定节假日加班费；</w:t>
      </w:r>
    </w:p>
    <w:p w14:paraId="3224F642">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（四）社会保险（含养老保险、医疗保险、工伤保险、失业保险和生育保险）和人身意外险；</w:t>
      </w:r>
    </w:p>
    <w:p w14:paraId="7E86775D">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（五）住房公积金；</w:t>
      </w:r>
    </w:p>
    <w:p w14:paraId="118F8D8F">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（六）高温补贴；</w:t>
      </w:r>
    </w:p>
    <w:p w14:paraId="360F2B15">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（七）特殊岗位补助；</w:t>
      </w:r>
    </w:p>
    <w:p w14:paraId="305A1DCC">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（八）国家规定应支付的其他费用。 </w:t>
      </w:r>
    </w:p>
    <w:p w14:paraId="259D597D">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第十五条 为确保服务质量，乙方应为协管员提供以下福利（费用包含在合同金额中，不得向甲方或协管员另外收费）：</w:t>
      </w:r>
    </w:p>
    <w:p w14:paraId="1C262664">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（一）餐饮。工作日提供餐饮。如无法保障、或服务的隶属单位配合保障、或协管员经审批同意放弃餐饮保障的，应发放</w:t>
      </w:r>
      <w:r>
        <w:rPr>
          <w:rFonts w:hint="eastAsia" w:ascii="宋体" w:hAnsi="宋体" w:cs="宋体"/>
          <w:szCs w:val="21"/>
        </w:rPr>
        <w:t>与提供餐饮成本相当的</w:t>
      </w:r>
      <w:r>
        <w:rPr>
          <w:rFonts w:hint="eastAsia" w:ascii="宋体" w:hAnsi="宋体" w:cs="宋体"/>
          <w:color w:val="000000" w:themeColor="text1"/>
          <w:szCs w:val="21"/>
          <w14:textFill>
            <w14:solidFill>
              <w14:schemeClr w14:val="tx1"/>
            </w14:solidFill>
          </w14:textFill>
        </w:rPr>
        <w:t>餐饮补助。</w:t>
      </w:r>
    </w:p>
    <w:p w14:paraId="4EF3D15F">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（二）住宿。提供员工宿舍，且宿舍所在地应在工作地50分钟公共交通可到达范围内、每间宿舍住宿人数不多于6人。如无法保障住宿或协管员经审批同意放弃住宿保障的，应发放</w:t>
      </w:r>
      <w:r>
        <w:rPr>
          <w:rFonts w:hint="eastAsia" w:ascii="宋体" w:hAnsi="宋体" w:cs="宋体"/>
          <w:szCs w:val="21"/>
        </w:rPr>
        <w:t>与提供宿舍成本相当的</w:t>
      </w:r>
      <w:r>
        <w:rPr>
          <w:rFonts w:hint="eastAsia" w:ascii="宋体" w:hAnsi="宋体" w:cs="宋体"/>
          <w:color w:val="000000" w:themeColor="text1"/>
          <w:szCs w:val="21"/>
          <w14:textFill>
            <w14:solidFill>
              <w14:schemeClr w14:val="tx1"/>
            </w14:solidFill>
          </w14:textFill>
        </w:rPr>
        <w:t>住宿补助。</w:t>
      </w:r>
    </w:p>
    <w:p w14:paraId="26E2C68F">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（三）工作服装。</w:t>
      </w:r>
    </w:p>
    <w:p w14:paraId="3AFB1A2B">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1.按照甲方提供的样式和质量要求，为首次聘用的协管员配发以下服装：2套夏装、2件长袖、2件夹克、2条厚裤子、1双皮鞋和1套服装配件（包括：肩章、臂章、胸标、腰带和帽子），视情况配备防寒服。</w:t>
      </w:r>
    </w:p>
    <w:p w14:paraId="1BE462ED">
      <w:pPr>
        <w:spacing w:line="360" w:lineRule="auto"/>
        <w:ind w:firstLine="371" w:firstLineChars="177"/>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2.为非首次配发服装的协管员，每年发放2件夏装、1件长袖、1件夹克、1条夏装裤子、1条厚裤子、1双皮鞋、1条腰带。</w:t>
      </w:r>
    </w:p>
    <w:p w14:paraId="2D4FECA2">
      <w:pPr>
        <w:spacing w:line="360" w:lineRule="auto"/>
        <w:ind w:firstLine="371" w:firstLineChars="177"/>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（四）培训。在协管员上岗前，须安排岗前培训。</w:t>
      </w:r>
    </w:p>
    <w:p w14:paraId="2BB6872C">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第十六条 乙方应建立信息化管理系统，电子化管理协管员的个人基本信息及岗位安排、考勤、考核、入职、离职等人事信息，并按甲方要求随时提供有关资料。</w:t>
      </w:r>
    </w:p>
    <w:p w14:paraId="3273CFE2">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第十七条 为确保服务质量，乙方如需招聘协管员的，应根据本合同规定的聘用资格条件发布招聘公告，实行公开招聘；乙方应组织协管员在深圳市内的公立医院进行入职体检，确保协管员健康状况符合服务要求，体检费用由乙方承担，乙方应与聘用的协管员签订合法合规的《劳动合同》。乙方不得借海关名义招聘相关服务人员，在招聘过程中不得收取应聘人员任何费用，不得损害海关名誉及形象。</w:t>
      </w:r>
    </w:p>
    <w:p w14:paraId="56CECD3E">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乙方参与甲方辅助执法作业服务的协管员资料应提交甲方报备，由甲方安排具体服务地点，办理相关特殊监管区出入手续。乙方应协助督促相关协管员到服务地点的海关单位报到。</w:t>
      </w:r>
    </w:p>
    <w:p w14:paraId="58A08F82">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第十八条 涉及协管员的工伤、劳动争议、民事侵权等纠纷，由乙方负责处置，甲方不承担相关法律责任。</w:t>
      </w:r>
    </w:p>
    <w:p w14:paraId="6B67997D">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第十九条 发生涉及协管员的突发事件时，乙方应当2小时内派专员到场处置，期间产生的各项处置费用由乙方承担。</w:t>
      </w:r>
    </w:p>
    <w:p w14:paraId="227A8112">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第二十条 因工作需要，乙方参与提供辅助性作业服务的协管员应相对固定，如需调换的，应事先告知甲方，在征得甲方同意后，对协管员进行调换。</w:t>
      </w:r>
    </w:p>
    <w:p w14:paraId="549683A3">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第二十一条 乙方应对离职协管员的服装进行回收，并要求其离职后不泄露甲方内部工作信息。</w:t>
      </w:r>
    </w:p>
    <w:p w14:paraId="4E614924">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第二十二条 乙方为甲方隶属单位提供的具体辅助性作业服务内容及要求等事项，由甲方隶属单位与乙方另行签订合作备忘录。</w:t>
      </w:r>
    </w:p>
    <w:p w14:paraId="00515800">
      <w:pPr>
        <w:spacing w:line="360" w:lineRule="auto"/>
        <w:ind w:firstLine="373" w:firstLineChars="177"/>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第四章 服务费用的结算与支付</w:t>
      </w:r>
    </w:p>
    <w:p w14:paraId="43F607C7">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第二十三条 甲方采取包干的方式向乙方支付费用，每月包干费用不超过人民币XXXX（￥XXXX），合同总额不超过人民币XXXX（￥XXXX）。</w:t>
      </w:r>
    </w:p>
    <w:p w14:paraId="676F3F74">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第二十四条 甲方支付的包干费用包括但不限于乙方支付给协管员的工资、保险费、住房公积金、特殊岗位补助、福利费、经济赔偿金、补偿金、培训费、健康体检费、增值税、附加税及其他管理费用、所得税等。甲方不再支付或承担其他费用。</w:t>
      </w:r>
    </w:p>
    <w:p w14:paraId="2E0EB912">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第二十五条 甲方可以根据国家有关政策规定及工作需要，另行支付因跨境服务等产生的额外补助，乙方不得截留相关资金。</w:t>
      </w:r>
    </w:p>
    <w:p w14:paraId="1F980BD0">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第二十六条 甲方按照乙方每月实际提供的服务情况，核算并支付包干费。协管员因调换、离职等原因出现协管员空缺的，乙方应及时进行补充。原则上应在48小时内完成补充，因客观原因补充确有困难的，经甲方同意后可延迟补充，具体时间以甲方意见为准。乙方补充人员时间超过24小时的，甲方按每人每工作日300元的标准，核减当月支付的服务费。</w:t>
      </w:r>
    </w:p>
    <w:p w14:paraId="3F5FA5A9">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第二十七条 甲乙双方按以下流程办理费用结算与支付。</w:t>
      </w:r>
    </w:p>
    <w:p w14:paraId="393BA3BA">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（一）合同签订后，甲方根据乙方提供的有效票据，向乙方支付XX万元（合同总金额的1%），供乙方组织招聘、购置当季制服使用。以上款项在合同期内第二个月和第三个月之间平均分摊。</w:t>
      </w:r>
    </w:p>
    <w:p w14:paraId="14C01F6F">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第二个月起，甲方对乙方提供的协管员服务情况进行考核确认，乙方应根据甲方考核结果，于每月5日前提供上月费用的发票及相关凭证。甲方在收到乙方发票及相关凭证的10个工作日对支付金额进行审核，并转账支付。</w:t>
      </w:r>
    </w:p>
    <w:p w14:paraId="72CC0CD6">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（三）服务期末月，乙方在服务期届满后10个自然日内提供末月费用的发票及相关凭证，甲方在收到乙方发票及相关凭证的10个工作日内对支付金额进行审核，并转账支付。</w:t>
      </w:r>
    </w:p>
    <w:p w14:paraId="37B4DEA2">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服务期内，甲方因深圳市财政额度未拨付到位导致无法按约定时间支付服务费时，甲方可根据市财政额度到位情况调整服务费支付时间，期间由乙方负责先行支付协管员相关福利待遇，如乙方确有困难无法完成支付，可由双方协商解决。</w:t>
      </w:r>
    </w:p>
    <w:p w14:paraId="6639AAA9">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乙方开户名称：</w:t>
      </w:r>
    </w:p>
    <w:p w14:paraId="225CD045">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账    号：</w:t>
      </w:r>
    </w:p>
    <w:p w14:paraId="4BC0A978">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开户银行：</w:t>
      </w:r>
    </w:p>
    <w:p w14:paraId="045E116A">
      <w:pPr>
        <w:spacing w:line="360" w:lineRule="auto"/>
        <w:ind w:firstLine="373" w:firstLineChars="177"/>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第五章 双方权利义务</w:t>
      </w:r>
    </w:p>
    <w:p w14:paraId="0951462B">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第二十八条 甲方有以下权利：</w:t>
      </w:r>
    </w:p>
    <w:p w14:paraId="0B861877">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（一）指定协管员的招聘条件、体检标准；</w:t>
      </w:r>
    </w:p>
    <w:p w14:paraId="6CE96DFF">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（二）可随时向乙方要求调换不合适的协管员；</w:t>
      </w:r>
    </w:p>
    <w:p w14:paraId="43FD9CC9">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（三）按照《劳动法》及深圳市社保相关规定，对乙方制定的协管员的薪资结构和计算方法提出改进意见，监督乙方按时、足额发放协管员薪酬及绩效奖金；</w:t>
      </w:r>
    </w:p>
    <w:p w14:paraId="30601305">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（四）制定协管员的工作管理制度，要求乙方按照规章制度约束协管员的行为；</w:t>
      </w:r>
    </w:p>
    <w:p w14:paraId="63848E4C">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（五）要求乙方及时提供协管员的人事信息；</w:t>
      </w:r>
    </w:p>
    <w:p w14:paraId="76DA7D66">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（六）对乙方提供的报账金额和财务票据进行审核；</w:t>
      </w:r>
    </w:p>
    <w:p w14:paraId="01D30149">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（七）对乙方执行本合同条款的情况进行监督、检查和指导，方式包括但不限于：查阅乙方与服务项目相关的文书资料、要求乙方作出说明或提供资料等；</w:t>
      </w:r>
    </w:p>
    <w:p w14:paraId="36A8AC13">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（八）对乙方在提供服务中存在的问题提出整改要求，并要求乙方限时整改。</w:t>
      </w:r>
    </w:p>
    <w:p w14:paraId="16255CC2">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第二十九条 甲方履行以下义务：</w:t>
      </w:r>
    </w:p>
    <w:p w14:paraId="7DF2E306">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（一）合理安排协管员的服务内容和服务时间，并为协管员提供开展工作所需的设施、设备；</w:t>
      </w:r>
    </w:p>
    <w:p w14:paraId="7B948566">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（二）按时向乙方反馈协管员的服务质量考核等表现情况；</w:t>
      </w:r>
    </w:p>
    <w:p w14:paraId="0C6EA215">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（三）在乙方已提供完整、规范的财务票据及资料的情况下，及时向乙方支付服务费用。</w:t>
      </w:r>
    </w:p>
    <w:p w14:paraId="40FC93A1">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第三十条 乙方有以下权利：</w:t>
      </w:r>
    </w:p>
    <w:p w14:paraId="47C46E39">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（一）在遵守甲方制度规定和管理要求的前提下，要求甲方为协管员提供合理的工作环境和设施、设备；</w:t>
      </w:r>
    </w:p>
    <w:p w14:paraId="61D6C30E">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（二）向甲方了解协管员的服务表现情况；</w:t>
      </w:r>
    </w:p>
    <w:p w14:paraId="730D4EEA">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（三）在已向甲方提供完整、规范的财务票据及资料的情况下，要求甲方按时支付服务费用。</w:t>
      </w:r>
    </w:p>
    <w:p w14:paraId="3CDEC725">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第三十一条 乙方履行以下义务：</w:t>
      </w:r>
    </w:p>
    <w:p w14:paraId="5D430F0E">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（一）严格按照合同规定和甲方要求，组织开展协管员招聘，确保提供的协管员符合甲方要求；</w:t>
      </w:r>
    </w:p>
    <w:p w14:paraId="06D7B0F6">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甲方提出调换或者离职的协管员，应及时进行调换或补充。原则上应在48小时内完成，因客观原因补充确有困难的，经甲方同意后可延迟补充，具体时间以甲方意见为准。被调换的协管员，不得再次派出至甲方。</w:t>
      </w:r>
    </w:p>
    <w:p w14:paraId="716CEEC8">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（三）按照《劳动法》及深圳市社保相关规定，根据甲方改进意见完善协管员薪资结构及计算方法；按时、足额为协管员发放基本工资和绩效奖金，缴纳社会保险、住房公积金等；</w:t>
      </w:r>
    </w:p>
    <w:p w14:paraId="7CAF0D88">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（四）督促和监督协管员遵守国家法律法规，服从甲方的管理；</w:t>
      </w:r>
    </w:p>
    <w:p w14:paraId="66DD8AF0">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（五）定期对协管员组织开展思想教育、廉政教育，了解掌握思想、工作和生活动态，给予必要关心教育；</w:t>
      </w:r>
    </w:p>
    <w:p w14:paraId="048461C1">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（六）按照甲方要求提供协管员有关资料；</w:t>
      </w:r>
    </w:p>
    <w:p w14:paraId="612E38F7">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（七）按时提供合法、规范、准确的财务票据及费用结算凭证；</w:t>
      </w:r>
    </w:p>
    <w:p w14:paraId="1743331C">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（八）妥善保管与服务项目相关的管理资料，接受甲方对合同条款执行情况的监督、检查和指导，提供真实、完整的资料供甲方查阅；</w:t>
      </w:r>
    </w:p>
    <w:p w14:paraId="41F34C8E">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（九）根据甲方意见及时整改服务中存在的问题，并反馈改进情况。</w:t>
      </w:r>
    </w:p>
    <w:p w14:paraId="3F1DEE50">
      <w:pPr>
        <w:spacing w:line="360" w:lineRule="auto"/>
        <w:ind w:firstLine="371" w:firstLineChars="177"/>
        <w:rPr>
          <w:rFonts w:ascii="宋体" w:hAnsi="宋体" w:cs="宋体"/>
          <w:color w:val="000000" w:themeColor="text1"/>
          <w:szCs w:val="21"/>
          <w14:textFill>
            <w14:solidFill>
              <w14:schemeClr w14:val="tx1"/>
            </w14:solidFill>
          </w14:textFill>
        </w:rPr>
      </w:pPr>
    </w:p>
    <w:p w14:paraId="5C3D0BF8">
      <w:pPr>
        <w:spacing w:line="360" w:lineRule="auto"/>
        <w:ind w:firstLine="373" w:firstLineChars="177"/>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第六章 合同的执行与违约责任</w:t>
      </w:r>
    </w:p>
    <w:p w14:paraId="17956D84">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第三十二条 乙方应保证具有履行本合同的法定资质。</w:t>
      </w:r>
    </w:p>
    <w:p w14:paraId="26037917">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第三十三条 合同执行期间，乙方不得将服务项目分包、转包给第三方。</w:t>
      </w:r>
    </w:p>
    <w:p w14:paraId="2E0BF037">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第三十四条 乙方知晓甲方使用的是财政资金，经费下达时间及额度可能存在变化，如因市政府经费下达时出现经费额度及人员数量变化，甲方可根据实际经费下达额度对项目服务期限或协管员人数进行调整。</w:t>
      </w:r>
    </w:p>
    <w:p w14:paraId="2D27BDBB">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第三十五条 合同期内，任何一方不得擅自终止合同，因不可抗拒力造成合同无法履行时，双方可协议变更、中止或终止合同。如因不可抗拒力需提请变更或终止合同的，应提前60天书面通知对方。</w:t>
      </w:r>
    </w:p>
    <w:p w14:paraId="56470895">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如遇有关政策规定要求、项目经费来源变化等特殊情况致使合同无法履行，甲方应提前30天书面通知乙方，不负违约责任。</w:t>
      </w:r>
    </w:p>
    <w:p w14:paraId="0DE086BA">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第三十六条 因法律及政府有关规定调整致使本合同相关条款与之不一致的，甲方可变更本合同与法律法规不一致的部分。</w:t>
      </w:r>
    </w:p>
    <w:p w14:paraId="0BBB333E">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第三十七条 乙方未按规定执行合同条款内容的，第一次由甲方提出警告，乙方在限期内整改。同类问题出现第二次的，甲方有权终止合同并追究乙方的违约责任。甲方有权向相关管理部门及媒体举报、投诉乙方的违约行为。</w:t>
      </w:r>
    </w:p>
    <w:p w14:paraId="54CA4B65">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第三十八条 因乙方过错造成甲方经济损失的，乙方应当予以相应赔偿。因协管员个人过错或失误造成甲方经济损失的，乙方应承担赔偿责任。</w:t>
      </w:r>
    </w:p>
    <w:p w14:paraId="6FAADEC8">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第三十九条 双方如发生争议，应当友好协商，协商不成，可通过甲方所在地人民法院诉讼解决。</w:t>
      </w:r>
    </w:p>
    <w:p w14:paraId="2083CBC8">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第四十条 本合同期满前，甲方可对乙方履约情况进行考核，考核合格的甲乙双方可另行续签一年的合同，但只可续签一次，即甲方与乙方总的合作期限不超过24个月。续签一年的服务费用的结算与支付维持不变，具体权利义务以届时双方签署的书面合同为准。</w:t>
      </w:r>
    </w:p>
    <w:p w14:paraId="1E2458FC">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第四十一条 本合同期满后，甲方未获得预算额度或需求取消的，经甲方书面通知乙方后，合同到期终止，不再延长。</w:t>
      </w:r>
    </w:p>
    <w:p w14:paraId="174A5B68">
      <w:pPr>
        <w:spacing w:line="360" w:lineRule="auto"/>
        <w:ind w:firstLine="373" w:firstLineChars="177"/>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第七章 附则</w:t>
      </w:r>
    </w:p>
    <w:p w14:paraId="01C66840">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第四十二条 本合同所提到的“以上”、“以下”均包含本数。</w:t>
      </w:r>
    </w:p>
    <w:p w14:paraId="6486F1E4">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第四十三条 本合同所提到的金额，本位币均为人民币。</w:t>
      </w:r>
    </w:p>
    <w:p w14:paraId="77F9BD7F">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第四十四条 本合同壹式肆份，双方各执贰份，具备同等法律效力。</w:t>
      </w:r>
    </w:p>
    <w:p w14:paraId="32DEB399">
      <w:pPr>
        <w:spacing w:line="360" w:lineRule="auto"/>
        <w:ind w:firstLine="371" w:firstLineChars="177"/>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第四十五条 本合同经甲乙双方签字盖章后生效。</w:t>
      </w:r>
    </w:p>
    <w:p w14:paraId="2360E780">
      <w:pPr>
        <w:spacing w:line="360" w:lineRule="auto"/>
        <w:ind w:firstLine="371" w:firstLineChars="177"/>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第四十六条 本合同所有条款甲方已履行提示或说明义务，乙方已完全知晓并自愿履行</w:t>
      </w:r>
      <w:r>
        <w:rPr>
          <w:rFonts w:hint="eastAsia" w:ascii="宋体" w:hAnsi="宋体" w:cs="宋体"/>
          <w:color w:val="000000" w:themeColor="text1"/>
          <w:szCs w:val="21"/>
          <w:lang w:eastAsia="zh-CN"/>
          <w14:textFill>
            <w14:solidFill>
              <w14:schemeClr w14:val="tx1"/>
            </w14:solidFill>
          </w14:textFill>
        </w:rPr>
        <w:t>。</w:t>
      </w:r>
    </w:p>
    <w:p w14:paraId="634D34D0">
      <w:pPr>
        <w:spacing w:line="360" w:lineRule="auto"/>
        <w:ind w:firstLine="371" w:firstLineChars="177"/>
        <w:rPr>
          <w:rFonts w:ascii="宋体" w:hAnsi="宋体" w:cs="宋体"/>
          <w:color w:val="000000" w:themeColor="text1"/>
          <w:szCs w:val="21"/>
          <w14:textFill>
            <w14:solidFill>
              <w14:schemeClr w14:val="tx1"/>
            </w14:solidFill>
          </w14:textFill>
        </w:rPr>
      </w:pPr>
    </w:p>
    <w:p w14:paraId="74C14C6F">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甲方签字（盖章）              乙方签字（盖章）</w:t>
      </w:r>
    </w:p>
    <w:p w14:paraId="5367EB1B">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代 表：                       代 表：</w:t>
      </w:r>
    </w:p>
    <w:p w14:paraId="2E74A2D7">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联系地址：                    联系地址：</w:t>
      </w:r>
    </w:p>
    <w:p w14:paraId="29289AD8">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联系电话：                    联系电话：</w:t>
      </w:r>
    </w:p>
    <w:p w14:paraId="0C6403E3">
      <w:pPr>
        <w:spacing w:line="360" w:lineRule="auto"/>
        <w:ind w:firstLine="371" w:firstLineChars="177"/>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 期：                       日 期：</w:t>
      </w:r>
    </w:p>
    <w:p w14:paraId="160BA704">
      <w:pPr>
        <w:rPr>
          <w:rFonts w:ascii="宋体" w:hAnsi="宋体" w:cs="宋体"/>
        </w:rPr>
      </w:pPr>
      <w:r>
        <w:rPr>
          <w:rFonts w:hint="eastAsia" w:ascii="宋体" w:hAnsi="宋体" w:cs="宋体"/>
          <w:szCs w:val="21"/>
        </w:rPr>
        <w:br w:type="page"/>
      </w:r>
    </w:p>
    <w:p w14:paraId="73FE468B">
      <w:pPr>
        <w:pStyle w:val="3"/>
      </w:pPr>
      <w:r>
        <w:rPr>
          <w:rFonts w:hint="eastAsia"/>
        </w:rPr>
        <w:t>第九章  附件</w:t>
      </w:r>
      <w:bookmarkEnd w:id="105"/>
      <w:bookmarkEnd w:id="106"/>
    </w:p>
    <w:p w14:paraId="5389C855">
      <w:pPr>
        <w:pStyle w:val="2"/>
        <w:spacing w:before="0" w:after="0"/>
      </w:pPr>
      <w:bookmarkStart w:id="107" w:name="_Toc171350615"/>
      <w:bookmarkStart w:id="108" w:name="_Toc73610162"/>
      <w:bookmarkStart w:id="109" w:name="_Toc73613644"/>
      <w:r>
        <w:rPr>
          <w:rFonts w:hint="eastAsia"/>
        </w:rPr>
        <w:t>一、财政部 工业和信息化部关于印发《政府采购促进中小企业发展管理办法》的通知</w:t>
      </w:r>
      <w:bookmarkEnd w:id="107"/>
      <w:bookmarkEnd w:id="108"/>
      <w:bookmarkEnd w:id="109"/>
    </w:p>
    <w:p w14:paraId="17264218">
      <w:pPr>
        <w:widowControl/>
        <w:shd w:val="clear" w:color="auto" w:fill="FFFFFF"/>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财库〔2020〕46号</w:t>
      </w:r>
    </w:p>
    <w:p w14:paraId="5D05DAA2">
      <w:pPr>
        <w:widowControl/>
        <w:shd w:val="clear" w:color="auto" w:fill="FFFFFF"/>
        <w:spacing w:line="360" w:lineRule="auto"/>
        <w:rPr>
          <w:rFonts w:ascii="宋体" w:hAnsi="宋体" w:cs="宋体"/>
          <w:color w:val="333333"/>
          <w:kern w:val="0"/>
          <w:szCs w:val="21"/>
        </w:rPr>
      </w:pPr>
      <w:r>
        <w:rPr>
          <w:rFonts w:hint="eastAsia" w:ascii="宋体" w:hAnsi="宋体" w:cs="宋体"/>
          <w:color w:val="333333"/>
          <w:kern w:val="0"/>
          <w:szCs w:val="21"/>
        </w:rPr>
        <w:t>各中央预算单位办公厅（室），各省、自治区、直辖市、计划单列市财政厅（局）、工业和信息化主管部门，新疆生产建设兵团财政局、工业和信息化主管部门：</w:t>
      </w:r>
    </w:p>
    <w:p w14:paraId="076B8E93">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086839B7">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附件：政府采购促进中小企业发展管理办法</w:t>
      </w:r>
    </w:p>
    <w:p w14:paraId="3FEABAF8">
      <w:pPr>
        <w:widowControl/>
        <w:shd w:val="clear" w:color="auto" w:fill="FFFFFF"/>
        <w:spacing w:line="360" w:lineRule="auto"/>
        <w:jc w:val="right"/>
        <w:rPr>
          <w:rFonts w:ascii="宋体" w:hAnsi="宋体" w:cs="宋体"/>
          <w:color w:val="333333"/>
          <w:kern w:val="0"/>
          <w:szCs w:val="21"/>
        </w:rPr>
      </w:pPr>
      <w:r>
        <w:rPr>
          <w:rFonts w:hint="eastAsia" w:ascii="宋体" w:hAnsi="宋体" w:cs="宋体"/>
          <w:color w:val="333333"/>
          <w:kern w:val="0"/>
          <w:szCs w:val="21"/>
        </w:rPr>
        <w:t>财　　政　　部</w:t>
      </w:r>
    </w:p>
    <w:p w14:paraId="3AEAB073">
      <w:pPr>
        <w:widowControl/>
        <w:shd w:val="clear" w:color="auto" w:fill="FFFFFF"/>
        <w:spacing w:line="360" w:lineRule="auto"/>
        <w:jc w:val="right"/>
        <w:rPr>
          <w:rFonts w:ascii="宋体" w:hAnsi="宋体" w:cs="宋体"/>
          <w:color w:val="333333"/>
          <w:kern w:val="0"/>
          <w:szCs w:val="21"/>
        </w:rPr>
      </w:pPr>
      <w:r>
        <w:rPr>
          <w:rFonts w:hint="eastAsia" w:ascii="宋体" w:hAnsi="宋体" w:cs="宋体"/>
          <w:color w:val="333333"/>
          <w:kern w:val="0"/>
          <w:szCs w:val="21"/>
        </w:rPr>
        <w:t>工业和信息化部</w:t>
      </w:r>
    </w:p>
    <w:p w14:paraId="66DFEB55">
      <w:pPr>
        <w:widowControl/>
        <w:shd w:val="clear" w:color="auto" w:fill="FFFFFF"/>
        <w:spacing w:line="360" w:lineRule="auto"/>
        <w:jc w:val="right"/>
        <w:rPr>
          <w:rFonts w:ascii="宋体" w:hAnsi="宋体" w:cs="宋体"/>
          <w:color w:val="333333"/>
          <w:kern w:val="0"/>
          <w:szCs w:val="21"/>
        </w:rPr>
      </w:pPr>
      <w:r>
        <w:rPr>
          <w:rFonts w:hint="eastAsia" w:ascii="宋体" w:hAnsi="宋体" w:cs="宋体"/>
          <w:color w:val="333333"/>
          <w:kern w:val="0"/>
          <w:szCs w:val="21"/>
        </w:rPr>
        <w:t>2020年12月18日</w:t>
      </w:r>
    </w:p>
    <w:p w14:paraId="0470E760">
      <w:pPr>
        <w:widowControl/>
        <w:shd w:val="clear" w:color="auto" w:fill="FFFFFF"/>
        <w:spacing w:line="360" w:lineRule="auto"/>
        <w:ind w:firstLine="480"/>
        <w:rPr>
          <w:rFonts w:ascii="宋体" w:hAnsi="宋体" w:cs="宋体"/>
          <w:color w:val="333333"/>
          <w:kern w:val="0"/>
          <w:szCs w:val="21"/>
        </w:rPr>
      </w:pPr>
    </w:p>
    <w:p w14:paraId="0DF3B56B">
      <w:pPr>
        <w:widowControl/>
        <w:shd w:val="clear" w:color="auto" w:fill="FFFFFF"/>
        <w:spacing w:line="360" w:lineRule="auto"/>
        <w:rPr>
          <w:rFonts w:ascii="宋体" w:hAnsi="宋体" w:cs="宋体"/>
          <w:color w:val="333333"/>
          <w:kern w:val="0"/>
          <w:szCs w:val="21"/>
        </w:rPr>
      </w:pPr>
      <w:r>
        <w:rPr>
          <w:rFonts w:hint="eastAsia" w:ascii="宋体" w:hAnsi="宋体" w:cs="宋体"/>
          <w:b/>
          <w:bCs/>
          <w:color w:val="333333"/>
          <w:kern w:val="0"/>
          <w:szCs w:val="21"/>
        </w:rPr>
        <w:t>附件</w:t>
      </w:r>
    </w:p>
    <w:p w14:paraId="0D5DEA36">
      <w:pPr>
        <w:widowControl/>
        <w:shd w:val="clear" w:color="auto" w:fill="FFFFFF"/>
        <w:spacing w:line="360" w:lineRule="auto"/>
        <w:ind w:firstLine="480"/>
        <w:rPr>
          <w:rFonts w:ascii="宋体" w:hAnsi="宋体" w:cs="宋体"/>
          <w:color w:val="333333"/>
          <w:kern w:val="0"/>
          <w:szCs w:val="21"/>
        </w:rPr>
      </w:pPr>
    </w:p>
    <w:p w14:paraId="15A616F8">
      <w:pPr>
        <w:widowControl/>
        <w:shd w:val="clear" w:color="auto" w:fill="FFFFFF"/>
        <w:spacing w:line="360" w:lineRule="auto"/>
        <w:jc w:val="center"/>
        <w:rPr>
          <w:rFonts w:ascii="宋体" w:hAnsi="宋体" w:cs="宋体"/>
          <w:color w:val="333333"/>
          <w:kern w:val="0"/>
          <w:szCs w:val="21"/>
        </w:rPr>
      </w:pPr>
      <w:r>
        <w:rPr>
          <w:rFonts w:hint="eastAsia" w:ascii="宋体" w:hAnsi="宋体" w:cs="宋体"/>
          <w:b/>
          <w:bCs/>
          <w:color w:val="333333"/>
          <w:kern w:val="0"/>
          <w:szCs w:val="21"/>
        </w:rPr>
        <w:t>政府采购促进中小企业发展管理办法</w:t>
      </w:r>
    </w:p>
    <w:p w14:paraId="41AB12DB">
      <w:pPr>
        <w:widowControl/>
        <w:shd w:val="clear" w:color="auto" w:fill="FFFFFF"/>
        <w:spacing w:line="360" w:lineRule="auto"/>
        <w:ind w:firstLine="480"/>
        <w:rPr>
          <w:rFonts w:ascii="宋体" w:hAnsi="宋体" w:cs="宋体"/>
          <w:color w:val="333333"/>
          <w:kern w:val="0"/>
          <w:szCs w:val="21"/>
        </w:rPr>
      </w:pPr>
    </w:p>
    <w:p w14:paraId="5AB3917F">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第一条</w:t>
      </w:r>
      <w:r>
        <w:rPr>
          <w:rFonts w:hint="eastAsia" w:ascii="宋体" w:hAnsi="宋体" w:cs="宋体"/>
          <w:color w:val="333333"/>
          <w:kern w:val="0"/>
          <w:szCs w:val="21"/>
        </w:rPr>
        <w:t>　为了发挥政府采购的政策功能，促进中小企业健康发展，根据《中华人民共和国政府采购法》、《中华人民共和国中小企业促进法》等有关法律法规，制定本办法。</w:t>
      </w:r>
    </w:p>
    <w:p w14:paraId="3E831887">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第二条</w:t>
      </w:r>
      <w:r>
        <w:rPr>
          <w:rFonts w:hint="eastAsia" w:ascii="宋体" w:hAnsi="宋体" w:cs="宋体"/>
          <w:color w:val="333333"/>
          <w:kern w:val="0"/>
          <w:szCs w:val="21"/>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708A74B9">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符合中小企业划分标准的个体工商户，在政府采购活动中视同中小企业。</w:t>
      </w:r>
    </w:p>
    <w:p w14:paraId="77B6AB94">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第三条</w:t>
      </w:r>
      <w:r>
        <w:rPr>
          <w:rFonts w:hint="eastAsia" w:ascii="宋体" w:hAnsi="宋体" w:cs="宋体"/>
          <w:color w:val="333333"/>
          <w:kern w:val="0"/>
          <w:szCs w:val="21"/>
        </w:rPr>
        <w:t>　采购人在政府采购活动中应当通过加强采购需求管理，落实预留采购份额、价格评审优惠、优先采购等措施，提高中小企业在政府采购中的份额，支持中小企业发展。</w:t>
      </w:r>
    </w:p>
    <w:p w14:paraId="63DD1006">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第四条</w:t>
      </w:r>
      <w:r>
        <w:rPr>
          <w:rFonts w:hint="eastAsia" w:ascii="宋体" w:hAnsi="宋体" w:cs="宋体"/>
          <w:color w:val="333333"/>
          <w:kern w:val="0"/>
          <w:szCs w:val="21"/>
        </w:rPr>
        <w:t>　在政府采购活动中，供应商提供的货物、工程或者服务符合下列情形的，享受本办法规定的中小企业扶持政策：</w:t>
      </w:r>
    </w:p>
    <w:p w14:paraId="348A745F">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（一）在货物采购项目中，货物由中小企业制造，即货物由中小企业生产且使用该中小企业商号或者注册商标；</w:t>
      </w:r>
    </w:p>
    <w:p w14:paraId="70B230C0">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（二）在工程采购项目中，工程由中小企业承建，即工程施工单位为中小企业；</w:t>
      </w:r>
    </w:p>
    <w:p w14:paraId="45F6A428">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（三）在服务采购项目中，服务由中小企业承接，即提供服务的人员为中小企业依照《中华人民共和国劳动合同法》订立劳动合同的从业人员。</w:t>
      </w:r>
    </w:p>
    <w:p w14:paraId="097DBEBC">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在货物采购项目中，供应商提供的货物既有中小企业制造货物，也有大型企业制造货物的，不享受本办法规定的中小企业扶持政策。</w:t>
      </w:r>
    </w:p>
    <w:p w14:paraId="7B8291B1">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以联合体形式参加政府采购活动，联合体各方均为中小企业的，联合体视同中小企业。其中，联合体各方均为小微企业的，联合体视同小微企业。</w:t>
      </w:r>
    </w:p>
    <w:p w14:paraId="1E1133BD">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第五条</w:t>
      </w:r>
      <w:r>
        <w:rPr>
          <w:rFonts w:hint="eastAsia" w:ascii="宋体" w:hAnsi="宋体" w:cs="宋体"/>
          <w:color w:val="333333"/>
          <w:kern w:val="0"/>
          <w:szCs w:val="21"/>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585BD5F9">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第六条</w:t>
      </w:r>
      <w:r>
        <w:rPr>
          <w:rFonts w:hint="eastAsia" w:ascii="宋体" w:hAnsi="宋体" w:cs="宋体"/>
          <w:color w:val="333333"/>
          <w:kern w:val="0"/>
          <w:szCs w:val="21"/>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4C28B1C2">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符合下列情形之一的，可不专门面向中小企业预留采购份额：</w:t>
      </w:r>
    </w:p>
    <w:p w14:paraId="26EC41F5">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（一）法律法规和国家有关政策明确规定优先或者应当面向事业单位、社会组织等非企业主体采购的；</w:t>
      </w:r>
    </w:p>
    <w:p w14:paraId="69F4336B">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（二）因确需使用不可替代的专利、专有技术，基础设施限制，或者提供特定公共服务等原因，只能从中小企业之外的供应商处采购的；</w:t>
      </w:r>
    </w:p>
    <w:p w14:paraId="391F87B2">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（三）按照本办法规定预留采购份额无法确保充分供应、充分竞争，或者存在可能影响政府采购目标实现的情形；</w:t>
      </w:r>
    </w:p>
    <w:p w14:paraId="090761A4">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（四）框架协议采购项目；</w:t>
      </w:r>
    </w:p>
    <w:p w14:paraId="6A89AE50">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（五）省级以上人民政府财政部门规定的其他情形。</w:t>
      </w:r>
    </w:p>
    <w:p w14:paraId="024A55AB">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除上述情形外，其他均为适宜由中小企业提供的情形。</w:t>
      </w:r>
    </w:p>
    <w:p w14:paraId="659BDA21">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第七条</w:t>
      </w:r>
      <w:r>
        <w:rPr>
          <w:rFonts w:hint="eastAsia" w:ascii="宋体" w:hAnsi="宋体" w:cs="宋体"/>
          <w:color w:val="333333"/>
          <w:kern w:val="0"/>
          <w:szCs w:val="21"/>
        </w:rPr>
        <w:t>　采购限额标准以上，200万元以下的货物和服务采购项目、400万元以下的工程采购项目，适宜由中小企业提供的，采购人应当专门面向中小企业采购。</w:t>
      </w:r>
    </w:p>
    <w:p w14:paraId="49B6BCBD">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第八条</w:t>
      </w:r>
      <w:r>
        <w:rPr>
          <w:rFonts w:hint="eastAsia" w:ascii="宋体" w:hAnsi="宋体" w:cs="宋体"/>
          <w:color w:val="333333"/>
          <w:kern w:val="0"/>
          <w:szCs w:val="21"/>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1B750FD6">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（一）将采购项目整体或者设置采购包专门面向中小企业采购；</w:t>
      </w:r>
    </w:p>
    <w:p w14:paraId="0A52C34E">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（二）要求供应商以联合体形式参加采购活动，且联合体中中小企业承担的部分达到一定比例；</w:t>
      </w:r>
    </w:p>
    <w:p w14:paraId="21FB874E">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（三）要求获得采购合同的供应商将采购项目中的一定比例分包给一家或者多家中小企业。</w:t>
      </w:r>
    </w:p>
    <w:p w14:paraId="4DB087AF">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组成联合体或者接受分包合同的中小企业与联合体内其他企业、分包企业之间不得存在直接控股、管理关系。</w:t>
      </w:r>
    </w:p>
    <w:p w14:paraId="0BCC9B89">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第九条</w:t>
      </w:r>
      <w:r>
        <w:rPr>
          <w:rFonts w:hint="eastAsia" w:ascii="宋体" w:hAnsi="宋体" w:cs="宋体"/>
          <w:color w:val="333333"/>
          <w:kern w:val="0"/>
          <w:szCs w:val="21"/>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7CF5F5D5">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2757AD68">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79BDF5F8">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第十条</w:t>
      </w:r>
      <w:r>
        <w:rPr>
          <w:rFonts w:hint="eastAsia" w:ascii="宋体" w:hAnsi="宋体" w:cs="宋体"/>
          <w:color w:val="333333"/>
          <w:kern w:val="0"/>
          <w:szCs w:val="21"/>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7F165B62">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第十一条</w:t>
      </w:r>
      <w:r>
        <w:rPr>
          <w:rFonts w:hint="eastAsia" w:ascii="宋体" w:hAnsi="宋体" w:cs="宋体"/>
          <w:color w:val="333333"/>
          <w:kern w:val="0"/>
          <w:szCs w:val="21"/>
        </w:rPr>
        <w:t>　中小企业参加政府采购活动，应当出具本办法规定的《中小企业声明函》（附1），否则不得享受相关中小企业扶持政策。任何单位和个人不得要求供应商提供《中小企业声明函》之外的中小企业身份证明文件。</w:t>
      </w:r>
    </w:p>
    <w:p w14:paraId="5E4DCBC4">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第十二条</w:t>
      </w:r>
      <w:r>
        <w:rPr>
          <w:rFonts w:hint="eastAsia" w:ascii="宋体" w:hAnsi="宋体" w:cs="宋体"/>
          <w:color w:val="333333"/>
          <w:kern w:val="0"/>
          <w:szCs w:val="21"/>
        </w:rPr>
        <w:t>　采购项目涉及中小企业采购的，采购文件应当明确以下内容：</w:t>
      </w:r>
    </w:p>
    <w:p w14:paraId="745D32E1">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（一）预留份额的采购项目或者采购包，明确该项目或相关采购包专门面向中小企业采购，以及相关标的及预算金额；</w:t>
      </w:r>
    </w:p>
    <w:p w14:paraId="6A6F6A03">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（二）要求以联合体形式参加或者合同分包的，明确联合协议或者分包意向协议中中小企业合同金额应当达到的比例，并作为供应商资格条件；</w:t>
      </w:r>
    </w:p>
    <w:p w14:paraId="79605CA5">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（三）非预留份额的采购项目或者采购包，明确有关价格扣除比例或者价格分加分比例；</w:t>
      </w:r>
    </w:p>
    <w:p w14:paraId="72AA4AF5">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（四）规定依据本办法规定享受扶持政策获得政府采购合同的，小微企业不得将合同分包给大中型企业，中型企业不得将合同分包给大型企业；</w:t>
      </w:r>
    </w:p>
    <w:p w14:paraId="072E302B">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（五）采购人认为具备相关条件的，明确对中小企业在资金支付期限、预付款比例等方面的优惠措施；</w:t>
      </w:r>
    </w:p>
    <w:p w14:paraId="171F8968">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（六）明确采购标的对应的中小企业划分标准所属行业；</w:t>
      </w:r>
    </w:p>
    <w:p w14:paraId="1BF25B47">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（七）法律法规和省级以上人民政府财政部门规定的其他事项。</w:t>
      </w:r>
    </w:p>
    <w:p w14:paraId="75F5F302">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第十三条</w:t>
      </w:r>
      <w:r>
        <w:rPr>
          <w:rFonts w:hint="eastAsia" w:ascii="宋体" w:hAnsi="宋体" w:cs="宋体"/>
          <w:color w:val="333333"/>
          <w:kern w:val="0"/>
          <w:szCs w:val="21"/>
        </w:rPr>
        <w:t>　中标、成交供应商享受本办法规定的中小企业扶持政策的，采购人、采购代理机构应当随中标、成交结果公开中标、成交供应商的《中小企业声明函》。</w:t>
      </w:r>
    </w:p>
    <w:p w14:paraId="6B2C2618">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适用招标投标法的政府采购工程建设项目，应当在公示中标候选人时公开中标候选人的《中小企业声明函》。</w:t>
      </w:r>
    </w:p>
    <w:p w14:paraId="73FA18AD">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第十四条</w:t>
      </w:r>
      <w:r>
        <w:rPr>
          <w:rFonts w:hint="eastAsia" w:ascii="宋体" w:hAnsi="宋体" w:cs="宋体"/>
          <w:color w:val="333333"/>
          <w:kern w:val="0"/>
          <w:szCs w:val="21"/>
        </w:rPr>
        <w:t>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62A1B444">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第十五条</w:t>
      </w:r>
      <w:r>
        <w:rPr>
          <w:rFonts w:hint="eastAsia" w:ascii="宋体" w:hAnsi="宋体" w:cs="宋体"/>
          <w:color w:val="333333"/>
          <w:kern w:val="0"/>
          <w:szCs w:val="21"/>
        </w:rPr>
        <w:t>　鼓励各地区、各部门在采购活动中允许中小企业引入信用担保手段，为中小企业在投标（响应）保证、履约保证等方面提供专业化服务。鼓励中小企业依法合规通过政府采购合同融资。</w:t>
      </w:r>
    </w:p>
    <w:p w14:paraId="4A70A50C">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第十六条</w:t>
      </w:r>
      <w:r>
        <w:rPr>
          <w:rFonts w:hint="eastAsia" w:ascii="宋体" w:hAnsi="宋体" w:cs="宋体"/>
          <w:color w:val="333333"/>
          <w:kern w:val="0"/>
          <w:szCs w:val="21"/>
        </w:rPr>
        <w:t>　政府采购监督检查、投诉处理及政府采购行政处罚中对中小企业的认定，由货物制造商或者工程、服务供应商注册登记所在地的县级以上人民政府中小企业主管部门负责。</w:t>
      </w:r>
    </w:p>
    <w:p w14:paraId="13E749BC">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中小企业主管部门应当在收到财政部门或者有关招标投标行政监督部门关于协助开展中小企业认定函后10个工作日内做出书面答复。</w:t>
      </w:r>
    </w:p>
    <w:p w14:paraId="6E2056DA">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第十七条</w:t>
      </w:r>
      <w:r>
        <w:rPr>
          <w:rFonts w:hint="eastAsia" w:ascii="宋体" w:hAnsi="宋体" w:cs="宋体"/>
          <w:color w:val="333333"/>
          <w:kern w:val="0"/>
          <w:szCs w:val="21"/>
        </w:rPr>
        <w:t>　各地区、各部门应当对涉及中小企业采购的预算项目实施全过程绩效管理，合理设置绩效目标和指标，落实扶持中小企业有关政策要求，定期开展绩效监控和评价，强化绩效评价结果应用。</w:t>
      </w:r>
    </w:p>
    <w:p w14:paraId="18CD5CD2">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第十八条</w:t>
      </w:r>
      <w:r>
        <w:rPr>
          <w:rFonts w:hint="eastAsia" w:ascii="宋体" w:hAnsi="宋体" w:cs="宋体"/>
          <w:color w:val="333333"/>
          <w:kern w:val="0"/>
          <w:szCs w:val="21"/>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2BED037B">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第十九条</w:t>
      </w:r>
      <w:r>
        <w:rPr>
          <w:rFonts w:hint="eastAsia" w:ascii="宋体" w:hAnsi="宋体" w:cs="宋体"/>
          <w:color w:val="333333"/>
          <w:kern w:val="0"/>
          <w:szCs w:val="21"/>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63FE3182">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第二十条</w:t>
      </w:r>
      <w:r>
        <w:rPr>
          <w:rFonts w:hint="eastAsia" w:ascii="宋体" w:hAnsi="宋体" w:cs="宋体"/>
          <w:color w:val="333333"/>
          <w:kern w:val="0"/>
          <w:szCs w:val="21"/>
        </w:rPr>
        <w:t>　供应商按照本办法规定提供声明函内容不实的，属于提供虚假材料谋取中标、成交，依照《中华人民共和国政府采购法》等国家有关规定追究相应责任。</w:t>
      </w:r>
    </w:p>
    <w:p w14:paraId="2C8C795F">
      <w:pPr>
        <w:widowControl/>
        <w:shd w:val="clear" w:color="auto" w:fill="FFFFFF"/>
        <w:spacing w:line="360" w:lineRule="auto"/>
        <w:ind w:firstLine="480"/>
        <w:rPr>
          <w:rFonts w:ascii="宋体" w:hAnsi="宋体" w:cs="宋体"/>
          <w:color w:val="333333"/>
          <w:kern w:val="0"/>
          <w:szCs w:val="21"/>
        </w:rPr>
      </w:pPr>
      <w:r>
        <w:rPr>
          <w:rFonts w:hint="eastAsia" w:ascii="宋体" w:hAnsi="宋体" w:cs="宋体"/>
          <w:color w:val="333333"/>
          <w:kern w:val="0"/>
          <w:szCs w:val="21"/>
        </w:rPr>
        <w:t>适用招标投标法的政府采购工程建设项目，投标人按照本办法规定提供声明函内容不实的，属于弄虚作假骗取中标，依照《中华人民共和国招标投标法》等国家有关规定追究相应责任。</w:t>
      </w:r>
    </w:p>
    <w:p w14:paraId="59A7F114">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第二十一条</w:t>
      </w:r>
      <w:r>
        <w:rPr>
          <w:rFonts w:hint="eastAsia" w:ascii="宋体" w:hAnsi="宋体" w:cs="宋体"/>
          <w:color w:val="333333"/>
          <w:kern w:val="0"/>
          <w:szCs w:val="21"/>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2B1D82D7">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第二十二条</w:t>
      </w:r>
      <w:r>
        <w:rPr>
          <w:rFonts w:hint="eastAsia" w:ascii="宋体" w:hAnsi="宋体" w:cs="宋体"/>
          <w:color w:val="333333"/>
          <w:kern w:val="0"/>
          <w:szCs w:val="21"/>
        </w:rPr>
        <w:t>　对外援助项目、国家相关资格或者资质管理制度另有规定的项目，不适用本办法。</w:t>
      </w:r>
    </w:p>
    <w:p w14:paraId="6E9746C8">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第二十三条</w:t>
      </w:r>
      <w:r>
        <w:rPr>
          <w:rFonts w:hint="eastAsia" w:ascii="宋体" w:hAnsi="宋体" w:cs="宋体"/>
          <w:color w:val="333333"/>
          <w:kern w:val="0"/>
          <w:szCs w:val="21"/>
        </w:rPr>
        <w:t>　关于视同中小企业的其他主体的政府采购扶持政策，由财政部会同有关部门另行规定。</w:t>
      </w:r>
    </w:p>
    <w:p w14:paraId="5B54E4F7">
      <w:pPr>
        <w:widowControl/>
        <w:shd w:val="clear" w:color="auto" w:fill="FFFFFF"/>
        <w:spacing w:line="360" w:lineRule="auto"/>
        <w:ind w:firstLine="480"/>
        <w:rPr>
          <w:rFonts w:ascii="宋体" w:hAnsi="宋体" w:cs="宋体"/>
          <w:color w:val="333333"/>
          <w:kern w:val="0"/>
          <w:szCs w:val="21"/>
        </w:rPr>
      </w:pPr>
      <w:r>
        <w:rPr>
          <w:rFonts w:hint="eastAsia" w:ascii="宋体" w:hAnsi="宋体" w:cs="宋体"/>
          <w:b/>
          <w:bCs/>
          <w:color w:val="333333"/>
          <w:kern w:val="0"/>
          <w:szCs w:val="21"/>
        </w:rPr>
        <w:t>第二十四条</w:t>
      </w:r>
      <w:r>
        <w:rPr>
          <w:rFonts w:hint="eastAsia" w:ascii="宋体" w:hAnsi="宋体" w:cs="宋体"/>
          <w:color w:val="333333"/>
          <w:kern w:val="0"/>
          <w:szCs w:val="21"/>
        </w:rPr>
        <w:t>　省级财政部门可以会同中小企业主管部门根据本办法的规定制定具体实施办法。</w:t>
      </w:r>
    </w:p>
    <w:p w14:paraId="153C8AA4">
      <w:pPr>
        <w:widowControl/>
        <w:shd w:val="clear" w:color="auto" w:fill="FFFFFF"/>
        <w:spacing w:line="360" w:lineRule="auto"/>
        <w:ind w:firstLine="480"/>
        <w:jc w:val="left"/>
        <w:rPr>
          <w:rFonts w:ascii="宋体" w:hAnsi="宋体" w:cs="宋体"/>
          <w:color w:val="333333"/>
          <w:kern w:val="0"/>
          <w:szCs w:val="21"/>
        </w:rPr>
      </w:pPr>
      <w:r>
        <w:rPr>
          <w:rFonts w:hint="eastAsia" w:ascii="宋体" w:hAnsi="宋体" w:cs="宋体"/>
          <w:b/>
          <w:bCs/>
          <w:color w:val="333333"/>
          <w:kern w:val="0"/>
          <w:szCs w:val="21"/>
        </w:rPr>
        <w:t>第二十五条</w:t>
      </w:r>
      <w:r>
        <w:rPr>
          <w:rFonts w:hint="eastAsia" w:ascii="宋体" w:hAnsi="宋体" w:cs="宋体"/>
          <w:color w:val="333333"/>
          <w:kern w:val="0"/>
          <w:szCs w:val="21"/>
        </w:rPr>
        <w:t>　本办法自2021年1月1日起施行。《财政部 工业和信息化部关于印发〈政府采购促进中小企业发展暂行办法〉的通知》（财库〔2011〕181号）同时废止。</w:t>
      </w:r>
    </w:p>
    <w:p w14:paraId="1DBAB5E3">
      <w:pPr>
        <w:widowControl/>
        <w:shd w:val="clear" w:color="auto" w:fill="FFFFFF"/>
        <w:spacing w:line="360" w:lineRule="auto"/>
        <w:ind w:firstLine="480"/>
        <w:jc w:val="left"/>
        <w:rPr>
          <w:rFonts w:ascii="宋体" w:hAnsi="宋体" w:cs="宋体"/>
          <w:color w:val="333333"/>
          <w:kern w:val="0"/>
          <w:szCs w:val="21"/>
        </w:rPr>
      </w:pPr>
    </w:p>
    <w:p w14:paraId="50007791">
      <w:pPr>
        <w:spacing w:line="360" w:lineRule="auto"/>
        <w:rPr>
          <w:rFonts w:ascii="宋体" w:hAnsi="宋体"/>
          <w:szCs w:val="21"/>
        </w:rPr>
      </w:pPr>
    </w:p>
    <w:p w14:paraId="0ACCC3BF">
      <w:pPr>
        <w:pStyle w:val="2"/>
        <w:spacing w:before="0" w:after="0"/>
      </w:pPr>
      <w:bookmarkStart w:id="110" w:name="_Toc73613645"/>
      <w:bookmarkStart w:id="111" w:name="_Toc171350616"/>
      <w:bookmarkStart w:id="112" w:name="_Toc73610163"/>
      <w:r>
        <w:rPr>
          <w:rFonts w:hint="eastAsia"/>
        </w:rPr>
        <w:t>二、关于印发中小企业划型标准规定的通知</w:t>
      </w:r>
      <w:bookmarkEnd w:id="110"/>
      <w:bookmarkEnd w:id="111"/>
      <w:bookmarkEnd w:id="112"/>
    </w:p>
    <w:p w14:paraId="79682963">
      <w:pPr>
        <w:widowControl/>
        <w:shd w:val="clear" w:color="auto" w:fill="FFFFFF"/>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工信部联企业〔2011〕300号</w:t>
      </w:r>
    </w:p>
    <w:p w14:paraId="6B2A7701">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各省、自治区、直辖市人民政府，国务院各部委、各直属机构及有关单位：</w:t>
      </w:r>
    </w:p>
    <w:p w14:paraId="210B1A37">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E85E650">
      <w:pPr>
        <w:widowControl/>
        <w:shd w:val="clear" w:color="auto" w:fill="FFFFFF"/>
        <w:spacing w:before="100" w:beforeAutospacing="1" w:after="100" w:afterAutospacing="1" w:line="360" w:lineRule="auto"/>
        <w:jc w:val="right"/>
        <w:rPr>
          <w:rFonts w:ascii="宋体" w:hAnsi="宋体" w:cs="宋体"/>
          <w:color w:val="000000"/>
          <w:kern w:val="0"/>
          <w:szCs w:val="21"/>
        </w:rPr>
      </w:pPr>
    </w:p>
    <w:p w14:paraId="0706A611">
      <w:pPr>
        <w:widowControl/>
        <w:shd w:val="clear" w:color="auto" w:fill="FFFFFF"/>
        <w:spacing w:before="100" w:beforeAutospacing="1" w:after="100" w:afterAutospacing="1" w:line="360" w:lineRule="auto"/>
        <w:jc w:val="right"/>
        <w:rPr>
          <w:rFonts w:ascii="宋体" w:hAnsi="宋体" w:cs="宋体"/>
          <w:color w:val="000000"/>
          <w:kern w:val="0"/>
          <w:szCs w:val="21"/>
        </w:rPr>
      </w:pPr>
      <w:r>
        <w:rPr>
          <w:rFonts w:hint="eastAsia" w:ascii="宋体" w:hAnsi="宋体" w:cs="宋体"/>
          <w:color w:val="000000"/>
          <w:kern w:val="0"/>
          <w:szCs w:val="21"/>
        </w:rPr>
        <w:t>　　　　　　　　　　　　　　　　　　　　　工业和信息化部　国家统计局</w:t>
      </w:r>
    </w:p>
    <w:p w14:paraId="24DA9C24">
      <w:pPr>
        <w:widowControl/>
        <w:shd w:val="clear" w:color="auto" w:fill="FFFFFF"/>
        <w:spacing w:before="100" w:beforeAutospacing="1" w:after="100" w:afterAutospacing="1" w:line="360" w:lineRule="auto"/>
        <w:jc w:val="right"/>
        <w:rPr>
          <w:rFonts w:ascii="宋体" w:hAnsi="宋体" w:cs="宋体"/>
          <w:color w:val="000000"/>
          <w:kern w:val="0"/>
          <w:szCs w:val="21"/>
        </w:rPr>
      </w:pPr>
      <w:r>
        <w:rPr>
          <w:rFonts w:hint="eastAsia" w:ascii="宋体" w:hAnsi="宋体" w:cs="宋体"/>
          <w:color w:val="000000"/>
          <w:kern w:val="0"/>
          <w:szCs w:val="21"/>
        </w:rPr>
        <w:t>　　　　　　　　　　　　　　　　　　　　国家发展和改革委员会　财政部</w:t>
      </w:r>
    </w:p>
    <w:p w14:paraId="54F026B7">
      <w:pPr>
        <w:widowControl/>
        <w:shd w:val="clear" w:color="auto" w:fill="FFFFFF"/>
        <w:spacing w:before="100" w:beforeAutospacing="1" w:after="100" w:afterAutospacing="1" w:line="360" w:lineRule="auto"/>
        <w:jc w:val="right"/>
        <w:rPr>
          <w:rFonts w:ascii="宋体" w:hAnsi="宋体" w:cs="宋体"/>
          <w:color w:val="000000"/>
          <w:kern w:val="0"/>
          <w:szCs w:val="21"/>
        </w:rPr>
      </w:pPr>
      <w:r>
        <w:rPr>
          <w:rFonts w:hint="eastAsia" w:ascii="宋体" w:hAnsi="宋体" w:cs="宋体"/>
          <w:color w:val="000000"/>
          <w:kern w:val="0"/>
          <w:szCs w:val="21"/>
        </w:rPr>
        <w:t>　　　　　　　　　　　　　　　　　　　　　　　　二○一一年六月十八日</w:t>
      </w:r>
    </w:p>
    <w:p w14:paraId="24656838">
      <w:pPr>
        <w:widowControl/>
        <w:shd w:val="clear" w:color="auto" w:fill="FFFFFF"/>
        <w:spacing w:before="100" w:beforeAutospacing="1" w:after="100" w:afterAutospacing="1" w:line="360" w:lineRule="auto"/>
        <w:jc w:val="center"/>
        <w:rPr>
          <w:rFonts w:ascii="宋体" w:hAnsi="宋体" w:cs="宋体"/>
          <w:color w:val="000000"/>
          <w:kern w:val="0"/>
          <w:szCs w:val="21"/>
        </w:rPr>
      </w:pPr>
      <w:r>
        <w:rPr>
          <w:rFonts w:hint="eastAsia" w:ascii="宋体" w:hAnsi="宋体" w:cs="宋体"/>
          <w:b/>
          <w:bCs/>
          <w:color w:val="000000"/>
          <w:kern w:val="0"/>
        </w:rPr>
        <w:t>中小企业划型标准规定</w:t>
      </w:r>
    </w:p>
    <w:p w14:paraId="3AA4AE35">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一、根据《中华人民共和国中小企业促进法》和《国务院关于进一步促进中小企业发展的若干意见》(国发〔2009〕36号)，制定本规定。</w:t>
      </w:r>
    </w:p>
    <w:p w14:paraId="6272BEBB">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二、中小企业划分为中型、小型、微型三种类型，具体标准根据企业从业人员、营业收入、资产总额等指标，结合行业特点制定。</w:t>
      </w:r>
    </w:p>
    <w:p w14:paraId="2BE0E1F5">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其他未列明行业，房地产开发经营，物业管理，租赁和商务服务业，其他未列明行业（包括科学研究和技术服务业，水利、环境和公共设施管理业，居民服务、修理和其他服务业，社会工作，文化、体育和娱乐业等）。</w:t>
      </w:r>
    </w:p>
    <w:p w14:paraId="21EBE589">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四、各行业划型标准为：</w:t>
      </w:r>
    </w:p>
    <w:p w14:paraId="3CD26E8C">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（一）农、林、牧、渔业。营业收入20000万元以下的为中小微型企业。其中，营业收入500万元及以上的为中型企业，营业收入50万元及以上的为小型企业，营业收入50万元以下的为微型企业。</w:t>
      </w:r>
    </w:p>
    <w:p w14:paraId="59FF854A">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16BED76">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1B97281">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392D4B9">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8423E4F">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B3A5F8E">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1D9FB5A">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5545F00">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1408B0F">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51C03E6">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89503F8">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十二）其他未列明行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C775F1B">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BD51D71">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FBF4BCD">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792A192">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（十六）其他未列明行业。从业人员300人以下的为中小微型企业。其中，从业人员100人及以上的为中型企业；从业人员10人及以上的为小型企业；从业人员10人以下的为微型企业。</w:t>
      </w:r>
    </w:p>
    <w:p w14:paraId="3FC70FCD">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五、企业类型的划分以统计部门的统计数据为依据。</w:t>
      </w:r>
    </w:p>
    <w:p w14:paraId="5B720CA6">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六、本规定适用于在中华人民共和国境内依法设立的各类所有制和各种组织形式的企业。个体工商户和本规定以外的行业，参照本规定进行划型。</w:t>
      </w:r>
    </w:p>
    <w:p w14:paraId="23C8E2D0">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22C28293">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八、本规定由工业和信息化部、国家统计局会同有关部门根据《国民经济行业分类》修订情况和企业发展变化情况适时修订。</w:t>
      </w:r>
    </w:p>
    <w:p w14:paraId="7FBE405F">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九、本规定由工业和信息化部、国家统计局会同有关部门负责解释。</w:t>
      </w:r>
    </w:p>
    <w:p w14:paraId="2B68562F">
      <w:pPr>
        <w:widowControl/>
        <w:shd w:val="clear" w:color="auto" w:fill="FFFFFF"/>
        <w:spacing w:before="100" w:beforeAutospacing="1" w:after="100" w:afterAutospacing="1" w:line="360" w:lineRule="auto"/>
        <w:jc w:val="left"/>
        <w:rPr>
          <w:rFonts w:ascii="宋体" w:hAnsi="宋体" w:cs="宋体"/>
          <w:color w:val="000000"/>
          <w:kern w:val="0"/>
          <w:szCs w:val="21"/>
        </w:rPr>
      </w:pPr>
      <w:r>
        <w:rPr>
          <w:rFonts w:hint="eastAsia" w:ascii="宋体" w:hAnsi="宋体" w:cs="宋体"/>
          <w:color w:val="000000"/>
          <w:kern w:val="0"/>
          <w:szCs w:val="21"/>
        </w:rPr>
        <w:t>　　十、本规定自发布之日起执行，原国家经贸委、原国家计委、财政部和国家统计局2003年颁布的《中小企业标准暂行规定》同时废止。</w:t>
      </w:r>
    </w:p>
    <w:p w14:paraId="53BD012E">
      <w:pPr>
        <w:widowControl/>
        <w:shd w:val="clear" w:color="auto" w:fill="FFFFFF"/>
        <w:spacing w:before="100" w:beforeAutospacing="1" w:after="100" w:afterAutospacing="1" w:line="360" w:lineRule="auto"/>
        <w:jc w:val="left"/>
        <w:rPr>
          <w:rFonts w:ascii="宋体" w:hAnsi="宋体" w:cs="宋体"/>
          <w:color w:val="000000"/>
          <w:kern w:val="0"/>
          <w:szCs w:val="21"/>
        </w:rPr>
      </w:pPr>
    </w:p>
    <w:p w14:paraId="017C301E">
      <w:pPr>
        <w:pStyle w:val="2"/>
        <w:spacing w:before="0" w:after="0"/>
      </w:pPr>
      <w:bookmarkStart w:id="113" w:name="_Toc171350617"/>
      <w:bookmarkStart w:id="114" w:name="_Toc73613646"/>
      <w:bookmarkStart w:id="115" w:name="_Toc73610164"/>
      <w:r>
        <w:rPr>
          <w:rFonts w:hint="eastAsia"/>
        </w:rPr>
        <w:t>三、</w:t>
      </w:r>
      <w:r>
        <w:t>国家统计局关于印发《统计上大中小微型企业划分办法 （2017）》的通知</w:t>
      </w:r>
      <w:bookmarkEnd w:id="113"/>
      <w:bookmarkEnd w:id="114"/>
      <w:bookmarkEnd w:id="115"/>
      <w:r>
        <w:t> </w:t>
      </w:r>
    </w:p>
    <w:p w14:paraId="4B8614CD">
      <w:pPr>
        <w:widowControl/>
        <w:spacing w:line="360" w:lineRule="auto"/>
        <w:jc w:val="center"/>
        <w:rPr>
          <w:rFonts w:ascii="宋体" w:hAnsi="宋体" w:cs="宋体"/>
          <w:kern w:val="0"/>
          <w:szCs w:val="21"/>
        </w:rPr>
      </w:pPr>
      <w:r>
        <w:rPr>
          <w:rFonts w:hint="eastAsia" w:ascii="宋体" w:hAnsi="宋体" w:cs="宋体"/>
          <w:kern w:val="0"/>
          <w:szCs w:val="21"/>
        </w:rPr>
        <w:t>国统字〔2017〕213号</w:t>
      </w:r>
    </w:p>
    <w:p w14:paraId="66DABF52">
      <w:pPr>
        <w:widowControl/>
        <w:spacing w:line="360" w:lineRule="auto"/>
        <w:jc w:val="left"/>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14:paraId="522056B7">
      <w:pPr>
        <w:widowControl/>
        <w:spacing w:line="360" w:lineRule="auto"/>
        <w:ind w:firstLine="371" w:firstLineChars="177"/>
        <w:jc w:val="left"/>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FE8698">
      <w:pPr>
        <w:widowControl/>
        <w:spacing w:line="360" w:lineRule="auto"/>
        <w:jc w:val="left"/>
        <w:rPr>
          <w:rFonts w:ascii="宋体" w:hAnsi="宋体" w:cs="宋体"/>
          <w:kern w:val="0"/>
          <w:szCs w:val="21"/>
        </w:rPr>
      </w:pPr>
      <w:r>
        <w:rPr>
          <w:rFonts w:ascii="宋体" w:hAnsi="宋体" w:cs="宋体"/>
          <w:kern w:val="0"/>
          <w:szCs w:val="21"/>
        </w:rPr>
        <w:t>附件：《统计上大中小微型企业划分办法（2017）》修订说明</w:t>
      </w:r>
    </w:p>
    <w:p w14:paraId="7F0A9125">
      <w:pPr>
        <w:widowControl/>
        <w:spacing w:line="360" w:lineRule="auto"/>
        <w:jc w:val="right"/>
        <w:rPr>
          <w:rFonts w:ascii="宋体" w:hAnsi="宋体" w:cs="宋体"/>
          <w:kern w:val="0"/>
          <w:szCs w:val="21"/>
        </w:rPr>
      </w:pPr>
      <w:r>
        <w:rPr>
          <w:rFonts w:ascii="宋体" w:hAnsi="宋体" w:cs="宋体"/>
          <w:kern w:val="0"/>
          <w:szCs w:val="21"/>
        </w:rPr>
        <w:t>国家统计局</w:t>
      </w:r>
    </w:p>
    <w:p w14:paraId="16B97E7B">
      <w:pPr>
        <w:widowControl/>
        <w:spacing w:line="360" w:lineRule="auto"/>
        <w:jc w:val="right"/>
        <w:rPr>
          <w:rFonts w:ascii="宋体" w:hAnsi="宋体" w:cs="宋体"/>
          <w:kern w:val="0"/>
          <w:szCs w:val="21"/>
        </w:rPr>
      </w:pPr>
      <w:r>
        <w:rPr>
          <w:rFonts w:ascii="宋体" w:hAnsi="宋体" w:cs="宋体"/>
          <w:kern w:val="0"/>
          <w:szCs w:val="21"/>
        </w:rPr>
        <w:t>2017年12月28日</w:t>
      </w:r>
    </w:p>
    <w:p w14:paraId="18BB20FE">
      <w:pPr>
        <w:widowControl/>
        <w:spacing w:line="360" w:lineRule="auto"/>
        <w:jc w:val="center"/>
        <w:rPr>
          <w:rFonts w:ascii="宋体" w:hAnsi="宋体" w:cs="宋体"/>
          <w:b/>
          <w:bCs/>
          <w:kern w:val="0"/>
          <w:szCs w:val="21"/>
        </w:rPr>
      </w:pPr>
    </w:p>
    <w:p w14:paraId="7CF26FF6">
      <w:pPr>
        <w:widowControl/>
        <w:spacing w:line="360" w:lineRule="auto"/>
        <w:jc w:val="center"/>
        <w:rPr>
          <w:rFonts w:ascii="宋体" w:hAnsi="宋体" w:cs="宋体"/>
          <w:kern w:val="0"/>
          <w:szCs w:val="21"/>
        </w:rPr>
      </w:pPr>
      <w:r>
        <w:rPr>
          <w:rFonts w:ascii="宋体" w:hAnsi="宋体" w:cs="宋体"/>
          <w:b/>
          <w:bCs/>
          <w:kern w:val="0"/>
          <w:szCs w:val="21"/>
        </w:rPr>
        <w:t>统计上大中小微型企业划分办法（2017）</w:t>
      </w:r>
    </w:p>
    <w:p w14:paraId="18624F4B">
      <w:pPr>
        <w:widowControl/>
        <w:spacing w:line="360" w:lineRule="auto"/>
        <w:jc w:val="left"/>
        <w:rPr>
          <w:rFonts w:ascii="宋体" w:hAnsi="宋体" w:cs="宋体"/>
          <w:kern w:val="0"/>
          <w:szCs w:val="21"/>
        </w:rPr>
      </w:pPr>
    </w:p>
    <w:p w14:paraId="2F0B6265">
      <w:pPr>
        <w:widowControl/>
        <w:spacing w:line="360" w:lineRule="auto"/>
        <w:ind w:left="1" w:firstLine="371" w:firstLineChars="177"/>
        <w:jc w:val="left"/>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122B342">
      <w:pPr>
        <w:widowControl/>
        <w:spacing w:line="360" w:lineRule="auto"/>
        <w:ind w:firstLine="371" w:firstLineChars="177"/>
        <w:jc w:val="left"/>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14:paraId="0574FCF9">
      <w:pPr>
        <w:widowControl/>
        <w:spacing w:line="360" w:lineRule="auto"/>
        <w:ind w:firstLine="371" w:firstLineChars="177"/>
        <w:jc w:val="left"/>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w:t>
      </w:r>
      <w:r>
        <w:rPr>
          <w:rFonts w:hint="eastAsia" w:ascii="宋体" w:hAnsi="宋体" w:cs="宋体"/>
          <w:kern w:val="0"/>
          <w:szCs w:val="21"/>
        </w:rPr>
        <w:t>其他未列明行业</w:t>
      </w:r>
      <w:r>
        <w:rPr>
          <w:rFonts w:ascii="宋体" w:hAnsi="宋体" w:cs="宋体"/>
          <w:kern w:val="0"/>
          <w:szCs w:val="21"/>
        </w:rPr>
        <w:t>，房地产业，租赁和商务服务业，科学研究和技术服务业，水利、环境和公共设施管理业，居民服务、修理和其他服务业，文化、体育和娱乐业等15个行业门类以及社会工作行业大类。</w:t>
      </w:r>
    </w:p>
    <w:p w14:paraId="313A5F10">
      <w:pPr>
        <w:widowControl/>
        <w:spacing w:line="360" w:lineRule="auto"/>
        <w:ind w:firstLine="371" w:firstLineChars="177"/>
        <w:jc w:val="left"/>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14:paraId="45473E28">
      <w:pPr>
        <w:widowControl/>
        <w:spacing w:line="360" w:lineRule="auto"/>
        <w:ind w:firstLine="371" w:firstLineChars="177"/>
        <w:jc w:val="left"/>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14:paraId="385A88F5">
      <w:pPr>
        <w:widowControl/>
        <w:spacing w:line="360" w:lineRule="auto"/>
        <w:ind w:left="1" w:firstLine="371" w:firstLineChars="177"/>
        <w:jc w:val="left"/>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14:paraId="1E1EA89C">
      <w:pPr>
        <w:widowControl/>
        <w:spacing w:line="360" w:lineRule="auto"/>
        <w:jc w:val="left"/>
        <w:rPr>
          <w:rFonts w:ascii="宋体" w:hAnsi="宋体" w:cs="宋体"/>
          <w:kern w:val="0"/>
          <w:szCs w:val="21"/>
        </w:rPr>
      </w:pPr>
    </w:p>
    <w:p w14:paraId="51941411">
      <w:pPr>
        <w:widowControl/>
        <w:spacing w:line="360" w:lineRule="auto"/>
        <w:jc w:val="left"/>
        <w:rPr>
          <w:rFonts w:ascii="宋体" w:hAnsi="宋体" w:cs="宋体"/>
          <w:kern w:val="0"/>
          <w:szCs w:val="21"/>
        </w:rPr>
      </w:pPr>
      <w:r>
        <w:rPr>
          <w:rFonts w:ascii="宋体" w:hAnsi="宋体" w:cs="宋体"/>
          <w:kern w:val="0"/>
          <w:szCs w:val="21"/>
        </w:rPr>
        <w:t>附件</w:t>
      </w:r>
    </w:p>
    <w:p w14:paraId="6F103C65">
      <w:pPr>
        <w:widowControl/>
        <w:spacing w:line="360" w:lineRule="auto"/>
        <w:jc w:val="center"/>
        <w:rPr>
          <w:rFonts w:ascii="宋体" w:hAnsi="宋体" w:cs="宋体"/>
          <w:kern w:val="0"/>
          <w:szCs w:val="21"/>
        </w:rPr>
      </w:pPr>
      <w:r>
        <w:rPr>
          <w:rFonts w:ascii="宋体" w:hAnsi="宋体" w:cs="宋体"/>
          <w:b/>
          <w:bCs/>
          <w:kern w:val="0"/>
          <w:szCs w:val="21"/>
        </w:rPr>
        <w:t>《统计上大中小微型企业划分办法（2017）》修订说明</w:t>
      </w:r>
    </w:p>
    <w:p w14:paraId="7D13FBA6">
      <w:pPr>
        <w:widowControl/>
        <w:spacing w:line="360" w:lineRule="auto"/>
        <w:jc w:val="left"/>
        <w:rPr>
          <w:rFonts w:ascii="宋体" w:hAnsi="宋体" w:cs="宋体"/>
          <w:kern w:val="0"/>
          <w:szCs w:val="21"/>
        </w:rPr>
      </w:pPr>
    </w:p>
    <w:p w14:paraId="2453028B">
      <w:pPr>
        <w:widowControl/>
        <w:spacing w:line="360" w:lineRule="auto"/>
        <w:ind w:firstLine="371" w:firstLineChars="177"/>
        <w:jc w:val="left"/>
        <w:rPr>
          <w:rFonts w:ascii="宋体" w:hAnsi="宋体" w:cs="宋体"/>
          <w:kern w:val="0"/>
          <w:szCs w:val="21"/>
        </w:rPr>
      </w:pPr>
      <w:r>
        <w:rPr>
          <w:rFonts w:ascii="宋体" w:hAnsi="宋体" w:cs="宋体"/>
          <w:kern w:val="0"/>
          <w:szCs w:val="21"/>
        </w:rPr>
        <w:t>一、修订背景</w:t>
      </w:r>
    </w:p>
    <w:p w14:paraId="576FDCA4">
      <w:pPr>
        <w:widowControl/>
        <w:spacing w:line="360" w:lineRule="auto"/>
        <w:ind w:firstLine="371" w:firstLineChars="177"/>
        <w:jc w:val="left"/>
        <w:rPr>
          <w:rFonts w:ascii="宋体" w:hAnsi="宋体" w:cs="宋体"/>
          <w:kern w:val="0"/>
          <w:szCs w:val="21"/>
        </w:rPr>
      </w:pPr>
      <w:r>
        <w:rPr>
          <w:rFonts w:ascii="宋体" w:hAnsi="宋体" w:cs="宋体"/>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338B372E">
      <w:pPr>
        <w:widowControl/>
        <w:spacing w:line="360" w:lineRule="auto"/>
        <w:ind w:firstLine="371" w:firstLineChars="177"/>
        <w:jc w:val="left"/>
        <w:rPr>
          <w:rFonts w:ascii="宋体" w:hAnsi="宋体" w:cs="宋体"/>
          <w:kern w:val="0"/>
          <w:szCs w:val="21"/>
        </w:rPr>
      </w:pPr>
      <w:r>
        <w:rPr>
          <w:rFonts w:ascii="宋体" w:hAnsi="宋体" w:cs="宋体"/>
          <w:kern w:val="0"/>
          <w:szCs w:val="21"/>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FE3777E">
      <w:pPr>
        <w:widowControl/>
        <w:spacing w:line="360" w:lineRule="auto"/>
        <w:ind w:firstLine="371" w:firstLineChars="177"/>
        <w:jc w:val="left"/>
        <w:rPr>
          <w:rFonts w:ascii="宋体" w:hAnsi="宋体" w:cs="宋体"/>
          <w:kern w:val="0"/>
          <w:szCs w:val="21"/>
        </w:rPr>
      </w:pPr>
      <w:r>
        <w:rPr>
          <w:rFonts w:ascii="宋体" w:hAnsi="宋体" w:cs="宋体"/>
          <w:kern w:val="0"/>
          <w:szCs w:val="21"/>
        </w:rPr>
        <w:t>二、修订主要内容</w:t>
      </w:r>
    </w:p>
    <w:p w14:paraId="0B250084">
      <w:pPr>
        <w:widowControl/>
        <w:spacing w:line="360" w:lineRule="auto"/>
        <w:ind w:firstLine="371" w:firstLineChars="177"/>
        <w:jc w:val="left"/>
        <w:rPr>
          <w:rFonts w:ascii="宋体" w:hAnsi="宋体" w:cs="宋体"/>
          <w:kern w:val="0"/>
          <w:szCs w:val="21"/>
        </w:rPr>
      </w:pPr>
      <w:r>
        <w:rPr>
          <w:rFonts w:ascii="宋体" w:hAnsi="宋体" w:cs="宋体"/>
          <w:kern w:val="0"/>
          <w:szCs w:val="21"/>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54DBBD12">
      <w:pPr>
        <w:widowControl/>
        <w:spacing w:line="360" w:lineRule="auto"/>
        <w:ind w:firstLine="371" w:firstLineChars="177"/>
        <w:jc w:val="left"/>
        <w:rPr>
          <w:rFonts w:ascii="宋体" w:hAnsi="宋体" w:cs="宋体"/>
          <w:kern w:val="0"/>
          <w:szCs w:val="21"/>
        </w:rPr>
      </w:pPr>
      <w:r>
        <w:rPr>
          <w:rFonts w:ascii="宋体" w:hAnsi="宋体" w:cs="宋体"/>
          <w:kern w:val="0"/>
          <w:szCs w:val="21"/>
        </w:rPr>
        <w:t>将交通运输业中包括的“装卸搬运和运输代理业”修改为“多式联运和运输代理业、装卸搬运”。</w:t>
      </w:r>
    </w:p>
    <w:p w14:paraId="27885045">
      <w:pPr>
        <w:widowControl/>
        <w:spacing w:line="360" w:lineRule="auto"/>
        <w:jc w:val="left"/>
        <w:rPr>
          <w:rFonts w:ascii="宋体" w:hAnsi="宋体" w:cs="宋体"/>
          <w:kern w:val="0"/>
          <w:szCs w:val="21"/>
        </w:rPr>
      </w:pPr>
      <w:r>
        <w:rPr>
          <w:rFonts w:ascii="宋体" w:hAnsi="宋体" w:cs="宋体"/>
          <w:kern w:val="0"/>
          <w:szCs w:val="21"/>
        </w:rPr>
        <w:t>仓储业所包括的行业中类，根据《国民经济行业分类》（GB/T 4754—2017）调整为“通用仓储，低温仓储，危险品仓储，谷物、棉花等农产品仓储，中药材仓储和其他仓储业”。</w:t>
      </w:r>
    </w:p>
    <w:p w14:paraId="61B65DEC">
      <w:pPr>
        <w:widowControl/>
        <w:spacing w:line="360" w:lineRule="auto"/>
        <w:jc w:val="left"/>
        <w:rPr>
          <w:rFonts w:ascii="宋体" w:hAnsi="宋体" w:cs="宋体"/>
          <w:kern w:val="0"/>
          <w:szCs w:val="21"/>
        </w:rPr>
      </w:pPr>
    </w:p>
    <w:p w14:paraId="28EF97BE">
      <w:pPr>
        <w:widowControl/>
        <w:spacing w:line="360" w:lineRule="auto"/>
        <w:jc w:val="left"/>
        <w:rPr>
          <w:rFonts w:ascii="宋体" w:hAnsi="宋体" w:cs="宋体"/>
          <w:kern w:val="0"/>
          <w:szCs w:val="21"/>
        </w:rPr>
      </w:pPr>
      <w:r>
        <w:rPr>
          <w:rFonts w:ascii="宋体" w:hAnsi="宋体" w:cs="宋体"/>
          <w:kern w:val="0"/>
          <w:szCs w:val="21"/>
        </w:rPr>
        <w:t>附表</w:t>
      </w:r>
    </w:p>
    <w:p w14:paraId="7DFBEC03">
      <w:pPr>
        <w:widowControl/>
        <w:spacing w:line="360" w:lineRule="auto"/>
        <w:jc w:val="center"/>
        <w:rPr>
          <w:rFonts w:ascii="宋体" w:hAnsi="宋体" w:cs="宋体"/>
          <w:kern w:val="0"/>
          <w:szCs w:val="21"/>
        </w:rPr>
      </w:pPr>
      <w:r>
        <w:rPr>
          <w:rFonts w:ascii="宋体" w:hAnsi="宋体" w:cs="宋体"/>
          <w:b/>
          <w:bCs/>
          <w:kern w:val="0"/>
          <w:szCs w:val="21"/>
        </w:rPr>
        <w:t>统计上大中小微型企业划分标准</w:t>
      </w:r>
    </w:p>
    <w:tbl>
      <w:tblPr>
        <w:tblStyle w:val="50"/>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13556F96">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vAlign w:val="center"/>
          </w:tcPr>
          <w:p w14:paraId="36948FED">
            <w:pPr>
              <w:widowControl/>
              <w:spacing w:line="240" w:lineRule="exact"/>
              <w:jc w:val="center"/>
              <w:rPr>
                <w:rFonts w:ascii="宋体" w:hAnsi="宋体" w:cs="宋体"/>
                <w:b/>
                <w:bCs/>
                <w:color w:val="000000"/>
                <w:kern w:val="0"/>
                <w:sz w:val="18"/>
                <w:szCs w:val="21"/>
              </w:rPr>
            </w:pPr>
            <w:r>
              <w:rPr>
                <w:rFonts w:hint="eastAsia" w:ascii="宋体" w:hAnsi="宋体" w:cs="宋体"/>
                <w:b/>
                <w:bCs/>
                <w:color w:val="000000"/>
                <w:kern w:val="0"/>
                <w:sz w:val="18"/>
                <w:szCs w:val="21"/>
              </w:rPr>
              <w:t>行业名称</w:t>
            </w:r>
          </w:p>
        </w:tc>
        <w:tc>
          <w:tcPr>
            <w:tcW w:w="1369" w:type="dxa"/>
            <w:tcBorders>
              <w:top w:val="single" w:color="auto" w:sz="4" w:space="0"/>
              <w:left w:val="nil"/>
              <w:bottom w:val="single" w:color="auto" w:sz="4" w:space="0"/>
              <w:right w:val="single" w:color="auto" w:sz="4" w:space="0"/>
            </w:tcBorders>
            <w:vAlign w:val="center"/>
          </w:tcPr>
          <w:p w14:paraId="23E6CE2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709" w:type="dxa"/>
            <w:tcBorders>
              <w:top w:val="single" w:color="auto" w:sz="4" w:space="0"/>
              <w:left w:val="nil"/>
              <w:bottom w:val="single" w:color="auto" w:sz="4" w:space="0"/>
              <w:right w:val="single" w:color="auto" w:sz="4" w:space="0"/>
            </w:tcBorders>
            <w:vAlign w:val="center"/>
          </w:tcPr>
          <w:p w14:paraId="30BB2C9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计量</w:t>
            </w:r>
          </w:p>
          <w:p w14:paraId="75EF7B4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单位</w:t>
            </w:r>
          </w:p>
        </w:tc>
        <w:tc>
          <w:tcPr>
            <w:tcW w:w="1125" w:type="dxa"/>
            <w:tcBorders>
              <w:top w:val="single" w:color="auto" w:sz="4" w:space="0"/>
              <w:left w:val="nil"/>
              <w:bottom w:val="single" w:color="auto" w:sz="4" w:space="0"/>
              <w:right w:val="single" w:color="auto" w:sz="4" w:space="0"/>
            </w:tcBorders>
            <w:vAlign w:val="center"/>
          </w:tcPr>
          <w:p w14:paraId="131121E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大型</w:t>
            </w:r>
          </w:p>
        </w:tc>
        <w:tc>
          <w:tcPr>
            <w:tcW w:w="1701" w:type="dxa"/>
            <w:tcBorders>
              <w:top w:val="single" w:color="auto" w:sz="4" w:space="0"/>
              <w:left w:val="nil"/>
              <w:bottom w:val="single" w:color="auto" w:sz="4" w:space="0"/>
              <w:right w:val="single" w:color="auto" w:sz="4" w:space="0"/>
            </w:tcBorders>
            <w:vAlign w:val="center"/>
          </w:tcPr>
          <w:p w14:paraId="6F564E5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中型</w:t>
            </w:r>
          </w:p>
        </w:tc>
        <w:tc>
          <w:tcPr>
            <w:tcW w:w="1426" w:type="dxa"/>
            <w:tcBorders>
              <w:top w:val="single" w:color="auto" w:sz="4" w:space="0"/>
              <w:left w:val="nil"/>
              <w:bottom w:val="single" w:color="auto" w:sz="4" w:space="0"/>
              <w:right w:val="single" w:color="auto" w:sz="4" w:space="0"/>
            </w:tcBorders>
            <w:vAlign w:val="center"/>
          </w:tcPr>
          <w:p w14:paraId="1EEE4CD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小型</w:t>
            </w:r>
          </w:p>
        </w:tc>
        <w:tc>
          <w:tcPr>
            <w:tcW w:w="992" w:type="dxa"/>
            <w:tcBorders>
              <w:top w:val="single" w:color="auto" w:sz="4" w:space="0"/>
              <w:left w:val="nil"/>
              <w:bottom w:val="single" w:color="auto" w:sz="4" w:space="0"/>
              <w:right w:val="nil"/>
            </w:tcBorders>
            <w:vAlign w:val="center"/>
          </w:tcPr>
          <w:p w14:paraId="7C8AC3D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微型</w:t>
            </w:r>
          </w:p>
        </w:tc>
      </w:tr>
      <w:tr w14:paraId="5716F11B">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vAlign w:val="center"/>
          </w:tcPr>
          <w:p w14:paraId="713855E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农、林、牧、渔业</w:t>
            </w:r>
          </w:p>
        </w:tc>
        <w:tc>
          <w:tcPr>
            <w:tcW w:w="1369" w:type="dxa"/>
            <w:tcBorders>
              <w:top w:val="nil"/>
              <w:left w:val="nil"/>
              <w:bottom w:val="single" w:color="auto" w:sz="4" w:space="0"/>
              <w:right w:val="single" w:color="auto" w:sz="4" w:space="0"/>
            </w:tcBorders>
            <w:vAlign w:val="center"/>
          </w:tcPr>
          <w:p w14:paraId="04D12807">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146609AA">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11BA23E2">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vAlign w:val="center"/>
          </w:tcPr>
          <w:p w14:paraId="6D5C236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vAlign w:val="center"/>
          </w:tcPr>
          <w:p w14:paraId="647747B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50≤Y＜500</w:t>
            </w:r>
          </w:p>
        </w:tc>
        <w:tc>
          <w:tcPr>
            <w:tcW w:w="992" w:type="dxa"/>
            <w:tcBorders>
              <w:top w:val="nil"/>
              <w:left w:val="nil"/>
              <w:bottom w:val="single" w:color="auto" w:sz="4" w:space="0"/>
              <w:right w:val="nil"/>
            </w:tcBorders>
            <w:vAlign w:val="center"/>
          </w:tcPr>
          <w:p w14:paraId="18C2EE84">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4F4E8D83">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32ABAA0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工业 *</w:t>
            </w:r>
          </w:p>
        </w:tc>
        <w:tc>
          <w:tcPr>
            <w:tcW w:w="1369" w:type="dxa"/>
            <w:tcBorders>
              <w:top w:val="nil"/>
              <w:left w:val="nil"/>
              <w:bottom w:val="nil"/>
              <w:right w:val="single" w:color="auto" w:sz="4" w:space="0"/>
            </w:tcBorders>
            <w:vAlign w:val="center"/>
          </w:tcPr>
          <w:p w14:paraId="509C0B52">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533021D3">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7844A88D">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vAlign w:val="center"/>
          </w:tcPr>
          <w:p w14:paraId="7B04F5CA">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vAlign w:val="center"/>
          </w:tcPr>
          <w:p w14:paraId="06B3E81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vAlign w:val="center"/>
          </w:tcPr>
          <w:p w14:paraId="3AD57F29">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4E9FF922">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1872B01E">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2F2F054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2202ABB3">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5CD598D8">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vAlign w:val="center"/>
          </w:tcPr>
          <w:p w14:paraId="22CEF42E">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2000≤Y＜40000</w:t>
            </w:r>
          </w:p>
        </w:tc>
        <w:tc>
          <w:tcPr>
            <w:tcW w:w="1426" w:type="dxa"/>
            <w:tcBorders>
              <w:top w:val="nil"/>
              <w:left w:val="nil"/>
              <w:bottom w:val="single" w:color="auto" w:sz="4" w:space="0"/>
              <w:right w:val="single" w:color="auto" w:sz="4" w:space="0"/>
            </w:tcBorders>
            <w:vAlign w:val="center"/>
          </w:tcPr>
          <w:p w14:paraId="50F2E13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300≤Y＜2000</w:t>
            </w:r>
          </w:p>
        </w:tc>
        <w:tc>
          <w:tcPr>
            <w:tcW w:w="992" w:type="dxa"/>
            <w:tcBorders>
              <w:top w:val="nil"/>
              <w:left w:val="nil"/>
              <w:bottom w:val="single" w:color="auto" w:sz="4" w:space="0"/>
              <w:right w:val="nil"/>
            </w:tcBorders>
            <w:vAlign w:val="center"/>
          </w:tcPr>
          <w:p w14:paraId="2025D2DF">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797A64A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251A414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建筑业</w:t>
            </w:r>
          </w:p>
        </w:tc>
        <w:tc>
          <w:tcPr>
            <w:tcW w:w="1369" w:type="dxa"/>
            <w:tcBorders>
              <w:top w:val="nil"/>
              <w:left w:val="nil"/>
              <w:bottom w:val="nil"/>
              <w:right w:val="single" w:color="auto" w:sz="4" w:space="0"/>
            </w:tcBorders>
            <w:vAlign w:val="center"/>
          </w:tcPr>
          <w:p w14:paraId="7B35C33E">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vAlign w:val="center"/>
          </w:tcPr>
          <w:p w14:paraId="61F8B540">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vAlign w:val="center"/>
          </w:tcPr>
          <w:p w14:paraId="36997FF1">
            <w:pPr>
              <w:widowControl/>
              <w:jc w:val="center"/>
              <w:rPr>
                <w:rFonts w:ascii="宋体" w:hAnsi="宋体" w:cs="宋体"/>
                <w:color w:val="000000"/>
                <w:kern w:val="0"/>
                <w:sz w:val="18"/>
                <w:szCs w:val="18"/>
              </w:rPr>
            </w:pPr>
            <w:r>
              <w:rPr>
                <w:rFonts w:hint="eastAsia" w:ascii="宋体" w:hAnsi="宋体" w:cs="宋体"/>
                <w:color w:val="000000"/>
                <w:kern w:val="0"/>
                <w:sz w:val="18"/>
                <w:szCs w:val="18"/>
              </w:rPr>
              <w:t>Y≥80000</w:t>
            </w:r>
          </w:p>
        </w:tc>
        <w:tc>
          <w:tcPr>
            <w:tcW w:w="1701" w:type="dxa"/>
            <w:tcBorders>
              <w:top w:val="nil"/>
              <w:left w:val="nil"/>
              <w:bottom w:val="nil"/>
              <w:right w:val="single" w:color="auto" w:sz="4" w:space="0"/>
            </w:tcBorders>
            <w:vAlign w:val="center"/>
          </w:tcPr>
          <w:p w14:paraId="765BD155">
            <w:pPr>
              <w:widowControl/>
              <w:jc w:val="center"/>
              <w:rPr>
                <w:rFonts w:ascii="宋体" w:hAnsi="宋体" w:cs="宋体"/>
                <w:color w:val="000000"/>
                <w:kern w:val="0"/>
                <w:sz w:val="18"/>
                <w:szCs w:val="18"/>
              </w:rPr>
            </w:pPr>
            <w:r>
              <w:rPr>
                <w:rFonts w:hint="eastAsia" w:ascii="宋体" w:hAnsi="宋体" w:cs="宋体"/>
                <w:color w:val="000000"/>
                <w:kern w:val="0"/>
                <w:sz w:val="18"/>
                <w:szCs w:val="18"/>
              </w:rPr>
              <w:t>6000≤Y＜80000</w:t>
            </w:r>
          </w:p>
        </w:tc>
        <w:tc>
          <w:tcPr>
            <w:tcW w:w="1426" w:type="dxa"/>
            <w:tcBorders>
              <w:top w:val="nil"/>
              <w:left w:val="nil"/>
              <w:bottom w:val="nil"/>
              <w:right w:val="single" w:color="auto" w:sz="4" w:space="0"/>
            </w:tcBorders>
            <w:vAlign w:val="center"/>
          </w:tcPr>
          <w:p w14:paraId="07E122E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300≤Y＜6000</w:t>
            </w:r>
          </w:p>
        </w:tc>
        <w:tc>
          <w:tcPr>
            <w:tcW w:w="992" w:type="dxa"/>
            <w:tcBorders>
              <w:top w:val="nil"/>
              <w:left w:val="nil"/>
              <w:bottom w:val="nil"/>
              <w:right w:val="nil"/>
            </w:tcBorders>
            <w:vAlign w:val="center"/>
          </w:tcPr>
          <w:p w14:paraId="319D06E4">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0B095B7E">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AF03242">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7689BE7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vAlign w:val="center"/>
          </w:tcPr>
          <w:p w14:paraId="45F66CEC">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0041ED3D">
            <w:pPr>
              <w:widowControl/>
              <w:jc w:val="center"/>
              <w:rPr>
                <w:rFonts w:ascii="宋体" w:hAnsi="宋体" w:cs="宋体"/>
                <w:color w:val="000000"/>
                <w:kern w:val="0"/>
                <w:sz w:val="18"/>
                <w:szCs w:val="18"/>
              </w:rPr>
            </w:pPr>
            <w:r>
              <w:rPr>
                <w:rFonts w:hint="eastAsia" w:ascii="宋体" w:hAnsi="宋体" w:cs="宋体"/>
                <w:color w:val="000000"/>
                <w:kern w:val="0"/>
                <w:sz w:val="18"/>
                <w:szCs w:val="18"/>
              </w:rPr>
              <w:t>Z≥80000</w:t>
            </w:r>
          </w:p>
        </w:tc>
        <w:tc>
          <w:tcPr>
            <w:tcW w:w="1701" w:type="dxa"/>
            <w:tcBorders>
              <w:top w:val="nil"/>
              <w:left w:val="nil"/>
              <w:bottom w:val="single" w:color="auto" w:sz="4" w:space="0"/>
              <w:right w:val="single" w:color="auto" w:sz="4" w:space="0"/>
            </w:tcBorders>
            <w:vAlign w:val="center"/>
          </w:tcPr>
          <w:p w14:paraId="688E2CA4">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5000≤Z＜80000</w:t>
            </w:r>
          </w:p>
        </w:tc>
        <w:tc>
          <w:tcPr>
            <w:tcW w:w="1426" w:type="dxa"/>
            <w:tcBorders>
              <w:top w:val="nil"/>
              <w:left w:val="nil"/>
              <w:bottom w:val="single" w:color="auto" w:sz="4" w:space="0"/>
              <w:right w:val="single" w:color="auto" w:sz="4" w:space="0"/>
            </w:tcBorders>
            <w:vAlign w:val="center"/>
          </w:tcPr>
          <w:p w14:paraId="044522D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300≤Z＜5000</w:t>
            </w:r>
          </w:p>
        </w:tc>
        <w:tc>
          <w:tcPr>
            <w:tcW w:w="992" w:type="dxa"/>
            <w:tcBorders>
              <w:top w:val="nil"/>
              <w:left w:val="nil"/>
              <w:bottom w:val="single" w:color="auto" w:sz="4" w:space="0"/>
              <w:right w:val="nil"/>
            </w:tcBorders>
            <w:vAlign w:val="center"/>
          </w:tcPr>
          <w:p w14:paraId="4ABEA0F6">
            <w:pPr>
              <w:widowControl/>
              <w:jc w:val="center"/>
              <w:rPr>
                <w:rFonts w:ascii="宋体" w:hAnsi="宋体" w:cs="宋体"/>
                <w:color w:val="000000"/>
                <w:kern w:val="0"/>
                <w:sz w:val="18"/>
                <w:szCs w:val="18"/>
              </w:rPr>
            </w:pPr>
            <w:r>
              <w:rPr>
                <w:rFonts w:hint="eastAsia" w:ascii="宋体" w:hAnsi="宋体" w:cs="宋体"/>
                <w:color w:val="000000"/>
                <w:kern w:val="0"/>
                <w:sz w:val="18"/>
                <w:szCs w:val="18"/>
              </w:rPr>
              <w:t>Z＜300</w:t>
            </w:r>
          </w:p>
        </w:tc>
      </w:tr>
      <w:tr w14:paraId="5ED11957">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01E53FB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批发业</w:t>
            </w:r>
          </w:p>
        </w:tc>
        <w:tc>
          <w:tcPr>
            <w:tcW w:w="1369" w:type="dxa"/>
            <w:tcBorders>
              <w:top w:val="nil"/>
              <w:left w:val="nil"/>
              <w:bottom w:val="nil"/>
              <w:right w:val="single" w:color="auto" w:sz="4" w:space="0"/>
            </w:tcBorders>
            <w:vAlign w:val="center"/>
          </w:tcPr>
          <w:p w14:paraId="40227ACD">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71E5203E">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311C253D">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vAlign w:val="center"/>
          </w:tcPr>
          <w:p w14:paraId="1D027426">
            <w:pPr>
              <w:widowControl/>
              <w:jc w:val="center"/>
              <w:rPr>
                <w:rFonts w:ascii="宋体" w:hAnsi="宋体" w:cs="宋体"/>
                <w:color w:val="000000"/>
                <w:kern w:val="0"/>
                <w:sz w:val="18"/>
                <w:szCs w:val="18"/>
              </w:rPr>
            </w:pPr>
            <w:r>
              <w:rPr>
                <w:rFonts w:hint="eastAsia" w:ascii="宋体" w:hAnsi="宋体" w:cs="宋体"/>
                <w:color w:val="000000"/>
                <w:kern w:val="0"/>
                <w:sz w:val="18"/>
                <w:szCs w:val="18"/>
              </w:rPr>
              <w:t>20≤X＜200</w:t>
            </w:r>
          </w:p>
        </w:tc>
        <w:tc>
          <w:tcPr>
            <w:tcW w:w="1426" w:type="dxa"/>
            <w:tcBorders>
              <w:top w:val="nil"/>
              <w:left w:val="nil"/>
              <w:bottom w:val="nil"/>
              <w:right w:val="single" w:color="auto" w:sz="4" w:space="0"/>
            </w:tcBorders>
            <w:vAlign w:val="center"/>
          </w:tcPr>
          <w:p w14:paraId="320FCBA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5≤X＜20</w:t>
            </w:r>
          </w:p>
        </w:tc>
        <w:tc>
          <w:tcPr>
            <w:tcW w:w="992" w:type="dxa"/>
            <w:tcBorders>
              <w:top w:val="nil"/>
              <w:left w:val="nil"/>
              <w:bottom w:val="nil"/>
              <w:right w:val="nil"/>
            </w:tcBorders>
            <w:vAlign w:val="center"/>
          </w:tcPr>
          <w:p w14:paraId="1F47DA1A">
            <w:pPr>
              <w:widowControl/>
              <w:jc w:val="center"/>
              <w:rPr>
                <w:rFonts w:ascii="宋体" w:hAnsi="宋体" w:cs="宋体"/>
                <w:color w:val="000000"/>
                <w:kern w:val="0"/>
                <w:sz w:val="18"/>
                <w:szCs w:val="18"/>
              </w:rPr>
            </w:pPr>
            <w:r>
              <w:rPr>
                <w:rFonts w:hint="eastAsia" w:ascii="宋体" w:hAnsi="宋体" w:cs="宋体"/>
                <w:color w:val="000000"/>
                <w:kern w:val="0"/>
                <w:sz w:val="18"/>
                <w:szCs w:val="18"/>
              </w:rPr>
              <w:t>X＜5</w:t>
            </w:r>
          </w:p>
        </w:tc>
      </w:tr>
      <w:tr w14:paraId="0320C126">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41A5441">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00A338D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4FEAD28D">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674B752A">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vAlign w:val="center"/>
          </w:tcPr>
          <w:p w14:paraId="18A0F6EF">
            <w:pPr>
              <w:widowControl/>
              <w:jc w:val="center"/>
              <w:rPr>
                <w:rFonts w:ascii="宋体" w:hAnsi="宋体" w:cs="宋体"/>
                <w:color w:val="000000"/>
                <w:kern w:val="0"/>
                <w:sz w:val="18"/>
                <w:szCs w:val="18"/>
              </w:rPr>
            </w:pPr>
            <w:r>
              <w:rPr>
                <w:rFonts w:hint="eastAsia" w:ascii="宋体" w:hAnsi="宋体" w:cs="宋体"/>
                <w:color w:val="000000"/>
                <w:kern w:val="0"/>
                <w:sz w:val="18"/>
                <w:szCs w:val="18"/>
              </w:rPr>
              <w:t>5000≤Y＜40000</w:t>
            </w:r>
          </w:p>
        </w:tc>
        <w:tc>
          <w:tcPr>
            <w:tcW w:w="1426" w:type="dxa"/>
            <w:tcBorders>
              <w:top w:val="nil"/>
              <w:left w:val="nil"/>
              <w:bottom w:val="single" w:color="auto" w:sz="4" w:space="0"/>
              <w:right w:val="single" w:color="auto" w:sz="4" w:space="0"/>
            </w:tcBorders>
            <w:vAlign w:val="center"/>
          </w:tcPr>
          <w:p w14:paraId="3C62DDE7">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1000≤Y＜5000</w:t>
            </w:r>
          </w:p>
        </w:tc>
        <w:tc>
          <w:tcPr>
            <w:tcW w:w="992" w:type="dxa"/>
            <w:tcBorders>
              <w:top w:val="nil"/>
              <w:left w:val="nil"/>
              <w:bottom w:val="single" w:color="auto" w:sz="4" w:space="0"/>
              <w:right w:val="nil"/>
            </w:tcBorders>
            <w:vAlign w:val="center"/>
          </w:tcPr>
          <w:p w14:paraId="0BC0FD6A">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w:t>
            </w:r>
          </w:p>
        </w:tc>
      </w:tr>
      <w:tr w14:paraId="6150EA33">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28F2322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零售业</w:t>
            </w:r>
          </w:p>
        </w:tc>
        <w:tc>
          <w:tcPr>
            <w:tcW w:w="1369" w:type="dxa"/>
            <w:tcBorders>
              <w:top w:val="nil"/>
              <w:left w:val="nil"/>
              <w:bottom w:val="nil"/>
              <w:right w:val="single" w:color="auto" w:sz="4" w:space="0"/>
            </w:tcBorders>
            <w:vAlign w:val="center"/>
          </w:tcPr>
          <w:p w14:paraId="484B32B8">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54BC95D7">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6507CE3F">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vAlign w:val="center"/>
          </w:tcPr>
          <w:p w14:paraId="6D717E9F">
            <w:pPr>
              <w:widowControl/>
              <w:jc w:val="center"/>
              <w:rPr>
                <w:rFonts w:ascii="宋体" w:hAnsi="宋体" w:cs="宋体"/>
                <w:color w:val="000000"/>
                <w:kern w:val="0"/>
                <w:sz w:val="18"/>
                <w:szCs w:val="18"/>
              </w:rPr>
            </w:pPr>
            <w:r>
              <w:rPr>
                <w:rFonts w:hint="eastAsia" w:ascii="宋体" w:hAnsi="宋体" w:cs="宋体"/>
                <w:color w:val="000000"/>
                <w:kern w:val="0"/>
                <w:sz w:val="18"/>
                <w:szCs w:val="18"/>
              </w:rPr>
              <w:t>50≤X＜300</w:t>
            </w:r>
          </w:p>
        </w:tc>
        <w:tc>
          <w:tcPr>
            <w:tcW w:w="1426" w:type="dxa"/>
            <w:tcBorders>
              <w:top w:val="nil"/>
              <w:left w:val="nil"/>
              <w:bottom w:val="nil"/>
              <w:right w:val="single" w:color="auto" w:sz="4" w:space="0"/>
            </w:tcBorders>
            <w:vAlign w:val="center"/>
          </w:tcPr>
          <w:p w14:paraId="0FB9F0CB">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10≤X＜50 </w:t>
            </w:r>
          </w:p>
        </w:tc>
        <w:tc>
          <w:tcPr>
            <w:tcW w:w="992" w:type="dxa"/>
            <w:tcBorders>
              <w:top w:val="nil"/>
              <w:left w:val="nil"/>
              <w:bottom w:val="nil"/>
              <w:right w:val="nil"/>
            </w:tcBorders>
            <w:vAlign w:val="center"/>
          </w:tcPr>
          <w:p w14:paraId="0FF5E3A2">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5EAF975D">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690A66F">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0C0E01F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2A0FD039">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394E01D9">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vAlign w:val="center"/>
          </w:tcPr>
          <w:p w14:paraId="50FFED4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vAlign w:val="center"/>
          </w:tcPr>
          <w:p w14:paraId="1DD10E9A">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100≤Y＜500 </w:t>
            </w:r>
          </w:p>
        </w:tc>
        <w:tc>
          <w:tcPr>
            <w:tcW w:w="992" w:type="dxa"/>
            <w:tcBorders>
              <w:top w:val="nil"/>
              <w:left w:val="nil"/>
              <w:bottom w:val="single" w:color="auto" w:sz="4" w:space="0"/>
              <w:right w:val="nil"/>
            </w:tcBorders>
            <w:vAlign w:val="center"/>
          </w:tcPr>
          <w:p w14:paraId="59AD419C">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2AB60059">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30D473D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交通运输业 *</w:t>
            </w:r>
          </w:p>
        </w:tc>
        <w:tc>
          <w:tcPr>
            <w:tcW w:w="1369" w:type="dxa"/>
            <w:tcBorders>
              <w:top w:val="nil"/>
              <w:left w:val="nil"/>
              <w:bottom w:val="nil"/>
              <w:right w:val="single" w:color="auto" w:sz="4" w:space="0"/>
            </w:tcBorders>
            <w:vAlign w:val="center"/>
          </w:tcPr>
          <w:p w14:paraId="0C83B016">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007322EA">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2D53FB78">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vAlign w:val="center"/>
          </w:tcPr>
          <w:p w14:paraId="36980E95">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vAlign w:val="center"/>
          </w:tcPr>
          <w:p w14:paraId="3009280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vAlign w:val="center"/>
          </w:tcPr>
          <w:p w14:paraId="52EBE2C0">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4710BB6B">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76E38995">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7691933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5156FEC9">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274CA143">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vAlign w:val="center"/>
          </w:tcPr>
          <w:p w14:paraId="1EBACB07">
            <w:pPr>
              <w:widowControl/>
              <w:jc w:val="center"/>
              <w:rPr>
                <w:rFonts w:ascii="宋体" w:hAnsi="宋体" w:cs="宋体"/>
                <w:color w:val="000000"/>
                <w:kern w:val="0"/>
                <w:sz w:val="18"/>
                <w:szCs w:val="18"/>
              </w:rPr>
            </w:pPr>
            <w:r>
              <w:rPr>
                <w:rFonts w:hint="eastAsia" w:ascii="宋体" w:hAnsi="宋体" w:cs="宋体"/>
                <w:color w:val="000000"/>
                <w:kern w:val="0"/>
                <w:sz w:val="18"/>
                <w:szCs w:val="18"/>
              </w:rPr>
              <w:t>3000≤Y＜30000</w:t>
            </w:r>
          </w:p>
        </w:tc>
        <w:tc>
          <w:tcPr>
            <w:tcW w:w="1426" w:type="dxa"/>
            <w:tcBorders>
              <w:top w:val="nil"/>
              <w:left w:val="nil"/>
              <w:bottom w:val="single" w:color="auto" w:sz="4" w:space="0"/>
              <w:right w:val="single" w:color="auto" w:sz="4" w:space="0"/>
            </w:tcBorders>
            <w:vAlign w:val="center"/>
          </w:tcPr>
          <w:p w14:paraId="643E500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200≤Y＜3000</w:t>
            </w:r>
          </w:p>
        </w:tc>
        <w:tc>
          <w:tcPr>
            <w:tcW w:w="992" w:type="dxa"/>
            <w:tcBorders>
              <w:top w:val="nil"/>
              <w:left w:val="nil"/>
              <w:bottom w:val="single" w:color="auto" w:sz="4" w:space="0"/>
              <w:right w:val="nil"/>
            </w:tcBorders>
            <w:vAlign w:val="center"/>
          </w:tcPr>
          <w:p w14:paraId="58827BA1">
            <w:pPr>
              <w:widowControl/>
              <w:jc w:val="center"/>
              <w:rPr>
                <w:rFonts w:ascii="宋体" w:hAnsi="宋体" w:cs="宋体"/>
                <w:color w:val="000000"/>
                <w:kern w:val="0"/>
                <w:sz w:val="18"/>
                <w:szCs w:val="18"/>
              </w:rPr>
            </w:pPr>
            <w:r>
              <w:rPr>
                <w:rFonts w:hint="eastAsia" w:ascii="宋体" w:hAnsi="宋体" w:cs="宋体"/>
                <w:color w:val="000000"/>
                <w:kern w:val="0"/>
                <w:sz w:val="18"/>
                <w:szCs w:val="18"/>
              </w:rPr>
              <w:t>Y＜200</w:t>
            </w:r>
          </w:p>
        </w:tc>
      </w:tr>
      <w:tr w14:paraId="6BA3C526">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0051A29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仓储业*</w:t>
            </w:r>
          </w:p>
        </w:tc>
        <w:tc>
          <w:tcPr>
            <w:tcW w:w="1369" w:type="dxa"/>
            <w:tcBorders>
              <w:top w:val="nil"/>
              <w:left w:val="nil"/>
              <w:bottom w:val="nil"/>
              <w:right w:val="single" w:color="auto" w:sz="4" w:space="0"/>
            </w:tcBorders>
            <w:vAlign w:val="center"/>
          </w:tcPr>
          <w:p w14:paraId="5EF29FF6">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1461A68F">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25953A53">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vAlign w:val="center"/>
          </w:tcPr>
          <w:p w14:paraId="0113D138">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100≤X＜200</w:t>
            </w:r>
          </w:p>
        </w:tc>
        <w:tc>
          <w:tcPr>
            <w:tcW w:w="1426" w:type="dxa"/>
            <w:tcBorders>
              <w:top w:val="nil"/>
              <w:left w:val="nil"/>
              <w:bottom w:val="nil"/>
              <w:right w:val="single" w:color="auto" w:sz="4" w:space="0"/>
            </w:tcBorders>
            <w:vAlign w:val="center"/>
          </w:tcPr>
          <w:p w14:paraId="273C132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20≤X＜100</w:t>
            </w:r>
          </w:p>
        </w:tc>
        <w:tc>
          <w:tcPr>
            <w:tcW w:w="992" w:type="dxa"/>
            <w:tcBorders>
              <w:top w:val="nil"/>
              <w:left w:val="nil"/>
              <w:bottom w:val="nil"/>
              <w:right w:val="nil"/>
            </w:tcBorders>
            <w:vAlign w:val="center"/>
          </w:tcPr>
          <w:p w14:paraId="0FC96B44">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264F79B3">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77F3726">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5DFFAE3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39C7D6BA">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04532D00">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vAlign w:val="center"/>
          </w:tcPr>
          <w:p w14:paraId="7BFBF63E">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1000≤Y＜30000</w:t>
            </w:r>
          </w:p>
        </w:tc>
        <w:tc>
          <w:tcPr>
            <w:tcW w:w="1426" w:type="dxa"/>
            <w:tcBorders>
              <w:top w:val="nil"/>
              <w:left w:val="nil"/>
              <w:bottom w:val="single" w:color="auto" w:sz="4" w:space="0"/>
              <w:right w:val="single" w:color="auto" w:sz="4" w:space="0"/>
            </w:tcBorders>
            <w:vAlign w:val="center"/>
          </w:tcPr>
          <w:p w14:paraId="366285C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vAlign w:val="center"/>
          </w:tcPr>
          <w:p w14:paraId="02D54700">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64CEA34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61EA2C7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邮政业</w:t>
            </w:r>
          </w:p>
        </w:tc>
        <w:tc>
          <w:tcPr>
            <w:tcW w:w="1369" w:type="dxa"/>
            <w:tcBorders>
              <w:top w:val="nil"/>
              <w:left w:val="nil"/>
              <w:bottom w:val="nil"/>
              <w:right w:val="single" w:color="auto" w:sz="4" w:space="0"/>
            </w:tcBorders>
            <w:vAlign w:val="center"/>
          </w:tcPr>
          <w:p w14:paraId="5DF98C6B">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230FB478">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40D58F5C">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vAlign w:val="center"/>
          </w:tcPr>
          <w:p w14:paraId="7B8C8A2B">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vAlign w:val="center"/>
          </w:tcPr>
          <w:p w14:paraId="3042C48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vAlign w:val="center"/>
          </w:tcPr>
          <w:p w14:paraId="7BDE67EC">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0E77926B">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C043015">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26A4A23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6FEE6BF9">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264151EE">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vAlign w:val="center"/>
          </w:tcPr>
          <w:p w14:paraId="49F652DC">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2000≤Y＜30000</w:t>
            </w:r>
          </w:p>
        </w:tc>
        <w:tc>
          <w:tcPr>
            <w:tcW w:w="1426" w:type="dxa"/>
            <w:tcBorders>
              <w:top w:val="nil"/>
              <w:left w:val="nil"/>
              <w:bottom w:val="single" w:color="auto" w:sz="4" w:space="0"/>
              <w:right w:val="single" w:color="auto" w:sz="4" w:space="0"/>
            </w:tcBorders>
            <w:vAlign w:val="center"/>
          </w:tcPr>
          <w:p w14:paraId="55C5342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vAlign w:val="center"/>
          </w:tcPr>
          <w:p w14:paraId="006272EF">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0171969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004E47D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住宿业</w:t>
            </w:r>
          </w:p>
        </w:tc>
        <w:tc>
          <w:tcPr>
            <w:tcW w:w="1369" w:type="dxa"/>
            <w:tcBorders>
              <w:top w:val="nil"/>
              <w:left w:val="nil"/>
              <w:bottom w:val="nil"/>
              <w:right w:val="single" w:color="auto" w:sz="4" w:space="0"/>
            </w:tcBorders>
            <w:vAlign w:val="center"/>
          </w:tcPr>
          <w:p w14:paraId="42B44437">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34FE9146">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373BEB86">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vAlign w:val="center"/>
          </w:tcPr>
          <w:p w14:paraId="28D25FC6">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vAlign w:val="center"/>
          </w:tcPr>
          <w:p w14:paraId="2B76107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vAlign w:val="center"/>
          </w:tcPr>
          <w:p w14:paraId="58E3AF86">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6607D20D">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374922A">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1F40834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1309029A">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1D71D3E2">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vAlign w:val="center"/>
          </w:tcPr>
          <w:p w14:paraId="5F1FC743">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vAlign w:val="center"/>
          </w:tcPr>
          <w:p w14:paraId="2402F2F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vAlign w:val="center"/>
          </w:tcPr>
          <w:p w14:paraId="5B5CC71D">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41761E9D">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3212365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餐饮业</w:t>
            </w:r>
          </w:p>
        </w:tc>
        <w:tc>
          <w:tcPr>
            <w:tcW w:w="1369" w:type="dxa"/>
            <w:tcBorders>
              <w:top w:val="nil"/>
              <w:left w:val="nil"/>
              <w:bottom w:val="nil"/>
              <w:right w:val="single" w:color="auto" w:sz="4" w:space="0"/>
            </w:tcBorders>
            <w:vAlign w:val="center"/>
          </w:tcPr>
          <w:p w14:paraId="6C4DDC00">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02546C42">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446C9165">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vAlign w:val="center"/>
          </w:tcPr>
          <w:p w14:paraId="501E0A44">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vAlign w:val="center"/>
          </w:tcPr>
          <w:p w14:paraId="74C1640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vAlign w:val="center"/>
          </w:tcPr>
          <w:p w14:paraId="61B74718">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0DB3D0B8">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833CB56">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309060C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7C434A4D">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5B89797A">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vAlign w:val="center"/>
          </w:tcPr>
          <w:p w14:paraId="0E6FCC43">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vAlign w:val="center"/>
          </w:tcPr>
          <w:p w14:paraId="73997E4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vAlign w:val="center"/>
          </w:tcPr>
          <w:p w14:paraId="62E6077B">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0EF9A05D">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690EBD6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信息传输业 *</w:t>
            </w:r>
          </w:p>
        </w:tc>
        <w:tc>
          <w:tcPr>
            <w:tcW w:w="1369" w:type="dxa"/>
            <w:tcBorders>
              <w:top w:val="nil"/>
              <w:left w:val="nil"/>
              <w:bottom w:val="nil"/>
              <w:right w:val="single" w:color="auto" w:sz="4" w:space="0"/>
            </w:tcBorders>
            <w:vAlign w:val="center"/>
          </w:tcPr>
          <w:p w14:paraId="1366FF1F">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3E92BC73">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233D449F">
            <w:pPr>
              <w:widowControl/>
              <w:jc w:val="center"/>
              <w:rPr>
                <w:rFonts w:ascii="宋体" w:hAnsi="宋体" w:cs="宋体"/>
                <w:color w:val="000000"/>
                <w:kern w:val="0"/>
                <w:sz w:val="18"/>
                <w:szCs w:val="18"/>
              </w:rPr>
            </w:pPr>
            <w:r>
              <w:rPr>
                <w:rFonts w:hint="eastAsia" w:ascii="宋体" w:hAnsi="宋体" w:cs="宋体"/>
                <w:color w:val="000000"/>
                <w:kern w:val="0"/>
                <w:sz w:val="18"/>
                <w:szCs w:val="18"/>
              </w:rPr>
              <w:t>X≥2000</w:t>
            </w:r>
          </w:p>
        </w:tc>
        <w:tc>
          <w:tcPr>
            <w:tcW w:w="1701" w:type="dxa"/>
            <w:tcBorders>
              <w:top w:val="nil"/>
              <w:left w:val="nil"/>
              <w:bottom w:val="nil"/>
              <w:right w:val="single" w:color="auto" w:sz="4" w:space="0"/>
            </w:tcBorders>
            <w:vAlign w:val="center"/>
          </w:tcPr>
          <w:p w14:paraId="58EC4782">
            <w:pPr>
              <w:widowControl/>
              <w:jc w:val="center"/>
              <w:rPr>
                <w:rFonts w:ascii="宋体" w:hAnsi="宋体" w:cs="宋体"/>
                <w:color w:val="000000"/>
                <w:kern w:val="0"/>
                <w:sz w:val="18"/>
                <w:szCs w:val="18"/>
              </w:rPr>
            </w:pPr>
            <w:r>
              <w:rPr>
                <w:rFonts w:hint="eastAsia" w:ascii="宋体" w:hAnsi="宋体" w:cs="宋体"/>
                <w:color w:val="000000"/>
                <w:kern w:val="0"/>
                <w:sz w:val="18"/>
                <w:szCs w:val="18"/>
              </w:rPr>
              <w:t>100≤X＜2000</w:t>
            </w:r>
          </w:p>
        </w:tc>
        <w:tc>
          <w:tcPr>
            <w:tcW w:w="1426" w:type="dxa"/>
            <w:tcBorders>
              <w:top w:val="nil"/>
              <w:left w:val="nil"/>
              <w:bottom w:val="nil"/>
              <w:right w:val="single" w:color="auto" w:sz="4" w:space="0"/>
            </w:tcBorders>
            <w:vAlign w:val="center"/>
          </w:tcPr>
          <w:p w14:paraId="2705B42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vAlign w:val="center"/>
          </w:tcPr>
          <w:p w14:paraId="73F0CD99">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3EF34746">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C9230A5">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34CC761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5ED0E918">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0983A73B">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Y≥100000</w:t>
            </w:r>
          </w:p>
        </w:tc>
        <w:tc>
          <w:tcPr>
            <w:tcW w:w="1701" w:type="dxa"/>
            <w:tcBorders>
              <w:top w:val="nil"/>
              <w:left w:val="nil"/>
              <w:bottom w:val="single" w:color="auto" w:sz="4" w:space="0"/>
              <w:right w:val="single" w:color="auto" w:sz="4" w:space="0"/>
            </w:tcBorders>
            <w:vAlign w:val="center"/>
          </w:tcPr>
          <w:p w14:paraId="0073CFD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1000≤Y＜100000</w:t>
            </w:r>
          </w:p>
        </w:tc>
        <w:tc>
          <w:tcPr>
            <w:tcW w:w="1426" w:type="dxa"/>
            <w:tcBorders>
              <w:top w:val="nil"/>
              <w:left w:val="nil"/>
              <w:bottom w:val="single" w:color="auto" w:sz="4" w:space="0"/>
              <w:right w:val="single" w:color="auto" w:sz="4" w:space="0"/>
            </w:tcBorders>
            <w:vAlign w:val="center"/>
          </w:tcPr>
          <w:p w14:paraId="53CB0B3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vAlign w:val="center"/>
          </w:tcPr>
          <w:p w14:paraId="12087E37">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0820A018">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vAlign w:val="center"/>
          </w:tcPr>
          <w:p w14:paraId="20677B14">
            <w:pPr>
              <w:widowControl/>
              <w:spacing w:line="240" w:lineRule="exact"/>
              <w:jc w:val="left"/>
              <w:rPr>
                <w:rFonts w:ascii="宋体" w:hAnsi="宋体" w:cs="宋体"/>
                <w:color w:val="000000"/>
                <w:spacing w:val="-12"/>
                <w:kern w:val="0"/>
                <w:sz w:val="18"/>
                <w:szCs w:val="18"/>
              </w:rPr>
            </w:pPr>
            <w:r>
              <w:rPr>
                <w:rFonts w:hint="eastAsia" w:ascii="宋体" w:hAnsi="宋体" w:cs="宋体"/>
                <w:color w:val="000000"/>
                <w:spacing w:val="-12"/>
                <w:kern w:val="0"/>
                <w:sz w:val="18"/>
                <w:szCs w:val="18"/>
              </w:rPr>
              <w:t>其他未列明行业</w:t>
            </w:r>
          </w:p>
        </w:tc>
        <w:tc>
          <w:tcPr>
            <w:tcW w:w="1369" w:type="dxa"/>
            <w:tcBorders>
              <w:top w:val="nil"/>
              <w:left w:val="nil"/>
              <w:bottom w:val="nil"/>
              <w:right w:val="single" w:color="auto" w:sz="4" w:space="0"/>
            </w:tcBorders>
            <w:vAlign w:val="center"/>
          </w:tcPr>
          <w:p w14:paraId="54E7E642">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6849AF3C">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0ACB480F">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vAlign w:val="center"/>
          </w:tcPr>
          <w:p w14:paraId="0A92C99A">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vAlign w:val="center"/>
          </w:tcPr>
          <w:p w14:paraId="4A950DE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vAlign w:val="center"/>
          </w:tcPr>
          <w:p w14:paraId="592CF7EF">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22B43902">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vAlign w:val="center"/>
          </w:tcPr>
          <w:p w14:paraId="4723EA9C">
            <w:pPr>
              <w:widowControl/>
              <w:jc w:val="left"/>
              <w:rPr>
                <w:rFonts w:ascii="宋体" w:hAnsi="宋体" w:cs="宋体"/>
                <w:color w:val="000000"/>
                <w:spacing w:val="-12"/>
                <w:kern w:val="0"/>
                <w:sz w:val="18"/>
                <w:szCs w:val="18"/>
              </w:rPr>
            </w:pPr>
          </w:p>
        </w:tc>
        <w:tc>
          <w:tcPr>
            <w:tcW w:w="1369" w:type="dxa"/>
            <w:tcBorders>
              <w:top w:val="nil"/>
              <w:left w:val="nil"/>
              <w:bottom w:val="single" w:color="auto" w:sz="4" w:space="0"/>
              <w:right w:val="single" w:color="auto" w:sz="4" w:space="0"/>
            </w:tcBorders>
            <w:vAlign w:val="center"/>
          </w:tcPr>
          <w:p w14:paraId="7B790F86">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37AC7EE4">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5316E6F4">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vAlign w:val="center"/>
          </w:tcPr>
          <w:p w14:paraId="4F0A19BC">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1000≤Y＜10000</w:t>
            </w:r>
          </w:p>
        </w:tc>
        <w:tc>
          <w:tcPr>
            <w:tcW w:w="1426" w:type="dxa"/>
            <w:tcBorders>
              <w:top w:val="nil"/>
              <w:left w:val="nil"/>
              <w:bottom w:val="single" w:color="auto" w:sz="4" w:space="0"/>
              <w:right w:val="single" w:color="auto" w:sz="4" w:space="0"/>
            </w:tcBorders>
            <w:vAlign w:val="center"/>
          </w:tcPr>
          <w:p w14:paraId="0BE0314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50≤Y＜1000</w:t>
            </w:r>
          </w:p>
        </w:tc>
        <w:tc>
          <w:tcPr>
            <w:tcW w:w="992" w:type="dxa"/>
            <w:tcBorders>
              <w:top w:val="nil"/>
              <w:left w:val="nil"/>
              <w:bottom w:val="single" w:color="auto" w:sz="4" w:space="0"/>
              <w:right w:val="nil"/>
            </w:tcBorders>
            <w:vAlign w:val="center"/>
          </w:tcPr>
          <w:p w14:paraId="6A4E777F">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065EE553">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vAlign w:val="center"/>
          </w:tcPr>
          <w:p w14:paraId="1C24A69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房地产开发经营</w:t>
            </w:r>
          </w:p>
        </w:tc>
        <w:tc>
          <w:tcPr>
            <w:tcW w:w="1369" w:type="dxa"/>
            <w:tcBorders>
              <w:top w:val="nil"/>
              <w:left w:val="nil"/>
              <w:bottom w:val="nil"/>
              <w:right w:val="single" w:color="auto" w:sz="4" w:space="0"/>
            </w:tcBorders>
            <w:vAlign w:val="center"/>
          </w:tcPr>
          <w:p w14:paraId="416E6B49">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vAlign w:val="center"/>
          </w:tcPr>
          <w:p w14:paraId="0B86E320">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vAlign w:val="center"/>
          </w:tcPr>
          <w:p w14:paraId="3789EC30">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Y≥200000</w:t>
            </w:r>
          </w:p>
        </w:tc>
        <w:tc>
          <w:tcPr>
            <w:tcW w:w="1701" w:type="dxa"/>
            <w:tcBorders>
              <w:top w:val="nil"/>
              <w:left w:val="nil"/>
              <w:bottom w:val="nil"/>
              <w:right w:val="single" w:color="auto" w:sz="4" w:space="0"/>
            </w:tcBorders>
            <w:vAlign w:val="center"/>
          </w:tcPr>
          <w:p w14:paraId="5BDA0D7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1000≤Y＜200000</w:t>
            </w:r>
          </w:p>
        </w:tc>
        <w:tc>
          <w:tcPr>
            <w:tcW w:w="1426" w:type="dxa"/>
            <w:tcBorders>
              <w:top w:val="nil"/>
              <w:left w:val="nil"/>
              <w:bottom w:val="nil"/>
              <w:right w:val="single" w:color="auto" w:sz="4" w:space="0"/>
            </w:tcBorders>
            <w:vAlign w:val="center"/>
          </w:tcPr>
          <w:p w14:paraId="070F81D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nil"/>
              <w:right w:val="nil"/>
            </w:tcBorders>
            <w:vAlign w:val="center"/>
          </w:tcPr>
          <w:p w14:paraId="1EF1AD5D">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5E8C50D7">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34CF8975">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13681AB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vAlign w:val="center"/>
          </w:tcPr>
          <w:p w14:paraId="23F035C4">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1FD09372">
            <w:pPr>
              <w:widowControl/>
              <w:jc w:val="center"/>
              <w:rPr>
                <w:rFonts w:ascii="宋体" w:hAnsi="宋体" w:cs="宋体"/>
                <w:color w:val="000000"/>
                <w:kern w:val="0"/>
                <w:sz w:val="18"/>
                <w:szCs w:val="18"/>
              </w:rPr>
            </w:pPr>
            <w:r>
              <w:rPr>
                <w:rFonts w:hint="eastAsia" w:ascii="宋体" w:hAnsi="宋体" w:cs="宋体"/>
                <w:color w:val="000000"/>
                <w:kern w:val="0"/>
                <w:sz w:val="18"/>
                <w:szCs w:val="18"/>
              </w:rPr>
              <w:t>Z≥10000</w:t>
            </w:r>
          </w:p>
        </w:tc>
        <w:tc>
          <w:tcPr>
            <w:tcW w:w="1701" w:type="dxa"/>
            <w:tcBorders>
              <w:top w:val="nil"/>
              <w:left w:val="nil"/>
              <w:bottom w:val="single" w:color="auto" w:sz="4" w:space="0"/>
              <w:right w:val="single" w:color="auto" w:sz="4" w:space="0"/>
            </w:tcBorders>
            <w:vAlign w:val="center"/>
          </w:tcPr>
          <w:p w14:paraId="17C8E233">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5000≤Z＜10000</w:t>
            </w:r>
          </w:p>
        </w:tc>
        <w:tc>
          <w:tcPr>
            <w:tcW w:w="1426" w:type="dxa"/>
            <w:tcBorders>
              <w:top w:val="nil"/>
              <w:left w:val="nil"/>
              <w:bottom w:val="single" w:color="auto" w:sz="4" w:space="0"/>
              <w:right w:val="single" w:color="auto" w:sz="4" w:space="0"/>
            </w:tcBorders>
            <w:vAlign w:val="center"/>
          </w:tcPr>
          <w:p w14:paraId="3CC640D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2000≤Z＜5000   </w:t>
            </w:r>
          </w:p>
        </w:tc>
        <w:tc>
          <w:tcPr>
            <w:tcW w:w="992" w:type="dxa"/>
            <w:tcBorders>
              <w:top w:val="nil"/>
              <w:left w:val="nil"/>
              <w:bottom w:val="single" w:color="auto" w:sz="4" w:space="0"/>
              <w:right w:val="nil"/>
            </w:tcBorders>
            <w:vAlign w:val="center"/>
          </w:tcPr>
          <w:p w14:paraId="46D3B90D">
            <w:pPr>
              <w:widowControl/>
              <w:jc w:val="center"/>
              <w:rPr>
                <w:rFonts w:ascii="宋体" w:hAnsi="宋体" w:cs="宋体"/>
                <w:color w:val="000000"/>
                <w:kern w:val="0"/>
                <w:sz w:val="18"/>
                <w:szCs w:val="18"/>
              </w:rPr>
            </w:pPr>
            <w:r>
              <w:rPr>
                <w:rFonts w:hint="eastAsia" w:ascii="宋体" w:hAnsi="宋体" w:cs="宋体"/>
                <w:color w:val="000000"/>
                <w:kern w:val="0"/>
                <w:sz w:val="18"/>
                <w:szCs w:val="18"/>
              </w:rPr>
              <w:t>Z＜2000</w:t>
            </w:r>
          </w:p>
        </w:tc>
      </w:tr>
      <w:tr w14:paraId="0407D1C6">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vAlign w:val="center"/>
          </w:tcPr>
          <w:p w14:paraId="18966E2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物业管理</w:t>
            </w:r>
          </w:p>
        </w:tc>
        <w:tc>
          <w:tcPr>
            <w:tcW w:w="1369" w:type="dxa"/>
            <w:tcBorders>
              <w:top w:val="nil"/>
              <w:left w:val="nil"/>
              <w:bottom w:val="nil"/>
              <w:right w:val="single" w:color="auto" w:sz="4" w:space="0"/>
            </w:tcBorders>
            <w:vAlign w:val="center"/>
          </w:tcPr>
          <w:p w14:paraId="05B0ADD8">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732BC42B">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501DA567">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vAlign w:val="center"/>
          </w:tcPr>
          <w:p w14:paraId="4EDA1517">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vAlign w:val="center"/>
          </w:tcPr>
          <w:p w14:paraId="1B0C7FC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992" w:type="dxa"/>
            <w:tcBorders>
              <w:top w:val="nil"/>
              <w:left w:val="nil"/>
              <w:bottom w:val="nil"/>
              <w:right w:val="nil"/>
            </w:tcBorders>
            <w:vAlign w:val="center"/>
          </w:tcPr>
          <w:p w14:paraId="45344453">
            <w:pPr>
              <w:widowControl/>
              <w:jc w:val="center"/>
              <w:rPr>
                <w:rFonts w:ascii="宋体" w:hAnsi="宋体" w:cs="宋体"/>
                <w:color w:val="000000"/>
                <w:kern w:val="0"/>
                <w:sz w:val="18"/>
                <w:szCs w:val="18"/>
              </w:rPr>
            </w:pPr>
            <w:r>
              <w:rPr>
                <w:rFonts w:hint="eastAsia" w:ascii="宋体" w:hAnsi="宋体" w:cs="宋体"/>
                <w:color w:val="000000"/>
                <w:kern w:val="0"/>
                <w:sz w:val="18"/>
                <w:szCs w:val="18"/>
              </w:rPr>
              <w:t>X＜100</w:t>
            </w:r>
          </w:p>
        </w:tc>
      </w:tr>
      <w:tr w14:paraId="5D8A6326">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75837F5F">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7980B08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7F67D58C">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3498CEE1">
            <w:pPr>
              <w:widowControl/>
              <w:jc w:val="center"/>
              <w:rPr>
                <w:rFonts w:ascii="宋体" w:hAnsi="宋体" w:cs="宋体"/>
                <w:color w:val="000000"/>
                <w:kern w:val="0"/>
                <w:sz w:val="18"/>
                <w:szCs w:val="18"/>
              </w:rPr>
            </w:pPr>
            <w:r>
              <w:rPr>
                <w:rFonts w:hint="eastAsia" w:ascii="宋体" w:hAnsi="宋体" w:cs="宋体"/>
                <w:color w:val="000000"/>
                <w:kern w:val="0"/>
                <w:sz w:val="18"/>
                <w:szCs w:val="18"/>
              </w:rPr>
              <w:t>Y≥5000</w:t>
            </w:r>
          </w:p>
        </w:tc>
        <w:tc>
          <w:tcPr>
            <w:tcW w:w="1701" w:type="dxa"/>
            <w:tcBorders>
              <w:top w:val="nil"/>
              <w:left w:val="nil"/>
              <w:bottom w:val="single" w:color="auto" w:sz="4" w:space="0"/>
              <w:right w:val="single" w:color="auto" w:sz="4" w:space="0"/>
            </w:tcBorders>
            <w:vAlign w:val="center"/>
          </w:tcPr>
          <w:p w14:paraId="3289B41B">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1000≤Y＜5000 </w:t>
            </w:r>
          </w:p>
        </w:tc>
        <w:tc>
          <w:tcPr>
            <w:tcW w:w="1426" w:type="dxa"/>
            <w:tcBorders>
              <w:top w:val="nil"/>
              <w:left w:val="nil"/>
              <w:bottom w:val="single" w:color="auto" w:sz="4" w:space="0"/>
              <w:right w:val="single" w:color="auto" w:sz="4" w:space="0"/>
            </w:tcBorders>
            <w:vAlign w:val="center"/>
          </w:tcPr>
          <w:p w14:paraId="5BE80F7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500≤Y＜1000</w:t>
            </w:r>
          </w:p>
        </w:tc>
        <w:tc>
          <w:tcPr>
            <w:tcW w:w="992" w:type="dxa"/>
            <w:tcBorders>
              <w:top w:val="nil"/>
              <w:left w:val="nil"/>
              <w:bottom w:val="single" w:color="auto" w:sz="4" w:space="0"/>
              <w:right w:val="nil"/>
            </w:tcBorders>
            <w:vAlign w:val="center"/>
          </w:tcPr>
          <w:p w14:paraId="1D65D60F">
            <w:pPr>
              <w:widowControl/>
              <w:jc w:val="center"/>
              <w:rPr>
                <w:rFonts w:ascii="宋体" w:hAnsi="宋体" w:cs="宋体"/>
                <w:color w:val="000000"/>
                <w:kern w:val="0"/>
                <w:sz w:val="18"/>
                <w:szCs w:val="18"/>
              </w:rPr>
            </w:pPr>
            <w:r>
              <w:rPr>
                <w:rFonts w:hint="eastAsia" w:ascii="宋体" w:hAnsi="宋体" w:cs="宋体"/>
                <w:color w:val="000000"/>
                <w:kern w:val="0"/>
                <w:sz w:val="18"/>
                <w:szCs w:val="18"/>
              </w:rPr>
              <w:t>Y＜500</w:t>
            </w:r>
          </w:p>
        </w:tc>
      </w:tr>
      <w:tr w14:paraId="472345EF">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vAlign w:val="center"/>
          </w:tcPr>
          <w:p w14:paraId="1DA60C9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租赁和商务服务业</w:t>
            </w:r>
          </w:p>
        </w:tc>
        <w:tc>
          <w:tcPr>
            <w:tcW w:w="1369" w:type="dxa"/>
            <w:tcBorders>
              <w:top w:val="nil"/>
              <w:left w:val="nil"/>
              <w:bottom w:val="nil"/>
              <w:right w:val="single" w:color="auto" w:sz="4" w:space="0"/>
            </w:tcBorders>
            <w:vAlign w:val="center"/>
          </w:tcPr>
          <w:p w14:paraId="52A898CF">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2C309478">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4BAFDE7F">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vAlign w:val="center"/>
          </w:tcPr>
          <w:p w14:paraId="38F13423">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vAlign w:val="center"/>
          </w:tcPr>
          <w:p w14:paraId="3E86773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vAlign w:val="center"/>
          </w:tcPr>
          <w:p w14:paraId="581845AA">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453822CC">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782EE707">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4F37F8D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vAlign w:val="center"/>
          </w:tcPr>
          <w:p w14:paraId="435DE8F5">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5CB3DACA">
            <w:pPr>
              <w:widowControl/>
              <w:jc w:val="center"/>
              <w:rPr>
                <w:rFonts w:ascii="宋体" w:hAnsi="宋体" w:cs="宋体"/>
                <w:color w:val="000000"/>
                <w:kern w:val="0"/>
                <w:sz w:val="18"/>
                <w:szCs w:val="18"/>
              </w:rPr>
            </w:pPr>
            <w:r>
              <w:rPr>
                <w:rFonts w:hint="eastAsia" w:ascii="宋体" w:hAnsi="宋体" w:cs="宋体"/>
                <w:color w:val="000000"/>
                <w:kern w:val="0"/>
                <w:sz w:val="18"/>
                <w:szCs w:val="18"/>
              </w:rPr>
              <w:t>Z≥120000</w:t>
            </w:r>
          </w:p>
        </w:tc>
        <w:tc>
          <w:tcPr>
            <w:tcW w:w="1701" w:type="dxa"/>
            <w:tcBorders>
              <w:top w:val="nil"/>
              <w:left w:val="nil"/>
              <w:bottom w:val="single" w:color="auto" w:sz="4" w:space="0"/>
              <w:right w:val="single" w:color="auto" w:sz="4" w:space="0"/>
            </w:tcBorders>
            <w:vAlign w:val="center"/>
          </w:tcPr>
          <w:p w14:paraId="680103B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8000≤Z＜120000</w:t>
            </w:r>
          </w:p>
        </w:tc>
        <w:tc>
          <w:tcPr>
            <w:tcW w:w="1426" w:type="dxa"/>
            <w:tcBorders>
              <w:top w:val="nil"/>
              <w:left w:val="nil"/>
              <w:bottom w:val="single" w:color="auto" w:sz="4" w:space="0"/>
              <w:right w:val="single" w:color="auto" w:sz="4" w:space="0"/>
            </w:tcBorders>
            <w:vAlign w:val="center"/>
          </w:tcPr>
          <w:p w14:paraId="0F13A78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100≤Z＜8000</w:t>
            </w:r>
          </w:p>
        </w:tc>
        <w:tc>
          <w:tcPr>
            <w:tcW w:w="992" w:type="dxa"/>
            <w:tcBorders>
              <w:top w:val="nil"/>
              <w:left w:val="nil"/>
              <w:bottom w:val="single" w:color="auto" w:sz="4" w:space="0"/>
              <w:right w:val="nil"/>
            </w:tcBorders>
            <w:vAlign w:val="center"/>
          </w:tcPr>
          <w:p w14:paraId="27A9E076">
            <w:pPr>
              <w:widowControl/>
              <w:jc w:val="center"/>
              <w:rPr>
                <w:rFonts w:ascii="宋体" w:hAnsi="宋体" w:cs="宋体"/>
                <w:color w:val="000000"/>
                <w:kern w:val="0"/>
                <w:sz w:val="18"/>
                <w:szCs w:val="18"/>
              </w:rPr>
            </w:pPr>
            <w:r>
              <w:rPr>
                <w:rFonts w:hint="eastAsia" w:ascii="宋体" w:hAnsi="宋体" w:cs="宋体"/>
                <w:color w:val="000000"/>
                <w:kern w:val="0"/>
                <w:sz w:val="18"/>
                <w:szCs w:val="18"/>
              </w:rPr>
              <w:t>Z＜100</w:t>
            </w:r>
          </w:p>
        </w:tc>
      </w:tr>
      <w:tr w14:paraId="0DCD816C">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vAlign w:val="center"/>
          </w:tcPr>
          <w:p w14:paraId="554BBFE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其他未列明行业 *</w:t>
            </w:r>
          </w:p>
        </w:tc>
        <w:tc>
          <w:tcPr>
            <w:tcW w:w="1369" w:type="dxa"/>
            <w:tcBorders>
              <w:top w:val="nil"/>
              <w:left w:val="nil"/>
              <w:bottom w:val="single" w:color="auto" w:sz="4" w:space="0"/>
              <w:right w:val="single" w:color="auto" w:sz="4" w:space="0"/>
            </w:tcBorders>
            <w:vAlign w:val="center"/>
          </w:tcPr>
          <w:p w14:paraId="1BC2E410">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single" w:color="auto" w:sz="4" w:space="0"/>
              <w:right w:val="single" w:color="auto" w:sz="4" w:space="0"/>
            </w:tcBorders>
            <w:vAlign w:val="center"/>
          </w:tcPr>
          <w:p w14:paraId="3AACE3B8">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single" w:color="auto" w:sz="4" w:space="0"/>
              <w:right w:val="single" w:color="auto" w:sz="4" w:space="0"/>
            </w:tcBorders>
            <w:vAlign w:val="center"/>
          </w:tcPr>
          <w:p w14:paraId="6A8F2255">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single" w:color="auto" w:sz="4" w:space="0"/>
              <w:right w:val="single" w:color="auto" w:sz="4" w:space="0"/>
            </w:tcBorders>
            <w:vAlign w:val="center"/>
          </w:tcPr>
          <w:p w14:paraId="62173A31">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single" w:color="auto" w:sz="4" w:space="0"/>
              <w:right w:val="single" w:color="auto" w:sz="4" w:space="0"/>
            </w:tcBorders>
            <w:vAlign w:val="center"/>
          </w:tcPr>
          <w:p w14:paraId="5B0E98D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single" w:color="auto" w:sz="4" w:space="0"/>
              <w:right w:val="nil"/>
            </w:tcBorders>
            <w:vAlign w:val="center"/>
          </w:tcPr>
          <w:p w14:paraId="43CED8FE">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bl>
    <w:p w14:paraId="36FFAB9A">
      <w:pPr>
        <w:widowControl/>
        <w:spacing w:line="360" w:lineRule="auto"/>
        <w:jc w:val="left"/>
        <w:rPr>
          <w:rFonts w:ascii="宋体" w:hAnsi="宋体" w:cs="宋体"/>
          <w:kern w:val="0"/>
          <w:szCs w:val="21"/>
        </w:rPr>
      </w:pPr>
      <w:r>
        <w:rPr>
          <w:rFonts w:ascii="宋体" w:hAnsi="宋体" w:cs="宋体"/>
          <w:kern w:val="0"/>
          <w:szCs w:val="21"/>
        </w:rPr>
        <w:t>说明：</w:t>
      </w:r>
    </w:p>
    <w:p w14:paraId="24EDFF5E">
      <w:pPr>
        <w:widowControl/>
        <w:spacing w:line="360" w:lineRule="auto"/>
        <w:ind w:firstLine="371" w:firstLineChars="177"/>
        <w:jc w:val="left"/>
        <w:rPr>
          <w:rFonts w:ascii="宋体" w:hAnsi="宋体" w:cs="宋体"/>
          <w:kern w:val="0"/>
          <w:szCs w:val="21"/>
        </w:rPr>
      </w:pPr>
      <w:r>
        <w:rPr>
          <w:rFonts w:ascii="宋体" w:hAnsi="宋体" w:cs="宋体"/>
          <w:kern w:val="0"/>
          <w:szCs w:val="21"/>
        </w:rPr>
        <w:t>1.大型、中型和小型企业须同时满足所列指标的下限，否则下划一档；微型企业只须满足所列指标中的一项即可。</w:t>
      </w:r>
    </w:p>
    <w:p w14:paraId="64231B79">
      <w:pPr>
        <w:widowControl/>
        <w:spacing w:line="360" w:lineRule="auto"/>
        <w:ind w:firstLine="371" w:firstLineChars="177"/>
        <w:jc w:val="left"/>
        <w:rPr>
          <w:rFonts w:ascii="宋体" w:hAnsi="宋体" w:cs="宋体"/>
          <w:kern w:val="0"/>
          <w:szCs w:val="21"/>
        </w:rPr>
      </w:pPr>
      <w:r>
        <w:rPr>
          <w:rFonts w:ascii="宋体" w:hAnsi="宋体" w:cs="宋体"/>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6D0A0C8">
      <w:pPr>
        <w:widowControl/>
        <w:spacing w:line="360" w:lineRule="auto"/>
        <w:ind w:firstLine="371" w:firstLineChars="177"/>
        <w:jc w:val="left"/>
        <w:rPr>
          <w:rFonts w:ascii="宋体" w:hAnsi="宋体" w:cs="宋体"/>
          <w:kern w:val="0"/>
          <w:szCs w:val="21"/>
        </w:rPr>
      </w:pPr>
      <w:r>
        <w:rPr>
          <w:rFonts w:ascii="宋体" w:hAnsi="宋体" w:cs="宋体"/>
          <w:kern w:val="0"/>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5F3EBCC">
      <w:pPr>
        <w:spacing w:line="360" w:lineRule="auto"/>
        <w:rPr>
          <w:rFonts w:ascii="宋体" w:hAnsi="宋体"/>
          <w:szCs w:val="21"/>
        </w:rPr>
      </w:pPr>
    </w:p>
    <w:p w14:paraId="22D60F9C">
      <w:pPr>
        <w:pStyle w:val="2"/>
        <w:spacing w:before="0" w:after="0"/>
      </w:pPr>
      <w:bookmarkStart w:id="116" w:name="_Toc73613647"/>
      <w:bookmarkStart w:id="117" w:name="_Toc73610165"/>
      <w:bookmarkStart w:id="118" w:name="_Toc171350618"/>
      <w:r>
        <w:rPr>
          <w:rFonts w:hint="eastAsia"/>
        </w:rPr>
        <w:t>四、</w:t>
      </w:r>
      <w:r>
        <w:t>财政部 民政部 中国残疾人联合会关于促进残疾人就业 政府采购政策的通知</w:t>
      </w:r>
      <w:bookmarkEnd w:id="116"/>
      <w:bookmarkEnd w:id="117"/>
      <w:bookmarkEnd w:id="118"/>
    </w:p>
    <w:p w14:paraId="47A0A76B">
      <w:pPr>
        <w:widowControl/>
        <w:shd w:val="clear" w:color="auto" w:fill="FFFFFF"/>
        <w:spacing w:before="100" w:beforeAutospacing="1" w:after="100" w:afterAutospacing="1" w:line="360" w:lineRule="auto"/>
        <w:jc w:val="center"/>
        <w:rPr>
          <w:rFonts w:ascii="宋体" w:hAnsi="宋体" w:cs="宋体"/>
          <w:color w:val="000000"/>
          <w:kern w:val="0"/>
          <w:szCs w:val="21"/>
        </w:rPr>
      </w:pPr>
      <w:r>
        <w:rPr>
          <w:rFonts w:ascii="宋体" w:hAnsi="宋体" w:cs="宋体"/>
          <w:color w:val="000000"/>
          <w:kern w:val="0"/>
          <w:szCs w:val="21"/>
        </w:rPr>
        <w:t>财库〔2017〕141号</w:t>
      </w:r>
    </w:p>
    <w:p w14:paraId="038658DE">
      <w:pPr>
        <w:widowControl/>
        <w:spacing w:line="360" w:lineRule="auto"/>
        <w:jc w:val="left"/>
        <w:rPr>
          <w:rFonts w:ascii="宋体" w:hAnsi="宋体" w:cs="宋体"/>
          <w:kern w:val="0"/>
          <w:szCs w:val="21"/>
        </w:rPr>
      </w:pPr>
      <w:r>
        <w:rPr>
          <w:rFonts w:hint="eastAsia" w:ascii="宋体" w:hAnsi="宋体" w:cs="宋体"/>
          <w:kern w:val="0"/>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12E55FCA">
      <w:pPr>
        <w:widowControl/>
        <w:spacing w:line="360" w:lineRule="auto"/>
        <w:jc w:val="left"/>
        <w:rPr>
          <w:rFonts w:ascii="宋体" w:hAnsi="宋体" w:cs="宋体"/>
          <w:kern w:val="0"/>
          <w:szCs w:val="21"/>
        </w:rPr>
      </w:pPr>
      <w:r>
        <w:rPr>
          <w:rFonts w:hint="eastAsia" w:ascii="宋体" w:hAnsi="宋体" w:cs="宋体"/>
          <w:kern w:val="0"/>
          <w:szCs w:val="21"/>
        </w:rPr>
        <w:t>　　为了发挥政府采购促进残疾人就业的作用，进一步保障残疾人权益，依照《政府采购法》、《残疾人保障法》等法律法规及相关规定，现就促进残疾人就业政府采购政策通知如下：</w:t>
      </w:r>
    </w:p>
    <w:p w14:paraId="15436495">
      <w:pPr>
        <w:widowControl/>
        <w:spacing w:line="360" w:lineRule="auto"/>
        <w:jc w:val="left"/>
        <w:rPr>
          <w:rFonts w:ascii="宋体" w:hAnsi="宋体" w:cs="宋体"/>
          <w:kern w:val="0"/>
          <w:szCs w:val="21"/>
        </w:rPr>
      </w:pPr>
      <w:r>
        <w:rPr>
          <w:rFonts w:hint="eastAsia" w:ascii="宋体" w:hAnsi="宋体" w:cs="宋体"/>
          <w:kern w:val="0"/>
          <w:szCs w:val="21"/>
        </w:rPr>
        <w:t>　　一、享受政府采购支持政策的残疾人福利性单位应当同时满足以下条件：</w:t>
      </w:r>
    </w:p>
    <w:p w14:paraId="418C4C60">
      <w:pPr>
        <w:widowControl/>
        <w:spacing w:line="360" w:lineRule="auto"/>
        <w:jc w:val="left"/>
        <w:rPr>
          <w:rFonts w:ascii="宋体" w:hAnsi="宋体" w:cs="宋体"/>
          <w:kern w:val="0"/>
          <w:szCs w:val="21"/>
        </w:rPr>
      </w:pPr>
      <w:r>
        <w:rPr>
          <w:rFonts w:hint="eastAsia" w:ascii="宋体" w:hAnsi="宋体" w:cs="宋体"/>
          <w:kern w:val="0"/>
          <w:szCs w:val="21"/>
        </w:rPr>
        <w:t>　　（一）安置的残疾人占本单位在职职工人数的比例不低于25%（含25%），并且安置的残疾人人数不少于10人（含10人）；</w:t>
      </w:r>
    </w:p>
    <w:p w14:paraId="5D6DFFE5">
      <w:pPr>
        <w:widowControl/>
        <w:spacing w:line="360" w:lineRule="auto"/>
        <w:jc w:val="left"/>
        <w:rPr>
          <w:rFonts w:ascii="宋体" w:hAnsi="宋体" w:cs="宋体"/>
          <w:kern w:val="0"/>
          <w:szCs w:val="21"/>
        </w:rPr>
      </w:pPr>
      <w:r>
        <w:rPr>
          <w:rFonts w:hint="eastAsia" w:ascii="宋体" w:hAnsi="宋体" w:cs="宋体"/>
          <w:kern w:val="0"/>
          <w:szCs w:val="21"/>
        </w:rPr>
        <w:t>　　（二）依法与安置的每位残疾人签订了一年以上（含一年）的劳动合同或服务协议；</w:t>
      </w:r>
    </w:p>
    <w:p w14:paraId="07703EF1">
      <w:pPr>
        <w:widowControl/>
        <w:spacing w:line="360" w:lineRule="auto"/>
        <w:jc w:val="left"/>
        <w:rPr>
          <w:rFonts w:ascii="宋体" w:hAnsi="宋体" w:cs="宋体"/>
          <w:kern w:val="0"/>
          <w:szCs w:val="21"/>
        </w:rPr>
      </w:pPr>
      <w:r>
        <w:rPr>
          <w:rFonts w:hint="eastAsia" w:ascii="宋体" w:hAnsi="宋体" w:cs="宋体"/>
          <w:kern w:val="0"/>
          <w:szCs w:val="21"/>
        </w:rPr>
        <w:t>　　（三）为安置的每位残疾人按月足额缴纳了基本养老保险、基本医疗保险、失业保险、工伤保险和生育保险等社会保险费；</w:t>
      </w:r>
    </w:p>
    <w:p w14:paraId="655DA83F">
      <w:pPr>
        <w:widowControl/>
        <w:spacing w:line="360" w:lineRule="auto"/>
        <w:jc w:val="left"/>
        <w:rPr>
          <w:rFonts w:ascii="宋体" w:hAnsi="宋体" w:cs="宋体"/>
          <w:kern w:val="0"/>
          <w:szCs w:val="21"/>
        </w:rPr>
      </w:pPr>
      <w:r>
        <w:rPr>
          <w:rFonts w:hint="eastAsia" w:ascii="宋体" w:hAnsi="宋体" w:cs="宋体"/>
          <w:kern w:val="0"/>
          <w:szCs w:val="21"/>
        </w:rPr>
        <w:t>　　（四）通过银行等金融机构向安置的每位残疾人，按月支付了不低于单位所在区县适用的经省级人民政府批准的月最低工资标准的工资；</w:t>
      </w:r>
    </w:p>
    <w:p w14:paraId="37ED405A">
      <w:pPr>
        <w:widowControl/>
        <w:spacing w:line="360" w:lineRule="auto"/>
        <w:jc w:val="left"/>
        <w:rPr>
          <w:rFonts w:ascii="宋体" w:hAnsi="宋体" w:cs="宋体"/>
          <w:kern w:val="0"/>
          <w:szCs w:val="21"/>
        </w:rPr>
      </w:pPr>
      <w:r>
        <w:rPr>
          <w:rFonts w:hint="eastAsia" w:ascii="宋体" w:hAnsi="宋体" w:cs="宋体"/>
          <w:kern w:val="0"/>
          <w:szCs w:val="21"/>
        </w:rPr>
        <w:t>　　（五）提供本单位制造的货物、承担的工程或者服务（以下简称产品），或者提供其他残疾人福利性单位制造的货物（不包括使用非残疾人福利性单位注册商标的货物）。</w:t>
      </w:r>
    </w:p>
    <w:p w14:paraId="4E48F242">
      <w:pPr>
        <w:widowControl/>
        <w:spacing w:line="360" w:lineRule="auto"/>
        <w:jc w:val="left"/>
        <w:rPr>
          <w:rFonts w:ascii="宋体" w:hAnsi="宋体" w:cs="宋体"/>
          <w:kern w:val="0"/>
          <w:szCs w:val="21"/>
        </w:rPr>
      </w:pPr>
      <w:r>
        <w:rPr>
          <w:rFonts w:hint="eastAsia" w:ascii="宋体" w:hAnsi="宋体" w:cs="宋体"/>
          <w:kern w:val="0"/>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D58CF53">
      <w:pPr>
        <w:widowControl/>
        <w:spacing w:line="360" w:lineRule="auto"/>
        <w:jc w:val="left"/>
        <w:rPr>
          <w:rFonts w:ascii="宋体" w:hAnsi="宋体" w:cs="宋体"/>
          <w:kern w:val="0"/>
          <w:szCs w:val="21"/>
        </w:rPr>
      </w:pPr>
      <w:r>
        <w:rPr>
          <w:rFonts w:hint="eastAsia" w:ascii="宋体" w:hAnsi="宋体" w:cs="宋体"/>
          <w:kern w:val="0"/>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64318033">
      <w:pPr>
        <w:widowControl/>
        <w:spacing w:line="360" w:lineRule="auto"/>
        <w:jc w:val="left"/>
        <w:rPr>
          <w:rFonts w:ascii="宋体" w:hAnsi="宋体" w:cs="宋体"/>
          <w:kern w:val="0"/>
          <w:szCs w:val="21"/>
        </w:rPr>
      </w:pPr>
      <w:r>
        <w:rPr>
          <w:rFonts w:hint="eastAsia" w:ascii="宋体" w:hAnsi="宋体" w:cs="宋体"/>
          <w:kern w:val="0"/>
          <w:szCs w:val="21"/>
        </w:rPr>
        <w:t>　　中标、成交供应商为残疾人福利性单位的，采购人或者其委托的采购代理机构应当随中标、成交结果同时公告其《残疾人福利性单位声明函》，接受社会监督。</w:t>
      </w:r>
    </w:p>
    <w:p w14:paraId="09D1EB26">
      <w:pPr>
        <w:widowControl/>
        <w:spacing w:line="360" w:lineRule="auto"/>
        <w:jc w:val="left"/>
        <w:rPr>
          <w:rFonts w:ascii="宋体" w:hAnsi="宋体" w:cs="宋体"/>
          <w:kern w:val="0"/>
          <w:szCs w:val="21"/>
        </w:rPr>
      </w:pPr>
      <w:r>
        <w:rPr>
          <w:rFonts w:hint="eastAsia" w:ascii="宋体" w:hAnsi="宋体" w:cs="宋体"/>
          <w:kern w:val="0"/>
          <w:szCs w:val="21"/>
        </w:rPr>
        <w:t>　　供应商提供的《残疾人福利性单位声明函》与事实不符的，依照《政府采购法》第七十七条第一款的规定追究法律责任。</w:t>
      </w:r>
    </w:p>
    <w:p w14:paraId="506847B8">
      <w:pPr>
        <w:widowControl/>
        <w:spacing w:line="360" w:lineRule="auto"/>
        <w:jc w:val="left"/>
        <w:rPr>
          <w:rFonts w:ascii="宋体" w:hAnsi="宋体" w:cs="宋体"/>
          <w:kern w:val="0"/>
          <w:szCs w:val="21"/>
        </w:rPr>
      </w:pPr>
      <w:r>
        <w:rPr>
          <w:rFonts w:hint="eastAsia" w:ascii="宋体" w:hAnsi="宋体" w:cs="宋体"/>
          <w:kern w:val="0"/>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5B397AAA">
      <w:pPr>
        <w:widowControl/>
        <w:spacing w:line="360" w:lineRule="auto"/>
        <w:jc w:val="left"/>
        <w:rPr>
          <w:rFonts w:ascii="宋体" w:hAnsi="宋体" w:cs="宋体"/>
          <w:kern w:val="0"/>
          <w:szCs w:val="21"/>
        </w:rPr>
      </w:pPr>
      <w:r>
        <w:rPr>
          <w:rFonts w:hint="eastAsia" w:ascii="宋体" w:hAnsi="宋体" w:cs="宋体"/>
          <w:kern w:val="0"/>
          <w:szCs w:val="21"/>
        </w:rPr>
        <w:t>　　四、采购人采购公开招标数额标准以上的货物或者服务，因落实促进残疾人就业政策的需要，依法履行有关报批程序后，可采用公开招标以外的采购方式。</w:t>
      </w:r>
    </w:p>
    <w:p w14:paraId="08A5F934">
      <w:pPr>
        <w:widowControl/>
        <w:spacing w:line="360" w:lineRule="auto"/>
        <w:jc w:val="left"/>
        <w:rPr>
          <w:rFonts w:ascii="宋体" w:hAnsi="宋体" w:cs="宋体"/>
          <w:kern w:val="0"/>
          <w:szCs w:val="21"/>
        </w:rPr>
      </w:pPr>
      <w:r>
        <w:rPr>
          <w:rFonts w:hint="eastAsia" w:ascii="宋体" w:hAnsi="宋体" w:cs="宋体"/>
          <w:kern w:val="0"/>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71B046B4">
      <w:pPr>
        <w:widowControl/>
        <w:spacing w:line="360" w:lineRule="auto"/>
        <w:jc w:val="left"/>
        <w:rPr>
          <w:rFonts w:ascii="宋体" w:hAnsi="宋体" w:cs="宋体"/>
          <w:kern w:val="0"/>
          <w:szCs w:val="21"/>
        </w:rPr>
      </w:pPr>
      <w:r>
        <w:rPr>
          <w:rFonts w:hint="eastAsia" w:ascii="宋体" w:hAnsi="宋体" w:cs="宋体"/>
          <w:kern w:val="0"/>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75C0469F">
      <w:pPr>
        <w:widowControl/>
        <w:spacing w:line="360" w:lineRule="auto"/>
        <w:jc w:val="left"/>
        <w:rPr>
          <w:rFonts w:ascii="宋体" w:hAnsi="宋体" w:cs="宋体"/>
          <w:kern w:val="0"/>
          <w:szCs w:val="21"/>
        </w:rPr>
      </w:pPr>
      <w:r>
        <w:rPr>
          <w:rFonts w:hint="eastAsia" w:ascii="宋体" w:hAnsi="宋体" w:cs="宋体"/>
          <w:kern w:val="0"/>
          <w:szCs w:val="21"/>
        </w:rPr>
        <w:t>　　七、本通知自2017年10月1日起执行。</w:t>
      </w:r>
    </w:p>
    <w:p w14:paraId="7E8AF499">
      <w:pPr>
        <w:widowControl/>
        <w:spacing w:line="360" w:lineRule="auto"/>
        <w:jc w:val="left"/>
        <w:rPr>
          <w:rFonts w:ascii="宋体" w:hAnsi="宋体" w:cs="宋体"/>
          <w:kern w:val="0"/>
          <w:szCs w:val="21"/>
        </w:rPr>
      </w:pPr>
      <w:r>
        <w:rPr>
          <w:rFonts w:ascii="宋体" w:hAnsi="宋体" w:cs="宋体"/>
          <w:kern w:val="0"/>
          <w:szCs w:val="21"/>
        </w:rPr>
        <w:t>　　</w:t>
      </w:r>
    </w:p>
    <w:p w14:paraId="6FB134BB">
      <w:pPr>
        <w:widowControl/>
        <w:spacing w:line="360" w:lineRule="auto"/>
        <w:jc w:val="right"/>
        <w:rPr>
          <w:rFonts w:ascii="宋体" w:hAnsi="宋体" w:cs="宋体"/>
          <w:kern w:val="0"/>
          <w:szCs w:val="21"/>
        </w:rPr>
      </w:pPr>
      <w:r>
        <w:rPr>
          <w:rFonts w:hint="eastAsia" w:ascii="宋体" w:hAnsi="宋体" w:cs="宋体"/>
          <w:kern w:val="0"/>
          <w:szCs w:val="21"/>
        </w:rPr>
        <w:t>财政部 民政部 中国残疾人联合会</w:t>
      </w:r>
    </w:p>
    <w:p w14:paraId="62E999D0">
      <w:pPr>
        <w:widowControl/>
        <w:spacing w:line="360" w:lineRule="auto"/>
        <w:jc w:val="right"/>
        <w:rPr>
          <w:rFonts w:ascii="宋体" w:hAnsi="宋体" w:cs="宋体"/>
          <w:kern w:val="0"/>
          <w:szCs w:val="21"/>
        </w:rPr>
      </w:pPr>
    </w:p>
    <w:p w14:paraId="7FC570CB">
      <w:pPr>
        <w:widowControl/>
        <w:spacing w:line="360" w:lineRule="auto"/>
        <w:jc w:val="right"/>
        <w:rPr>
          <w:rFonts w:ascii="宋体" w:hAnsi="宋体" w:cs="宋体"/>
          <w:kern w:val="0"/>
          <w:szCs w:val="21"/>
        </w:rPr>
      </w:pPr>
      <w:r>
        <w:rPr>
          <w:rFonts w:hint="eastAsia" w:ascii="宋体" w:hAnsi="宋体" w:cs="宋体"/>
          <w:kern w:val="0"/>
          <w:szCs w:val="21"/>
        </w:rPr>
        <w:t>  2017年8月22日</w:t>
      </w:r>
    </w:p>
    <w:p w14:paraId="40ED3FC6">
      <w:pPr>
        <w:tabs>
          <w:tab w:val="left" w:pos="1875"/>
        </w:tabs>
        <w:rPr>
          <w:rFonts w:ascii="Calibri" w:hAnsi="Calibri"/>
          <w:szCs w:val="22"/>
        </w:rPr>
      </w:pPr>
    </w:p>
    <w:p w14:paraId="7CDD371A">
      <w:pPr>
        <w:rPr>
          <w:rFonts w:ascii="Calibri" w:hAnsi="Calibri"/>
          <w:szCs w:val="22"/>
        </w:rPr>
      </w:pPr>
    </w:p>
    <w:p w14:paraId="5843FC5B">
      <w:pPr>
        <w:pStyle w:val="2"/>
        <w:spacing w:before="0" w:after="0"/>
      </w:pPr>
      <w:bookmarkStart w:id="119" w:name="_Toc171350619"/>
      <w:r>
        <w:rPr>
          <w:rFonts w:hint="eastAsia"/>
        </w:rPr>
        <w:t>五、财政部 司法部关于政府采购支持监狱企业发展有关问题的通知</w:t>
      </w:r>
      <w:bookmarkEnd w:id="119"/>
    </w:p>
    <w:p w14:paraId="4151246E">
      <w:pPr>
        <w:widowControl/>
        <w:spacing w:line="360" w:lineRule="auto"/>
        <w:jc w:val="center"/>
        <w:rPr>
          <w:rFonts w:ascii="宋体" w:hAnsi="宋体" w:cs="宋体"/>
          <w:kern w:val="0"/>
          <w:szCs w:val="21"/>
        </w:rPr>
      </w:pPr>
    </w:p>
    <w:p w14:paraId="35D82A0C">
      <w:pPr>
        <w:widowControl/>
        <w:spacing w:line="360" w:lineRule="auto"/>
        <w:jc w:val="center"/>
        <w:rPr>
          <w:rFonts w:ascii="宋体" w:hAnsi="宋体" w:cs="宋体"/>
          <w:kern w:val="0"/>
          <w:szCs w:val="21"/>
        </w:rPr>
      </w:pPr>
      <w:r>
        <w:rPr>
          <w:rFonts w:hint="eastAsia" w:ascii="宋体" w:hAnsi="宋体" w:cs="宋体"/>
          <w:kern w:val="0"/>
          <w:szCs w:val="21"/>
        </w:rPr>
        <w:t>财库〔2014〕68号</w:t>
      </w:r>
    </w:p>
    <w:p w14:paraId="322FB236">
      <w:pPr>
        <w:widowControl/>
        <w:spacing w:line="360" w:lineRule="auto"/>
        <w:jc w:val="left"/>
        <w:rPr>
          <w:rFonts w:ascii="宋体" w:hAnsi="宋体" w:cs="宋体"/>
          <w:kern w:val="0"/>
          <w:szCs w:val="21"/>
        </w:rPr>
      </w:pPr>
    </w:p>
    <w:p w14:paraId="44871C15">
      <w:pPr>
        <w:widowControl/>
        <w:spacing w:line="360" w:lineRule="auto"/>
        <w:ind w:firstLine="424" w:firstLineChars="202"/>
        <w:jc w:val="left"/>
        <w:rPr>
          <w:rFonts w:ascii="宋体" w:hAnsi="宋体" w:cs="宋体"/>
          <w:kern w:val="0"/>
          <w:szCs w:val="21"/>
        </w:rPr>
      </w:pPr>
      <w:r>
        <w:rPr>
          <w:rFonts w:hint="eastAsia" w:ascii="宋体" w:hAnsi="宋体" w:cs="宋体"/>
          <w:kern w:val="0"/>
          <w:szCs w:val="21"/>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0F8AA66E">
      <w:pPr>
        <w:widowControl/>
        <w:spacing w:line="360" w:lineRule="auto"/>
        <w:ind w:firstLine="424" w:firstLineChars="202"/>
        <w:jc w:val="left"/>
        <w:rPr>
          <w:rFonts w:ascii="宋体" w:hAnsi="宋体" w:cs="宋体"/>
          <w:kern w:val="0"/>
          <w:szCs w:val="21"/>
        </w:rPr>
      </w:pPr>
      <w:r>
        <w:rPr>
          <w:rFonts w:hint="eastAsia" w:ascii="宋体" w:hAnsi="宋体" w:cs="宋体"/>
          <w:kern w:val="0"/>
          <w:szCs w:val="21"/>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w:t>
      </w:r>
      <w:r>
        <w:rPr>
          <w:rFonts w:ascii="宋体" w:hAnsi="宋体" w:cs="宋体"/>
          <w:kern w:val="0"/>
          <w:szCs w:val="21"/>
        </w:rPr>
        <w:t>[2003]7</w:t>
      </w:r>
      <w:r>
        <w:rPr>
          <w:rFonts w:hint="eastAsia" w:ascii="宋体" w:hAnsi="宋体" w:cs="宋体"/>
          <w:kern w:val="0"/>
          <w:szCs w:val="21"/>
        </w:rPr>
        <w:t>号）文件精神，发挥政府采购支持监狱企业发展的作用，现就有关事项通知如下：</w:t>
      </w:r>
    </w:p>
    <w:p w14:paraId="3C3265C3">
      <w:pPr>
        <w:widowControl/>
        <w:spacing w:line="360" w:lineRule="auto"/>
        <w:ind w:firstLine="424" w:firstLineChars="202"/>
        <w:jc w:val="left"/>
        <w:rPr>
          <w:rFonts w:ascii="宋体" w:hAnsi="宋体" w:cs="宋体"/>
          <w:kern w:val="0"/>
          <w:szCs w:val="21"/>
        </w:rPr>
      </w:pPr>
      <w:r>
        <w:rPr>
          <w:rFonts w:hint="eastAsia" w:ascii="宋体" w:hAnsi="宋体" w:cs="宋体"/>
          <w:kern w:val="0"/>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1ADA78C5">
      <w:pPr>
        <w:widowControl/>
        <w:spacing w:line="360" w:lineRule="auto"/>
        <w:ind w:firstLine="424" w:firstLineChars="202"/>
        <w:jc w:val="left"/>
        <w:rPr>
          <w:rFonts w:ascii="宋体" w:hAnsi="宋体" w:cs="宋体"/>
          <w:kern w:val="0"/>
          <w:szCs w:val="21"/>
        </w:rPr>
      </w:pPr>
      <w:r>
        <w:rPr>
          <w:rFonts w:hint="eastAsia" w:ascii="宋体" w:hAnsi="宋体" w:cs="宋体"/>
          <w:kern w:val="0"/>
          <w:szCs w:val="21"/>
        </w:rPr>
        <w:t>二、在政府采购活动中，监狱企业视同小型、微型企业，享受预留份额、评审中价格扣除等政府采购促进中小企业发展的政府采购政策。向监狱企业采购的金额，计入面向中小企业采购的统计数据。</w:t>
      </w:r>
    </w:p>
    <w:p w14:paraId="6DA9DD5C">
      <w:pPr>
        <w:widowControl/>
        <w:spacing w:line="360" w:lineRule="auto"/>
        <w:ind w:firstLine="424" w:firstLineChars="202"/>
        <w:jc w:val="left"/>
        <w:rPr>
          <w:rFonts w:ascii="宋体" w:hAnsi="宋体" w:cs="宋体"/>
          <w:kern w:val="0"/>
          <w:szCs w:val="21"/>
        </w:rPr>
      </w:pPr>
      <w:r>
        <w:rPr>
          <w:rFonts w:hint="eastAsia" w:ascii="宋体" w:hAnsi="宋体" w:cs="宋体"/>
          <w:kern w:val="0"/>
          <w:szCs w:val="21"/>
        </w:rPr>
        <w:t>三、各地区、各部门要积极通过预留采购份额支持监狱企业。有制服采购项目的部门，应加强对政府采购预算和计划编制工作的统筹，预留本部门制服采购项目预算总额的</w:t>
      </w:r>
      <w:r>
        <w:rPr>
          <w:rFonts w:ascii="宋体" w:hAnsi="宋体" w:cs="宋体"/>
          <w:kern w:val="0"/>
          <w:szCs w:val="21"/>
        </w:rPr>
        <w:t>30%</w:t>
      </w:r>
      <w:r>
        <w:rPr>
          <w:rFonts w:hint="eastAsia" w:ascii="宋体" w:hAnsi="宋体" w:cs="宋体"/>
          <w:kern w:val="0"/>
          <w:szCs w:val="21"/>
        </w:rPr>
        <w:t>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355C8B7C">
      <w:pPr>
        <w:widowControl/>
        <w:spacing w:line="360" w:lineRule="auto"/>
        <w:ind w:firstLine="424" w:firstLineChars="202"/>
        <w:jc w:val="left"/>
        <w:rPr>
          <w:rFonts w:ascii="宋体" w:hAnsi="宋体" w:cs="宋体"/>
          <w:kern w:val="0"/>
          <w:szCs w:val="21"/>
        </w:rPr>
      </w:pPr>
      <w:r>
        <w:rPr>
          <w:rFonts w:hint="eastAsia" w:ascii="宋体" w:hAnsi="宋体" w:cs="宋体"/>
          <w:kern w:val="0"/>
          <w:szCs w:val="21"/>
        </w:rPr>
        <w:t>四、各地区可以结合本地区实际，对监狱企业生产的办公用品、家具用具、车辆维修和提供的保养服务、消防设备等，提出预留份额等政府采购支持措施，加大对监狱企业产品的采购力度。</w:t>
      </w:r>
    </w:p>
    <w:p w14:paraId="40561079">
      <w:pPr>
        <w:widowControl/>
        <w:spacing w:line="360" w:lineRule="auto"/>
        <w:ind w:firstLine="424" w:firstLineChars="202"/>
        <w:jc w:val="left"/>
        <w:rPr>
          <w:rFonts w:ascii="宋体" w:hAnsi="宋体" w:cs="宋体"/>
          <w:kern w:val="0"/>
          <w:szCs w:val="21"/>
        </w:rPr>
      </w:pPr>
      <w:r>
        <w:rPr>
          <w:rFonts w:hint="eastAsia" w:ascii="宋体" w:hAnsi="宋体" w:cs="宋体"/>
          <w:kern w:val="0"/>
          <w:szCs w:val="21"/>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290EB828">
      <w:pPr>
        <w:widowControl/>
        <w:spacing w:line="360" w:lineRule="auto"/>
        <w:jc w:val="left"/>
        <w:rPr>
          <w:rFonts w:ascii="宋体" w:hAnsi="宋体" w:cs="宋体"/>
          <w:kern w:val="0"/>
          <w:szCs w:val="21"/>
        </w:rPr>
      </w:pPr>
    </w:p>
    <w:p w14:paraId="04C806CE">
      <w:pPr>
        <w:widowControl/>
        <w:spacing w:line="360" w:lineRule="auto"/>
        <w:jc w:val="right"/>
        <w:rPr>
          <w:rFonts w:ascii="宋体" w:hAnsi="宋体" w:cs="宋体"/>
          <w:kern w:val="0"/>
          <w:szCs w:val="21"/>
        </w:rPr>
      </w:pPr>
      <w:r>
        <w:rPr>
          <w:rFonts w:hint="eastAsia" w:ascii="宋体" w:hAnsi="宋体" w:cs="宋体"/>
          <w:kern w:val="0"/>
          <w:szCs w:val="21"/>
        </w:rPr>
        <w:t>中华人民共和国财政部</w:t>
      </w:r>
    </w:p>
    <w:p w14:paraId="2A8B6839">
      <w:pPr>
        <w:widowControl/>
        <w:spacing w:line="360" w:lineRule="auto"/>
        <w:jc w:val="right"/>
        <w:rPr>
          <w:rFonts w:ascii="宋体" w:hAnsi="宋体" w:cs="宋体"/>
          <w:kern w:val="0"/>
          <w:szCs w:val="21"/>
        </w:rPr>
      </w:pPr>
      <w:r>
        <w:rPr>
          <w:rFonts w:hint="eastAsia" w:ascii="宋体" w:hAnsi="宋体" w:cs="宋体"/>
          <w:kern w:val="0"/>
          <w:szCs w:val="21"/>
        </w:rPr>
        <w:t>中华人民共和国司法部</w:t>
      </w:r>
    </w:p>
    <w:p w14:paraId="1A3B74B9">
      <w:pPr>
        <w:widowControl/>
        <w:spacing w:line="360" w:lineRule="auto"/>
        <w:jc w:val="right"/>
        <w:rPr>
          <w:rFonts w:ascii="宋体" w:hAnsi="宋体" w:cs="宋体"/>
          <w:kern w:val="0"/>
          <w:szCs w:val="21"/>
        </w:rPr>
      </w:pPr>
      <w:r>
        <w:rPr>
          <w:rFonts w:hint="eastAsia" w:ascii="宋体" w:hAnsi="宋体" w:cs="宋体"/>
          <w:kern w:val="0"/>
          <w:szCs w:val="21"/>
        </w:rPr>
        <w:t>2014年6月10日</w:t>
      </w:r>
    </w:p>
    <w:p w14:paraId="750764C5"/>
    <w:sectPr>
      <w:pgSz w:w="11906" w:h="16838"/>
      <w:pgMar w:top="1134" w:right="1134" w:bottom="1134" w:left="113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26FA236-9534-490E-8F49-86EAFFD6298F}"/>
  </w:font>
  <w:font w:name="黑体">
    <w:panose1 w:val="02010609060101010101"/>
    <w:charset w:val="86"/>
    <w:family w:val="auto"/>
    <w:pitch w:val="default"/>
    <w:sig w:usb0="800002BF" w:usb1="38CF7CFA" w:usb2="00000016" w:usb3="00000000" w:csb0="00040001" w:csb1="00000000"/>
    <w:embedRegular r:id="rId2" w:fontKey="{856090ED-FF88-46C0-9F7F-260714E2ED3C}"/>
  </w:font>
  <w:font w:name="Courier New">
    <w:panose1 w:val="02070309020205020404"/>
    <w:charset w:val="01"/>
    <w:family w:val="modern"/>
    <w:pitch w:val="default"/>
    <w:sig w:usb0="E0002EFF" w:usb1="C0007843" w:usb2="00000009" w:usb3="00000000" w:csb0="400001FF" w:csb1="FFFF0000"/>
    <w:embedRegular r:id="rId3" w:fontKey="{5F1BFEFF-06A1-4DE9-BEC2-700ABAD94CF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69080BF6-8FFE-4B7A-A93D-FCDC72281C02}"/>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5" w:fontKey="{0B340E6D-5E12-49F5-81E7-5FDF40BBFD82}"/>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6" w:fontKey="{EF3F81FF-5BD2-4687-997B-1CF6EB6972C4}"/>
  </w:font>
  <w:font w:name="Tahoma">
    <w:panose1 w:val="020B0604030504040204"/>
    <w:charset w:val="00"/>
    <w:family w:val="swiss"/>
    <w:pitch w:val="default"/>
    <w:sig w:usb0="E1002EFF" w:usb1="C000605B" w:usb2="00000029" w:usb3="00000000" w:csb0="200101FF" w:csb1="20280000"/>
  </w:font>
  <w:font w:name="H Yb 2gj">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embedRegular r:id="rId7" w:fontKey="{30BE4926-93B7-4B9A-A301-4C910857113F}"/>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仿宋_GB2313">
    <w:altName w:val="宋体"/>
    <w:panose1 w:val="00000000000000000000"/>
    <w:charset w:val="86"/>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ˎ̥">
    <w:altName w:val="微软雅黑"/>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SimSun-ExtB">
    <w:panose1 w:val="02010609060101010101"/>
    <w:charset w:val="86"/>
    <w:family w:val="modern"/>
    <w:pitch w:val="default"/>
    <w:sig w:usb0="00000001" w:usb1="02000000" w:usb2="00000000" w:usb3="00000000" w:csb0="00040001" w:csb1="00000000"/>
  </w:font>
  <w:font w:name="经典等线简">
    <w:altName w:val="宋体"/>
    <w:panose1 w:val="00000000000000000000"/>
    <w:charset w:val="86"/>
    <w:family w:val="auto"/>
    <w:pitch w:val="default"/>
    <w:sig w:usb0="00000000" w:usb1="00000000" w:usb2="0000001E" w:usb3="00000000" w:csb0="00040000" w:csb1="00000000"/>
    <w:embedRegular r:id="rId8" w:fontKey="{01640EC2-E43F-4A31-BAF3-F4FB6C2B3E56}"/>
  </w:font>
  <w:font w:name="经典标宋简">
    <w:altName w:val="宋体"/>
    <w:panose1 w:val="00000000000000000000"/>
    <w:charset w:val="86"/>
    <w:family w:val="auto"/>
    <w:pitch w:val="default"/>
    <w:sig w:usb0="00000000" w:usb1="00000000" w:usb2="0000001E" w:usb3="00000000" w:csb0="00040000" w:csb1="00000000"/>
    <w:embedRegular r:id="rId9" w:fontKey="{4BF67E11-6F26-496C-85F7-0351399E33FA}"/>
  </w:font>
  <w:font w:name="方正仿宋_GBK">
    <w:panose1 w:val="03000509000000000000"/>
    <w:charset w:val="86"/>
    <w:family w:val="script"/>
    <w:pitch w:val="default"/>
    <w:sig w:usb0="00000001" w:usb1="080E0000" w:usb2="00000000" w:usb3="00000000" w:csb0="00040000" w:csb1="00000000"/>
    <w:embedRegular r:id="rId10" w:fontKey="{4318B449-69D6-480B-A1EE-CA7BD4956A1D}"/>
  </w:font>
  <w:font w:name="Sylfaen">
    <w:panose1 w:val="010A0502050306030303"/>
    <w:charset w:val="00"/>
    <w:family w:val="roman"/>
    <w:pitch w:val="default"/>
    <w:sig w:usb0="04000687" w:usb1="00000000" w:usb2="00000000" w:usb3="00000000" w:csb0="2000009F" w:csb1="00000000"/>
    <w:embedRegular r:id="rId11" w:fontKey="{57470434-1C21-45F0-89F0-6318BF341E9A}"/>
  </w:font>
  <w:font w:name="MS Mincho">
    <w:panose1 w:val="02020609040205080304"/>
    <w:charset w:val="80"/>
    <w:family w:val="modern"/>
    <w:pitch w:val="default"/>
    <w:sig w:usb0="E00002FF" w:usb1="6AC7FDFB" w:usb2="00000012" w:usb3="00000000" w:csb0="4002009F" w:csb1="DFD70000"/>
    <w:embedRegular r:id="rId12" w:fontKey="{1AD29733-E957-4283-8A56-4638FBC9B1EA}"/>
  </w:font>
  <w:font w:name="Segoe UI Symbol">
    <w:panose1 w:val="020B0502040204020203"/>
    <w:charset w:val="00"/>
    <w:family w:val="swiss"/>
    <w:pitch w:val="default"/>
    <w:sig w:usb0="800001E3" w:usb1="1200FFEF" w:usb2="00040000" w:usb3="04000000" w:csb0="00000001" w:csb1="40000000"/>
    <w:embedRegular r:id="rId13" w:fontKey="{3EDC3F84-D131-43AD-B7C6-C8D627EB19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4565F">
    <w:pPr>
      <w:pStyle w:val="32"/>
      <w:rPr>
        <w:u w:val="single"/>
      </w:rPr>
    </w:pPr>
    <w:r>
      <w:rPr>
        <w:u w:val="single"/>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4935" cy="284480"/>
              <wp:effectExtent l="0" t="0" r="0" b="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4935" cy="284480"/>
                      </a:xfrm>
                      <a:prstGeom prst="rect">
                        <a:avLst/>
                      </a:prstGeom>
                      <a:noFill/>
                      <a:ln>
                        <a:noFill/>
                      </a:ln>
                      <a:effectLst/>
                    </wps:spPr>
                    <wps:txbx>
                      <w:txbxContent>
                        <w:p w14:paraId="56BCC5C2">
                          <w:pPr>
                            <w:pStyle w:val="32"/>
                            <w:rPr>
                              <w:rStyle w:val="54"/>
                            </w:rPr>
                          </w:pPr>
                          <w:r>
                            <w:rPr>
                              <w:rStyle w:val="54"/>
                            </w:rPr>
                            <w:fldChar w:fldCharType="begin"/>
                          </w:r>
                          <w:r>
                            <w:rPr>
                              <w:rStyle w:val="54"/>
                            </w:rPr>
                            <w:instrText xml:space="preserve">PAGE  </w:instrText>
                          </w:r>
                          <w:r>
                            <w:rPr>
                              <w:rStyle w:val="54"/>
                            </w:rPr>
                            <w:fldChar w:fldCharType="separate"/>
                          </w:r>
                          <w:r>
                            <w:rPr>
                              <w:rStyle w:val="54"/>
                            </w:rPr>
                            <w:t>2</w:t>
                          </w:r>
                          <w:r>
                            <w:rPr>
                              <w:rStyle w:val="54"/>
                            </w:rPr>
                            <w:fldChar w:fldCharType="end"/>
                          </w:r>
                        </w:p>
                        <w:p w14:paraId="3806405A"/>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22.4pt;width:9.05pt;mso-position-horizontal:center;mso-position-horizontal-relative:margin;mso-wrap-style:none;z-index:251667456;mso-width-relative:page;mso-height-relative:page;" filled="f" stroked="f" coordsize="21600,21600" o:gfxdata="UEsDBAoAAAAAAIdO4kAAAAAAAAAAAAAAAAAEAAAAZHJzL1BLAwQUAAAACACHTuJAEp0xst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nTGy0AAAAAMBAAAPAAAAAAAAAAEAIAAAACIAAABkcnMvZG93bnJldi54bWxQ&#10;SwECFAAUAAAACACHTuJAeQE86P8BAAAPBAAADgAAAAAAAAABACAAAAAfAQAAZHJzL2Uyb0RvYy54&#10;bWxQSwUGAAAAAAYABgBZAQAAkAUAAAAA&#10;">
              <v:fill on="f" focussize="0,0"/>
              <v:stroke on="f"/>
              <v:imagedata o:title=""/>
              <o:lock v:ext="edit" aspectratio="f"/>
              <v:textbox inset="0mm,0mm,0mm,0mm" style="mso-fit-shape-to-text:t;">
                <w:txbxContent>
                  <w:p w14:paraId="56BCC5C2">
                    <w:pPr>
                      <w:pStyle w:val="32"/>
                      <w:rPr>
                        <w:rStyle w:val="54"/>
                      </w:rPr>
                    </w:pPr>
                    <w:r>
                      <w:rPr>
                        <w:rStyle w:val="54"/>
                      </w:rPr>
                      <w:fldChar w:fldCharType="begin"/>
                    </w:r>
                    <w:r>
                      <w:rPr>
                        <w:rStyle w:val="54"/>
                      </w:rPr>
                      <w:instrText xml:space="preserve">PAGE  </w:instrText>
                    </w:r>
                    <w:r>
                      <w:rPr>
                        <w:rStyle w:val="54"/>
                      </w:rPr>
                      <w:fldChar w:fldCharType="separate"/>
                    </w:r>
                    <w:r>
                      <w:rPr>
                        <w:rStyle w:val="54"/>
                      </w:rPr>
                      <w:t>2</w:t>
                    </w:r>
                    <w:r>
                      <w:rPr>
                        <w:rStyle w:val="54"/>
                      </w:rPr>
                      <w:fldChar w:fldCharType="end"/>
                    </w:r>
                  </w:p>
                  <w:p w14:paraId="3806405A"/>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11EAB">
    <w:pPr>
      <w:pStyle w:val="3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57785" cy="131445"/>
              <wp:effectExtent l="0" t="0" r="0" b="0"/>
              <wp:wrapNone/>
              <wp:docPr id="5" name="Text Box 3"/>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0CD78FAC">
                          <w:pPr>
                            <w:pStyle w:val="32"/>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0.35pt;width:4.55pt;mso-position-horizontal:center;mso-position-horizontal-relative:margin;mso-wrap-style:none;z-index:25166745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L3UTQAAAAAgEAAA8AAAAAAAAAAQAgAAAAIgAAAGRycy9kb3ducmV2LnhtbFBL&#10;AQIUABQAAAAIAIdO4kD0dMOi/gEAAA4EAAAOAAAAAAAAAAEAIAAAAB8BAABkcnMvZTJvRG9jLnht&#10;bFBLBQYAAAAABgAGAFkBAACPBQAAAAA=&#10;">
              <v:fill on="f" focussize="0,0"/>
              <v:stroke on="f"/>
              <v:imagedata o:title=""/>
              <o:lock v:ext="edit" aspectratio="f"/>
              <v:textbox inset="0mm,0mm,0mm,0mm" style="mso-fit-shape-to-text:t;">
                <w:txbxContent>
                  <w:p w14:paraId="0CD78FAC">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F1570">
    <w:pPr>
      <w:pStyle w:val="21"/>
      <w:kinsoku w:val="0"/>
      <w:overflowPunct w:val="0"/>
      <w:spacing w:line="14" w:lineRule="auto"/>
      <w:rPr>
        <w:sz w:val="18"/>
        <w:szCs w:val="18"/>
      </w:rPr>
    </w:pPr>
    <w:r>
      <mc:AlternateContent>
        <mc:Choice Requires="wps">
          <w:drawing>
            <wp:anchor distT="0" distB="0" distL="114300" distR="114300" simplePos="0" relativeHeight="251666432" behindDoc="0" locked="0" layoutInCell="0" allowOverlap="1">
              <wp:simplePos x="0" y="0"/>
              <wp:positionH relativeFrom="margin">
                <wp:align>center</wp:align>
              </wp:positionH>
              <wp:positionV relativeFrom="paragraph">
                <wp:posOffset>0</wp:posOffset>
              </wp:positionV>
              <wp:extent cx="165100" cy="139700"/>
              <wp:effectExtent l="0" t="0" r="0" b="0"/>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5100" cy="139700"/>
                      </a:xfrm>
                      <a:prstGeom prst="rect">
                        <a:avLst/>
                      </a:prstGeom>
                      <a:noFill/>
                      <a:ln>
                        <a:noFill/>
                      </a:ln>
                      <a:effectLst/>
                    </wps:spPr>
                    <wps:txbx>
                      <w:txbxContent>
                        <w:p w14:paraId="2EEB9646">
                          <w:pPr>
                            <w:kinsoku w:val="0"/>
                            <w:overflowPunct w:val="0"/>
                            <w:spacing w:line="200" w:lineRule="exact"/>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86</w:t>
                          </w:r>
                          <w:r>
                            <w:rPr>
                              <w:sz w:val="18"/>
                              <w:szCs w:val="18"/>
                            </w:rP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top:0pt;height:11pt;width:13pt;mso-position-horizontal:center;mso-position-horizontal-relative:margin;z-index:251666432;mso-width-relative:page;mso-height-relative:page;" filled="f" stroked="f" coordsize="21600,21600" o:allowincell="f" o:gfxdata="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Xkq9vSAAAAAwEAAA8AAAAAAAAAAQAgAAAAIgAAAGRycy9kb3ducmV2Lnht&#10;bFBLAQIUABQAAAAIAIdO4kCgMG1o/wEAABEEAAAOAAAAAAAAAAEAIAAAACEBAABkcnMvZTJvRG9j&#10;LnhtbFBLBQYAAAAABgAGAFkBAACSBQAAAAA=&#10;">
              <v:fill on="f" focussize="0,0"/>
              <v:stroke on="f"/>
              <v:imagedata o:title=""/>
              <o:lock v:ext="edit" aspectratio="f"/>
              <v:textbox inset="0mm,0mm,0mm,0mm">
                <w:txbxContent>
                  <w:p w14:paraId="2EEB9646">
                    <w:pPr>
                      <w:kinsoku w:val="0"/>
                      <w:overflowPunct w:val="0"/>
                      <w:spacing w:line="200" w:lineRule="exact"/>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86</w:t>
                    </w:r>
                    <w:r>
                      <w:rPr>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1578C">
    <w:pPr>
      <w:pStyle w:val="33"/>
      <w:pBdr>
        <w:bottom w:val="double" w:color="auto" w:sz="8" w:space="1"/>
      </w:pBdr>
      <w:tabs>
        <w:tab w:val="center" w:pos="4819"/>
        <w:tab w:val="right" w:pos="9638"/>
      </w:tabs>
      <w:jc w:val="left"/>
    </w:pPr>
    <w:r>
      <w:rPr>
        <w:rFonts w:hint="eastAsia"/>
      </w:rPr>
      <w:t>项目名称：深圳海关辅助执法作业服务项目（东部、西部片区）</w:t>
    </w:r>
    <w:r>
      <w:rPr>
        <w:rFonts w:hint="eastAsia"/>
        <w:lang w:val="en-US" w:eastAsia="zh-CN"/>
      </w:rPr>
      <w:t xml:space="preserve">                          </w:t>
    </w:r>
    <w:r>
      <w:rPr>
        <w:rFonts w:hint="eastAsia"/>
      </w:rPr>
      <w:t>项目编号：</w:t>
    </w:r>
    <w:r>
      <w:rPr>
        <w:rFonts w:hint="eastAsia" w:ascii="宋体" w:hAnsi="宋体"/>
      </w:rPr>
      <w:t>SZZZ2025-QC0185</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81D0D">
    <w:pPr>
      <w:pStyle w:val="33"/>
      <w:pBdr>
        <w:bottom w:val="none" w:color="auto" w:sz="0" w:space="1"/>
      </w:pBdr>
      <w:tabs>
        <w:tab w:val="left" w:pos="7489"/>
      </w:tabs>
      <w:jc w:val="left"/>
    </w:pPr>
    <w:r>
      <w:rPr>
        <w:rFonts w:hint="eastAsia"/>
      </w:rPr>
      <w:tab/>
    </w: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10232">
    <w:pPr>
      <w:pStyle w:val="33"/>
      <w:pBdr>
        <w:bottom w:val="double" w:color="auto" w:sz="8" w:space="1"/>
      </w:pBdr>
      <w:jc w:val="both"/>
    </w:pPr>
    <w:r>
      <w:rPr>
        <w:rFonts w:hint="eastAsia"/>
      </w:rPr>
      <w:t>项目名称：深圳海关辅助执法作业服务项目（东部、西部片区）</w:t>
    </w:r>
    <w:r>
      <w:rPr>
        <w:rFonts w:hint="eastAsia"/>
        <w:lang w:val="en-US" w:eastAsia="zh-CN"/>
      </w:rPr>
      <w:t xml:space="preserve">                          </w:t>
    </w:r>
    <w:r>
      <w:rPr>
        <w:rFonts w:hint="eastAsia"/>
      </w:rPr>
      <w:t>项目编号：</w:t>
    </w:r>
    <w:r>
      <w:rPr>
        <w:rFonts w:hint="eastAsia" w:ascii="宋体" w:hAnsi="宋体"/>
      </w:rPr>
      <w:t>SZZZ2025-QC0185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B001F"/>
    <w:multiLevelType w:val="singleLevel"/>
    <w:tmpl w:val="A4FB001F"/>
    <w:lvl w:ilvl="0" w:tentative="0">
      <w:start w:val="2"/>
      <w:numFmt w:val="decimal"/>
      <w:suff w:val="nothing"/>
      <w:lvlText w:val="%1、"/>
      <w:lvlJc w:val="left"/>
    </w:lvl>
  </w:abstractNum>
  <w:abstractNum w:abstractNumId="1">
    <w:nsid w:val="00000002"/>
    <w:multiLevelType w:val="multilevel"/>
    <w:tmpl w:val="00000002"/>
    <w:lvl w:ilvl="0" w:tentative="0">
      <w:start w:val="1"/>
      <w:numFmt w:val="decimal"/>
      <w:pStyle w:val="17"/>
      <w:lvlText w:val="%1、"/>
      <w:lvlJc w:val="left"/>
      <w:pPr>
        <w:tabs>
          <w:tab w:val="left" w:pos="371"/>
        </w:tabs>
        <w:ind w:left="371" w:hanging="360"/>
      </w:pPr>
      <w:rPr>
        <w:rFonts w:hint="default"/>
      </w:rPr>
    </w:lvl>
    <w:lvl w:ilvl="1" w:tentative="0">
      <w:start w:val="1"/>
      <w:numFmt w:val="lowerLetter"/>
      <w:lvlText w:val="%2)"/>
      <w:lvlJc w:val="left"/>
      <w:pPr>
        <w:tabs>
          <w:tab w:val="left" w:pos="851"/>
        </w:tabs>
        <w:ind w:left="851" w:hanging="420"/>
      </w:pPr>
    </w:lvl>
    <w:lvl w:ilvl="2" w:tentative="0">
      <w:start w:val="1"/>
      <w:numFmt w:val="lowerRoman"/>
      <w:lvlText w:val="%3."/>
      <w:lvlJc w:val="right"/>
      <w:pPr>
        <w:tabs>
          <w:tab w:val="left" w:pos="1271"/>
        </w:tabs>
        <w:ind w:left="1271" w:hanging="420"/>
      </w:pPr>
    </w:lvl>
    <w:lvl w:ilvl="3" w:tentative="0">
      <w:start w:val="1"/>
      <w:numFmt w:val="decimal"/>
      <w:lvlText w:val="%4."/>
      <w:lvlJc w:val="left"/>
      <w:pPr>
        <w:tabs>
          <w:tab w:val="left" w:pos="1691"/>
        </w:tabs>
        <w:ind w:left="1691" w:hanging="420"/>
      </w:pPr>
    </w:lvl>
    <w:lvl w:ilvl="4" w:tentative="0">
      <w:start w:val="1"/>
      <w:numFmt w:val="lowerLetter"/>
      <w:pStyle w:val="7"/>
      <w:lvlText w:val="%5)"/>
      <w:lvlJc w:val="left"/>
      <w:pPr>
        <w:tabs>
          <w:tab w:val="left" w:pos="2111"/>
        </w:tabs>
        <w:ind w:left="2111" w:hanging="420"/>
      </w:pPr>
    </w:lvl>
    <w:lvl w:ilvl="5" w:tentative="0">
      <w:start w:val="1"/>
      <w:numFmt w:val="lowerRoman"/>
      <w:pStyle w:val="9"/>
      <w:lvlText w:val="%6."/>
      <w:lvlJc w:val="right"/>
      <w:pPr>
        <w:tabs>
          <w:tab w:val="left" w:pos="2531"/>
        </w:tabs>
        <w:ind w:left="2531" w:hanging="420"/>
      </w:pPr>
    </w:lvl>
    <w:lvl w:ilvl="6" w:tentative="0">
      <w:start w:val="1"/>
      <w:numFmt w:val="decimal"/>
      <w:pStyle w:val="10"/>
      <w:lvlText w:val="%7."/>
      <w:lvlJc w:val="left"/>
      <w:pPr>
        <w:tabs>
          <w:tab w:val="left" w:pos="2951"/>
        </w:tabs>
        <w:ind w:left="2951" w:hanging="420"/>
      </w:pPr>
    </w:lvl>
    <w:lvl w:ilvl="7" w:tentative="0">
      <w:start w:val="1"/>
      <w:numFmt w:val="lowerLetter"/>
      <w:pStyle w:val="11"/>
      <w:lvlText w:val="%8)"/>
      <w:lvlJc w:val="left"/>
      <w:pPr>
        <w:tabs>
          <w:tab w:val="left" w:pos="3371"/>
        </w:tabs>
        <w:ind w:left="3371" w:hanging="420"/>
      </w:pPr>
    </w:lvl>
    <w:lvl w:ilvl="8" w:tentative="0">
      <w:start w:val="1"/>
      <w:numFmt w:val="lowerRoman"/>
      <w:pStyle w:val="12"/>
      <w:lvlText w:val="%9."/>
      <w:lvlJc w:val="right"/>
      <w:pPr>
        <w:tabs>
          <w:tab w:val="left" w:pos="3791"/>
        </w:tabs>
        <w:ind w:left="3791" w:hanging="420"/>
      </w:pPr>
    </w:lvl>
  </w:abstractNum>
  <w:abstractNum w:abstractNumId="2">
    <w:nsid w:val="0000002E"/>
    <w:multiLevelType w:val="multilevel"/>
    <w:tmpl w:val="0000002E"/>
    <w:lvl w:ilvl="0" w:tentative="0">
      <w:start w:val="1"/>
      <w:numFmt w:val="decimal"/>
      <w:pStyle w:val="399"/>
      <w:lvlText w:val="第%1章"/>
      <w:lvlJc w:val="left"/>
      <w:pPr>
        <w:tabs>
          <w:tab w:val="left" w:pos="425"/>
        </w:tabs>
        <w:ind w:left="425" w:hanging="425"/>
      </w:pPr>
      <w:rPr>
        <w:rFonts w:hint="eastAsia"/>
        <w:lang w:val="en-US"/>
      </w:rPr>
    </w:lvl>
    <w:lvl w:ilvl="1" w:tentative="0">
      <w:start w:val="1"/>
      <w:numFmt w:val="decimal"/>
      <w:lvlText w:val="%1.%2  "/>
      <w:lvlJc w:val="left"/>
      <w:pPr>
        <w:tabs>
          <w:tab w:val="left" w:pos="1419"/>
        </w:tabs>
        <w:ind w:left="1419" w:hanging="567"/>
      </w:pPr>
      <w:rPr>
        <w:rFonts w:hint="eastAsia"/>
      </w:rPr>
    </w:lvl>
    <w:lvl w:ilvl="2" w:tentative="0">
      <w:start w:val="1"/>
      <w:numFmt w:val="decimal"/>
      <w:lvlText w:val="%1.%2.%3  "/>
      <w:lvlJc w:val="left"/>
      <w:pPr>
        <w:tabs>
          <w:tab w:val="left" w:pos="709"/>
        </w:tabs>
        <w:ind w:left="709" w:hanging="709"/>
      </w:pPr>
      <w:rPr>
        <w:rFonts w:hint="eastAsia" w:ascii="宋体" w:hAnsi="宋体" w:eastAsia="宋体" w:cs="Arial"/>
        <w:b/>
        <w:sz w:val="21"/>
        <w:szCs w:val="21"/>
      </w:rPr>
    </w:lvl>
    <w:lvl w:ilvl="3" w:tentative="0">
      <w:start w:val="1"/>
      <w:numFmt w:val="decimal"/>
      <w:lvlText w:val="%4、"/>
      <w:lvlJc w:val="left"/>
      <w:pPr>
        <w:tabs>
          <w:tab w:val="left" w:pos="851"/>
        </w:tabs>
        <w:ind w:left="851" w:hanging="851"/>
      </w:pPr>
      <w:rPr>
        <w:rFonts w:hint="default" w:cs="Arial"/>
        <w:sz w:val="21"/>
        <w:szCs w:val="21"/>
      </w:rPr>
    </w:lvl>
    <w:lvl w:ilvl="4" w:tentative="0">
      <w:start w:val="1"/>
      <w:numFmt w:val="decimal"/>
      <w:lvlText w:val="%1.%2.%3.%4.%5."/>
      <w:lvlJc w:val="left"/>
      <w:pPr>
        <w:tabs>
          <w:tab w:val="left" w:pos="2072"/>
        </w:tabs>
        <w:ind w:left="207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9F81FD3"/>
    <w:multiLevelType w:val="multilevel"/>
    <w:tmpl w:val="09F81FD3"/>
    <w:lvl w:ilvl="0" w:tentative="0">
      <w:start w:val="1"/>
      <w:numFmt w:val="japaneseCounting"/>
      <w:pStyle w:val="24"/>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D1356C5"/>
    <w:multiLevelType w:val="singleLevel"/>
    <w:tmpl w:val="2D1356C5"/>
    <w:lvl w:ilvl="0" w:tentative="0">
      <w:start w:val="3"/>
      <w:numFmt w:val="chineseCounting"/>
      <w:suff w:val="nothing"/>
      <w:lvlText w:val="%1、"/>
      <w:lvlJc w:val="left"/>
      <w:rPr>
        <w:rFonts w:hint="eastAsia"/>
      </w:rPr>
    </w:lvl>
  </w:abstractNum>
  <w:abstractNum w:abstractNumId="5">
    <w:nsid w:val="4F867BC1"/>
    <w:multiLevelType w:val="multilevel"/>
    <w:tmpl w:val="4F867BC1"/>
    <w:lvl w:ilvl="0" w:tentative="0">
      <w:start w:val="1"/>
      <w:numFmt w:val="japaneseCounting"/>
      <w:lvlText w:val="%1、"/>
      <w:lvlJc w:val="left"/>
      <w:pPr>
        <w:ind w:left="418" w:hanging="420"/>
      </w:pPr>
      <w:rPr>
        <w:rFonts w:hint="default"/>
      </w:rPr>
    </w:lvl>
    <w:lvl w:ilvl="1" w:tentative="0">
      <w:start w:val="1"/>
      <w:numFmt w:val="lowerLetter"/>
      <w:lvlText w:val="%2)"/>
      <w:lvlJc w:val="left"/>
      <w:pPr>
        <w:ind w:left="838" w:hanging="420"/>
      </w:p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abstractNum w:abstractNumId="6">
    <w:nsid w:val="6A5E1939"/>
    <w:multiLevelType w:val="singleLevel"/>
    <w:tmpl w:val="6A5E1939"/>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1"/>
  <w:bordersDoNotSurroundFooter w:val="1"/>
  <w:hideSpellingErrors/>
  <w:documentProtection w:edit="readOnly" w:formatting="1"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ZjI3OGMzYjVkM2MwYWY4MTNiMTcyOTk3NmIzODYifQ=="/>
    <w:docVar w:name="KSO_WPS_MARK_KEY" w:val="79bf3387-fe5b-4970-822c-50cd05f3103b"/>
  </w:docVars>
  <w:rsids>
    <w:rsidRoot w:val="00172A27"/>
    <w:rsid w:val="0000134D"/>
    <w:rsid w:val="00001626"/>
    <w:rsid w:val="00001F1C"/>
    <w:rsid w:val="000036D6"/>
    <w:rsid w:val="00003A46"/>
    <w:rsid w:val="00003BA8"/>
    <w:rsid w:val="000040F9"/>
    <w:rsid w:val="000042A3"/>
    <w:rsid w:val="000045B3"/>
    <w:rsid w:val="00004906"/>
    <w:rsid w:val="00004AF7"/>
    <w:rsid w:val="00004FC4"/>
    <w:rsid w:val="00005751"/>
    <w:rsid w:val="00005C27"/>
    <w:rsid w:val="000060E5"/>
    <w:rsid w:val="0000670A"/>
    <w:rsid w:val="00006922"/>
    <w:rsid w:val="00006E2A"/>
    <w:rsid w:val="000074B0"/>
    <w:rsid w:val="000079C5"/>
    <w:rsid w:val="00007EA1"/>
    <w:rsid w:val="000103E3"/>
    <w:rsid w:val="00010B8D"/>
    <w:rsid w:val="00010DC3"/>
    <w:rsid w:val="00011A45"/>
    <w:rsid w:val="00011A56"/>
    <w:rsid w:val="00011AAF"/>
    <w:rsid w:val="00012297"/>
    <w:rsid w:val="00012816"/>
    <w:rsid w:val="00012A6E"/>
    <w:rsid w:val="00012BC4"/>
    <w:rsid w:val="00012F7F"/>
    <w:rsid w:val="00012F81"/>
    <w:rsid w:val="0001305E"/>
    <w:rsid w:val="00014515"/>
    <w:rsid w:val="000145C2"/>
    <w:rsid w:val="00014625"/>
    <w:rsid w:val="000149C6"/>
    <w:rsid w:val="00014DBB"/>
    <w:rsid w:val="00015789"/>
    <w:rsid w:val="00015940"/>
    <w:rsid w:val="00015AF5"/>
    <w:rsid w:val="00016458"/>
    <w:rsid w:val="000165DD"/>
    <w:rsid w:val="000165EF"/>
    <w:rsid w:val="00016FC3"/>
    <w:rsid w:val="0001728F"/>
    <w:rsid w:val="00017340"/>
    <w:rsid w:val="000208BA"/>
    <w:rsid w:val="000208F8"/>
    <w:rsid w:val="00021304"/>
    <w:rsid w:val="0002197F"/>
    <w:rsid w:val="00022C27"/>
    <w:rsid w:val="00022F4F"/>
    <w:rsid w:val="00022FA9"/>
    <w:rsid w:val="000237EE"/>
    <w:rsid w:val="00023830"/>
    <w:rsid w:val="000243D2"/>
    <w:rsid w:val="00025058"/>
    <w:rsid w:val="000254BB"/>
    <w:rsid w:val="000257E9"/>
    <w:rsid w:val="00025B21"/>
    <w:rsid w:val="00025D5B"/>
    <w:rsid w:val="00026249"/>
    <w:rsid w:val="00026C01"/>
    <w:rsid w:val="00027415"/>
    <w:rsid w:val="000274F7"/>
    <w:rsid w:val="00027757"/>
    <w:rsid w:val="000307C5"/>
    <w:rsid w:val="00030D77"/>
    <w:rsid w:val="00031732"/>
    <w:rsid w:val="00031887"/>
    <w:rsid w:val="000319D1"/>
    <w:rsid w:val="00034043"/>
    <w:rsid w:val="0003479B"/>
    <w:rsid w:val="00034900"/>
    <w:rsid w:val="0003493D"/>
    <w:rsid w:val="0003524E"/>
    <w:rsid w:val="00035640"/>
    <w:rsid w:val="000356F7"/>
    <w:rsid w:val="00035FE0"/>
    <w:rsid w:val="000367ED"/>
    <w:rsid w:val="0003688B"/>
    <w:rsid w:val="000372E9"/>
    <w:rsid w:val="00037359"/>
    <w:rsid w:val="0003762A"/>
    <w:rsid w:val="0003795A"/>
    <w:rsid w:val="000404E1"/>
    <w:rsid w:val="00040DA4"/>
    <w:rsid w:val="00042758"/>
    <w:rsid w:val="00043D2B"/>
    <w:rsid w:val="000440D8"/>
    <w:rsid w:val="000442CB"/>
    <w:rsid w:val="000447F6"/>
    <w:rsid w:val="000456B0"/>
    <w:rsid w:val="00045923"/>
    <w:rsid w:val="00045EB5"/>
    <w:rsid w:val="00046595"/>
    <w:rsid w:val="00046998"/>
    <w:rsid w:val="0004741F"/>
    <w:rsid w:val="00047612"/>
    <w:rsid w:val="00047852"/>
    <w:rsid w:val="00047E4D"/>
    <w:rsid w:val="00050F73"/>
    <w:rsid w:val="00051378"/>
    <w:rsid w:val="00051899"/>
    <w:rsid w:val="0005271F"/>
    <w:rsid w:val="000529DE"/>
    <w:rsid w:val="00053074"/>
    <w:rsid w:val="00053F8F"/>
    <w:rsid w:val="0005402F"/>
    <w:rsid w:val="000545F7"/>
    <w:rsid w:val="00054837"/>
    <w:rsid w:val="000550A3"/>
    <w:rsid w:val="0005526E"/>
    <w:rsid w:val="000558BB"/>
    <w:rsid w:val="000559C9"/>
    <w:rsid w:val="00055C5F"/>
    <w:rsid w:val="00056061"/>
    <w:rsid w:val="00056374"/>
    <w:rsid w:val="0005650D"/>
    <w:rsid w:val="00056617"/>
    <w:rsid w:val="00057655"/>
    <w:rsid w:val="00057EEA"/>
    <w:rsid w:val="00057F65"/>
    <w:rsid w:val="000600B1"/>
    <w:rsid w:val="00060526"/>
    <w:rsid w:val="00060754"/>
    <w:rsid w:val="00061C10"/>
    <w:rsid w:val="000621B0"/>
    <w:rsid w:val="00062570"/>
    <w:rsid w:val="0006264D"/>
    <w:rsid w:val="0006301D"/>
    <w:rsid w:val="00063DDC"/>
    <w:rsid w:val="00064787"/>
    <w:rsid w:val="00064A61"/>
    <w:rsid w:val="00064FA4"/>
    <w:rsid w:val="00065240"/>
    <w:rsid w:val="00065967"/>
    <w:rsid w:val="00066813"/>
    <w:rsid w:val="000668F4"/>
    <w:rsid w:val="0006745C"/>
    <w:rsid w:val="00067A89"/>
    <w:rsid w:val="00067D3F"/>
    <w:rsid w:val="00067DC4"/>
    <w:rsid w:val="000700C5"/>
    <w:rsid w:val="00070384"/>
    <w:rsid w:val="0007072E"/>
    <w:rsid w:val="00071507"/>
    <w:rsid w:val="0007211D"/>
    <w:rsid w:val="00072BD7"/>
    <w:rsid w:val="000730F3"/>
    <w:rsid w:val="00073786"/>
    <w:rsid w:val="00073A35"/>
    <w:rsid w:val="00073B23"/>
    <w:rsid w:val="00073EE2"/>
    <w:rsid w:val="00074554"/>
    <w:rsid w:val="00074BEF"/>
    <w:rsid w:val="00075AD5"/>
    <w:rsid w:val="00077941"/>
    <w:rsid w:val="00077E93"/>
    <w:rsid w:val="00080168"/>
    <w:rsid w:val="00080188"/>
    <w:rsid w:val="00080A90"/>
    <w:rsid w:val="00081B06"/>
    <w:rsid w:val="000820E6"/>
    <w:rsid w:val="000825F6"/>
    <w:rsid w:val="00082956"/>
    <w:rsid w:val="000829FF"/>
    <w:rsid w:val="00082ABE"/>
    <w:rsid w:val="000838FB"/>
    <w:rsid w:val="00083D3F"/>
    <w:rsid w:val="00083E84"/>
    <w:rsid w:val="00084A1B"/>
    <w:rsid w:val="00085134"/>
    <w:rsid w:val="000851F8"/>
    <w:rsid w:val="00085317"/>
    <w:rsid w:val="00085419"/>
    <w:rsid w:val="000855C1"/>
    <w:rsid w:val="00085908"/>
    <w:rsid w:val="0008596C"/>
    <w:rsid w:val="00085DE9"/>
    <w:rsid w:val="00085FFE"/>
    <w:rsid w:val="000861E5"/>
    <w:rsid w:val="000866A3"/>
    <w:rsid w:val="000867FB"/>
    <w:rsid w:val="00086F62"/>
    <w:rsid w:val="000878FF"/>
    <w:rsid w:val="0008796E"/>
    <w:rsid w:val="00090302"/>
    <w:rsid w:val="0009127F"/>
    <w:rsid w:val="0009133A"/>
    <w:rsid w:val="0009145A"/>
    <w:rsid w:val="00091526"/>
    <w:rsid w:val="0009187B"/>
    <w:rsid w:val="00091CAC"/>
    <w:rsid w:val="00092BD5"/>
    <w:rsid w:val="0009304A"/>
    <w:rsid w:val="00095198"/>
    <w:rsid w:val="00095806"/>
    <w:rsid w:val="00095F61"/>
    <w:rsid w:val="000965CC"/>
    <w:rsid w:val="00096CE6"/>
    <w:rsid w:val="0009750D"/>
    <w:rsid w:val="00097B04"/>
    <w:rsid w:val="000A0ABE"/>
    <w:rsid w:val="000A0DC0"/>
    <w:rsid w:val="000A1075"/>
    <w:rsid w:val="000A24AF"/>
    <w:rsid w:val="000A274D"/>
    <w:rsid w:val="000A2C52"/>
    <w:rsid w:val="000A2D79"/>
    <w:rsid w:val="000A3358"/>
    <w:rsid w:val="000A37C7"/>
    <w:rsid w:val="000A4B0E"/>
    <w:rsid w:val="000A530C"/>
    <w:rsid w:val="000A56F0"/>
    <w:rsid w:val="000A584E"/>
    <w:rsid w:val="000A58B9"/>
    <w:rsid w:val="000A5A8E"/>
    <w:rsid w:val="000A5CD4"/>
    <w:rsid w:val="000A6263"/>
    <w:rsid w:val="000A6F16"/>
    <w:rsid w:val="000A7A6C"/>
    <w:rsid w:val="000A7C5A"/>
    <w:rsid w:val="000B0205"/>
    <w:rsid w:val="000B0214"/>
    <w:rsid w:val="000B0817"/>
    <w:rsid w:val="000B0910"/>
    <w:rsid w:val="000B0BAC"/>
    <w:rsid w:val="000B10D9"/>
    <w:rsid w:val="000B1ED2"/>
    <w:rsid w:val="000B20FC"/>
    <w:rsid w:val="000B22EA"/>
    <w:rsid w:val="000B3202"/>
    <w:rsid w:val="000B493E"/>
    <w:rsid w:val="000B4F60"/>
    <w:rsid w:val="000B5B6D"/>
    <w:rsid w:val="000B5CC8"/>
    <w:rsid w:val="000B5DFC"/>
    <w:rsid w:val="000B5E52"/>
    <w:rsid w:val="000B61BF"/>
    <w:rsid w:val="000B620E"/>
    <w:rsid w:val="000B67E1"/>
    <w:rsid w:val="000B6925"/>
    <w:rsid w:val="000C0E15"/>
    <w:rsid w:val="000C1B95"/>
    <w:rsid w:val="000C299D"/>
    <w:rsid w:val="000C344F"/>
    <w:rsid w:val="000C3573"/>
    <w:rsid w:val="000C3B21"/>
    <w:rsid w:val="000C3E67"/>
    <w:rsid w:val="000C428C"/>
    <w:rsid w:val="000C4328"/>
    <w:rsid w:val="000C43F5"/>
    <w:rsid w:val="000C48DA"/>
    <w:rsid w:val="000C5DBB"/>
    <w:rsid w:val="000C605A"/>
    <w:rsid w:val="000C63AE"/>
    <w:rsid w:val="000C6CBF"/>
    <w:rsid w:val="000C712D"/>
    <w:rsid w:val="000C7685"/>
    <w:rsid w:val="000D0769"/>
    <w:rsid w:val="000D09EB"/>
    <w:rsid w:val="000D0B0F"/>
    <w:rsid w:val="000D0C86"/>
    <w:rsid w:val="000D0C91"/>
    <w:rsid w:val="000D1EAF"/>
    <w:rsid w:val="000D2C8E"/>
    <w:rsid w:val="000D2CA8"/>
    <w:rsid w:val="000D3909"/>
    <w:rsid w:val="000D39D7"/>
    <w:rsid w:val="000D3DAF"/>
    <w:rsid w:val="000D409C"/>
    <w:rsid w:val="000D48D5"/>
    <w:rsid w:val="000D4AF6"/>
    <w:rsid w:val="000D4F82"/>
    <w:rsid w:val="000D6088"/>
    <w:rsid w:val="000D689F"/>
    <w:rsid w:val="000D6977"/>
    <w:rsid w:val="000D6CFF"/>
    <w:rsid w:val="000D6D74"/>
    <w:rsid w:val="000D6F21"/>
    <w:rsid w:val="000D75EC"/>
    <w:rsid w:val="000D7803"/>
    <w:rsid w:val="000D7D8E"/>
    <w:rsid w:val="000D7DC6"/>
    <w:rsid w:val="000E024C"/>
    <w:rsid w:val="000E08FB"/>
    <w:rsid w:val="000E0D80"/>
    <w:rsid w:val="000E18B0"/>
    <w:rsid w:val="000E1BD5"/>
    <w:rsid w:val="000E214A"/>
    <w:rsid w:val="000E21D9"/>
    <w:rsid w:val="000E2823"/>
    <w:rsid w:val="000E2BF0"/>
    <w:rsid w:val="000E3219"/>
    <w:rsid w:val="000E321B"/>
    <w:rsid w:val="000E3D76"/>
    <w:rsid w:val="000E4186"/>
    <w:rsid w:val="000E52FA"/>
    <w:rsid w:val="000E6437"/>
    <w:rsid w:val="000E64F6"/>
    <w:rsid w:val="000E6981"/>
    <w:rsid w:val="000E6C3B"/>
    <w:rsid w:val="000F06E7"/>
    <w:rsid w:val="000F0B03"/>
    <w:rsid w:val="000F0BDA"/>
    <w:rsid w:val="000F0D6F"/>
    <w:rsid w:val="000F150F"/>
    <w:rsid w:val="000F1E27"/>
    <w:rsid w:val="000F1EDD"/>
    <w:rsid w:val="000F1FC4"/>
    <w:rsid w:val="000F243B"/>
    <w:rsid w:val="000F2773"/>
    <w:rsid w:val="000F3580"/>
    <w:rsid w:val="000F3B7A"/>
    <w:rsid w:val="000F3F04"/>
    <w:rsid w:val="000F420E"/>
    <w:rsid w:val="000F454C"/>
    <w:rsid w:val="000F462D"/>
    <w:rsid w:val="000F4C69"/>
    <w:rsid w:val="000F4EE2"/>
    <w:rsid w:val="000F527A"/>
    <w:rsid w:val="000F5C16"/>
    <w:rsid w:val="000F6308"/>
    <w:rsid w:val="000F6C6E"/>
    <w:rsid w:val="000F7241"/>
    <w:rsid w:val="000F7836"/>
    <w:rsid w:val="000F7F62"/>
    <w:rsid w:val="001001FD"/>
    <w:rsid w:val="001018E6"/>
    <w:rsid w:val="00101DFC"/>
    <w:rsid w:val="00102684"/>
    <w:rsid w:val="00102A12"/>
    <w:rsid w:val="00102CC6"/>
    <w:rsid w:val="00102F0D"/>
    <w:rsid w:val="00104130"/>
    <w:rsid w:val="001048BE"/>
    <w:rsid w:val="0010529C"/>
    <w:rsid w:val="001072EB"/>
    <w:rsid w:val="001075C1"/>
    <w:rsid w:val="00107924"/>
    <w:rsid w:val="001079CD"/>
    <w:rsid w:val="0011014B"/>
    <w:rsid w:val="00110426"/>
    <w:rsid w:val="00111274"/>
    <w:rsid w:val="001117B9"/>
    <w:rsid w:val="001128FE"/>
    <w:rsid w:val="00112F5B"/>
    <w:rsid w:val="0011317D"/>
    <w:rsid w:val="001134EF"/>
    <w:rsid w:val="00114386"/>
    <w:rsid w:val="001148BD"/>
    <w:rsid w:val="00114A82"/>
    <w:rsid w:val="00114ECC"/>
    <w:rsid w:val="001151A9"/>
    <w:rsid w:val="00115834"/>
    <w:rsid w:val="00115CCC"/>
    <w:rsid w:val="00115E6A"/>
    <w:rsid w:val="00117215"/>
    <w:rsid w:val="0012030F"/>
    <w:rsid w:val="00120657"/>
    <w:rsid w:val="00120AB4"/>
    <w:rsid w:val="00120BE1"/>
    <w:rsid w:val="0012174B"/>
    <w:rsid w:val="00121A55"/>
    <w:rsid w:val="00121B3C"/>
    <w:rsid w:val="00121C20"/>
    <w:rsid w:val="00121DE5"/>
    <w:rsid w:val="00123367"/>
    <w:rsid w:val="00123AC2"/>
    <w:rsid w:val="00123EA6"/>
    <w:rsid w:val="00123F89"/>
    <w:rsid w:val="00124206"/>
    <w:rsid w:val="0012537B"/>
    <w:rsid w:val="0012558C"/>
    <w:rsid w:val="0012714F"/>
    <w:rsid w:val="00127915"/>
    <w:rsid w:val="00130693"/>
    <w:rsid w:val="00130801"/>
    <w:rsid w:val="00130A8C"/>
    <w:rsid w:val="001310AA"/>
    <w:rsid w:val="0013265E"/>
    <w:rsid w:val="00132670"/>
    <w:rsid w:val="001328E9"/>
    <w:rsid w:val="00132C2F"/>
    <w:rsid w:val="00133E88"/>
    <w:rsid w:val="00133ECB"/>
    <w:rsid w:val="0013411A"/>
    <w:rsid w:val="001349F3"/>
    <w:rsid w:val="00135E78"/>
    <w:rsid w:val="00136615"/>
    <w:rsid w:val="00136BA5"/>
    <w:rsid w:val="00137077"/>
    <w:rsid w:val="00137241"/>
    <w:rsid w:val="00137B1E"/>
    <w:rsid w:val="00137BBA"/>
    <w:rsid w:val="001403D0"/>
    <w:rsid w:val="00140ABE"/>
    <w:rsid w:val="00141229"/>
    <w:rsid w:val="00141E96"/>
    <w:rsid w:val="00142135"/>
    <w:rsid w:val="00142681"/>
    <w:rsid w:val="00142BD9"/>
    <w:rsid w:val="00143392"/>
    <w:rsid w:val="00143510"/>
    <w:rsid w:val="001438E5"/>
    <w:rsid w:val="00143AB1"/>
    <w:rsid w:val="00143D73"/>
    <w:rsid w:val="00143EA2"/>
    <w:rsid w:val="001448C4"/>
    <w:rsid w:val="0014619B"/>
    <w:rsid w:val="001467AB"/>
    <w:rsid w:val="001467FD"/>
    <w:rsid w:val="001468DA"/>
    <w:rsid w:val="00146AE2"/>
    <w:rsid w:val="00146D8F"/>
    <w:rsid w:val="00146E88"/>
    <w:rsid w:val="00147B19"/>
    <w:rsid w:val="00150442"/>
    <w:rsid w:val="00150618"/>
    <w:rsid w:val="00150E64"/>
    <w:rsid w:val="00151766"/>
    <w:rsid w:val="0015247A"/>
    <w:rsid w:val="0015249C"/>
    <w:rsid w:val="00152BD1"/>
    <w:rsid w:val="00152F39"/>
    <w:rsid w:val="00153226"/>
    <w:rsid w:val="00153918"/>
    <w:rsid w:val="001547E1"/>
    <w:rsid w:val="00154DF4"/>
    <w:rsid w:val="00154F74"/>
    <w:rsid w:val="0015535A"/>
    <w:rsid w:val="00155460"/>
    <w:rsid w:val="00156E27"/>
    <w:rsid w:val="001570A5"/>
    <w:rsid w:val="001571E8"/>
    <w:rsid w:val="0015749F"/>
    <w:rsid w:val="001579EF"/>
    <w:rsid w:val="00160375"/>
    <w:rsid w:val="00160D4E"/>
    <w:rsid w:val="00160F50"/>
    <w:rsid w:val="001613F8"/>
    <w:rsid w:val="00161522"/>
    <w:rsid w:val="001617AE"/>
    <w:rsid w:val="00161B0C"/>
    <w:rsid w:val="00161BD0"/>
    <w:rsid w:val="00161E4F"/>
    <w:rsid w:val="00161ED0"/>
    <w:rsid w:val="0016263C"/>
    <w:rsid w:val="00162AE8"/>
    <w:rsid w:val="00162C56"/>
    <w:rsid w:val="00162DB2"/>
    <w:rsid w:val="00164924"/>
    <w:rsid w:val="00164A55"/>
    <w:rsid w:val="001657B1"/>
    <w:rsid w:val="00165B02"/>
    <w:rsid w:val="00166DCC"/>
    <w:rsid w:val="001676F7"/>
    <w:rsid w:val="00167789"/>
    <w:rsid w:val="00167927"/>
    <w:rsid w:val="00170316"/>
    <w:rsid w:val="0017073E"/>
    <w:rsid w:val="00170C17"/>
    <w:rsid w:val="0017173E"/>
    <w:rsid w:val="00171CA3"/>
    <w:rsid w:val="00171E66"/>
    <w:rsid w:val="001722D8"/>
    <w:rsid w:val="00172A27"/>
    <w:rsid w:val="00172AE3"/>
    <w:rsid w:val="00172C34"/>
    <w:rsid w:val="00173149"/>
    <w:rsid w:val="001733BF"/>
    <w:rsid w:val="00173759"/>
    <w:rsid w:val="001739A3"/>
    <w:rsid w:val="00173D26"/>
    <w:rsid w:val="001740BE"/>
    <w:rsid w:val="00174B1E"/>
    <w:rsid w:val="001755B2"/>
    <w:rsid w:val="001755E9"/>
    <w:rsid w:val="00175A5E"/>
    <w:rsid w:val="00176553"/>
    <w:rsid w:val="00177212"/>
    <w:rsid w:val="001774D4"/>
    <w:rsid w:val="00177549"/>
    <w:rsid w:val="00177744"/>
    <w:rsid w:val="001778BE"/>
    <w:rsid w:val="00177F89"/>
    <w:rsid w:val="00180B0D"/>
    <w:rsid w:val="00181ADD"/>
    <w:rsid w:val="00181FEA"/>
    <w:rsid w:val="00181FFD"/>
    <w:rsid w:val="00182706"/>
    <w:rsid w:val="0018284B"/>
    <w:rsid w:val="001828B0"/>
    <w:rsid w:val="00183836"/>
    <w:rsid w:val="001845E9"/>
    <w:rsid w:val="00184630"/>
    <w:rsid w:val="001846D7"/>
    <w:rsid w:val="00184815"/>
    <w:rsid w:val="001848F5"/>
    <w:rsid w:val="001850A4"/>
    <w:rsid w:val="001864FF"/>
    <w:rsid w:val="001874BC"/>
    <w:rsid w:val="00187925"/>
    <w:rsid w:val="00187B3E"/>
    <w:rsid w:val="001913BE"/>
    <w:rsid w:val="0019153B"/>
    <w:rsid w:val="001915A3"/>
    <w:rsid w:val="001919EB"/>
    <w:rsid w:val="00191B94"/>
    <w:rsid w:val="00191D89"/>
    <w:rsid w:val="0019227B"/>
    <w:rsid w:val="001923AE"/>
    <w:rsid w:val="00192D08"/>
    <w:rsid w:val="0019368B"/>
    <w:rsid w:val="001938D2"/>
    <w:rsid w:val="00193917"/>
    <w:rsid w:val="001941C8"/>
    <w:rsid w:val="00194D59"/>
    <w:rsid w:val="00195B8B"/>
    <w:rsid w:val="00195DCB"/>
    <w:rsid w:val="00195F14"/>
    <w:rsid w:val="001961A2"/>
    <w:rsid w:val="00196787"/>
    <w:rsid w:val="00196B4C"/>
    <w:rsid w:val="001970AD"/>
    <w:rsid w:val="00197114"/>
    <w:rsid w:val="00197204"/>
    <w:rsid w:val="001A173C"/>
    <w:rsid w:val="001A1844"/>
    <w:rsid w:val="001A1998"/>
    <w:rsid w:val="001A1BE9"/>
    <w:rsid w:val="001A20CA"/>
    <w:rsid w:val="001A290D"/>
    <w:rsid w:val="001A2B9F"/>
    <w:rsid w:val="001A3B13"/>
    <w:rsid w:val="001A3CF6"/>
    <w:rsid w:val="001A3EE7"/>
    <w:rsid w:val="001A4360"/>
    <w:rsid w:val="001A4420"/>
    <w:rsid w:val="001A46B5"/>
    <w:rsid w:val="001A46F2"/>
    <w:rsid w:val="001A68EC"/>
    <w:rsid w:val="001A6C49"/>
    <w:rsid w:val="001A7AB7"/>
    <w:rsid w:val="001A7C91"/>
    <w:rsid w:val="001B0220"/>
    <w:rsid w:val="001B0850"/>
    <w:rsid w:val="001B1281"/>
    <w:rsid w:val="001B1D39"/>
    <w:rsid w:val="001B2126"/>
    <w:rsid w:val="001B2329"/>
    <w:rsid w:val="001B23F5"/>
    <w:rsid w:val="001B24E4"/>
    <w:rsid w:val="001B2666"/>
    <w:rsid w:val="001B2909"/>
    <w:rsid w:val="001B2A31"/>
    <w:rsid w:val="001B2D49"/>
    <w:rsid w:val="001B2E91"/>
    <w:rsid w:val="001B5780"/>
    <w:rsid w:val="001B5B42"/>
    <w:rsid w:val="001B606A"/>
    <w:rsid w:val="001B6DDB"/>
    <w:rsid w:val="001B7078"/>
    <w:rsid w:val="001B7491"/>
    <w:rsid w:val="001B75CF"/>
    <w:rsid w:val="001B7A8D"/>
    <w:rsid w:val="001B7C5C"/>
    <w:rsid w:val="001B7EBE"/>
    <w:rsid w:val="001C06C0"/>
    <w:rsid w:val="001C0AC9"/>
    <w:rsid w:val="001C0D5A"/>
    <w:rsid w:val="001C10E5"/>
    <w:rsid w:val="001C1A12"/>
    <w:rsid w:val="001C1D46"/>
    <w:rsid w:val="001C1F6C"/>
    <w:rsid w:val="001C21BB"/>
    <w:rsid w:val="001C2466"/>
    <w:rsid w:val="001C3000"/>
    <w:rsid w:val="001C30D1"/>
    <w:rsid w:val="001C33D6"/>
    <w:rsid w:val="001C35B7"/>
    <w:rsid w:val="001C36F7"/>
    <w:rsid w:val="001C3AE0"/>
    <w:rsid w:val="001C3BAD"/>
    <w:rsid w:val="001C5F9A"/>
    <w:rsid w:val="001C6ECF"/>
    <w:rsid w:val="001C7E49"/>
    <w:rsid w:val="001D012D"/>
    <w:rsid w:val="001D0702"/>
    <w:rsid w:val="001D0A25"/>
    <w:rsid w:val="001D1078"/>
    <w:rsid w:val="001D1659"/>
    <w:rsid w:val="001D296C"/>
    <w:rsid w:val="001D2E3E"/>
    <w:rsid w:val="001D2E8A"/>
    <w:rsid w:val="001D2F3D"/>
    <w:rsid w:val="001D334B"/>
    <w:rsid w:val="001D33C3"/>
    <w:rsid w:val="001D3DED"/>
    <w:rsid w:val="001D3DF8"/>
    <w:rsid w:val="001D3F8A"/>
    <w:rsid w:val="001D4E6F"/>
    <w:rsid w:val="001D5573"/>
    <w:rsid w:val="001D56C8"/>
    <w:rsid w:val="001D5E80"/>
    <w:rsid w:val="001D6356"/>
    <w:rsid w:val="001D6806"/>
    <w:rsid w:val="001D6EC3"/>
    <w:rsid w:val="001D710C"/>
    <w:rsid w:val="001E0025"/>
    <w:rsid w:val="001E0886"/>
    <w:rsid w:val="001E11B1"/>
    <w:rsid w:val="001E1B1E"/>
    <w:rsid w:val="001E1C18"/>
    <w:rsid w:val="001E208F"/>
    <w:rsid w:val="001E233C"/>
    <w:rsid w:val="001E4950"/>
    <w:rsid w:val="001E5014"/>
    <w:rsid w:val="001E630A"/>
    <w:rsid w:val="001E6C11"/>
    <w:rsid w:val="001E7838"/>
    <w:rsid w:val="001E7A22"/>
    <w:rsid w:val="001E7D19"/>
    <w:rsid w:val="001F0C50"/>
    <w:rsid w:val="001F0CFA"/>
    <w:rsid w:val="001F0ECC"/>
    <w:rsid w:val="001F1464"/>
    <w:rsid w:val="001F1897"/>
    <w:rsid w:val="001F1905"/>
    <w:rsid w:val="001F1EAE"/>
    <w:rsid w:val="001F1F7F"/>
    <w:rsid w:val="001F26A0"/>
    <w:rsid w:val="001F2C63"/>
    <w:rsid w:val="001F2E14"/>
    <w:rsid w:val="001F37E0"/>
    <w:rsid w:val="001F3A0C"/>
    <w:rsid w:val="001F3E7F"/>
    <w:rsid w:val="001F401A"/>
    <w:rsid w:val="001F4A76"/>
    <w:rsid w:val="001F4F4A"/>
    <w:rsid w:val="001F534F"/>
    <w:rsid w:val="001F543D"/>
    <w:rsid w:val="001F56BD"/>
    <w:rsid w:val="001F5813"/>
    <w:rsid w:val="001F5989"/>
    <w:rsid w:val="001F64C1"/>
    <w:rsid w:val="001F64D7"/>
    <w:rsid w:val="001F6CB0"/>
    <w:rsid w:val="002001F1"/>
    <w:rsid w:val="00201348"/>
    <w:rsid w:val="00201A4E"/>
    <w:rsid w:val="00201B37"/>
    <w:rsid w:val="00201C8A"/>
    <w:rsid w:val="00202525"/>
    <w:rsid w:val="00202B43"/>
    <w:rsid w:val="002035A2"/>
    <w:rsid w:val="00203787"/>
    <w:rsid w:val="00203887"/>
    <w:rsid w:val="002046D6"/>
    <w:rsid w:val="00204D09"/>
    <w:rsid w:val="00204F5C"/>
    <w:rsid w:val="00205C71"/>
    <w:rsid w:val="00206815"/>
    <w:rsid w:val="002070C1"/>
    <w:rsid w:val="0020717B"/>
    <w:rsid w:val="00207262"/>
    <w:rsid w:val="00207468"/>
    <w:rsid w:val="00207844"/>
    <w:rsid w:val="00210436"/>
    <w:rsid w:val="0021043B"/>
    <w:rsid w:val="00210440"/>
    <w:rsid w:val="0021054E"/>
    <w:rsid w:val="0021095C"/>
    <w:rsid w:val="002109AA"/>
    <w:rsid w:val="00210AC5"/>
    <w:rsid w:val="00210E7E"/>
    <w:rsid w:val="00211084"/>
    <w:rsid w:val="00211254"/>
    <w:rsid w:val="002122AD"/>
    <w:rsid w:val="0021299B"/>
    <w:rsid w:val="002139CD"/>
    <w:rsid w:val="00213E88"/>
    <w:rsid w:val="00214801"/>
    <w:rsid w:val="00214C22"/>
    <w:rsid w:val="00214C4A"/>
    <w:rsid w:val="00214FDD"/>
    <w:rsid w:val="00215607"/>
    <w:rsid w:val="0021647A"/>
    <w:rsid w:val="00216DB2"/>
    <w:rsid w:val="00217057"/>
    <w:rsid w:val="002170FD"/>
    <w:rsid w:val="0021781A"/>
    <w:rsid w:val="00217A9E"/>
    <w:rsid w:val="00217E3B"/>
    <w:rsid w:val="002201AC"/>
    <w:rsid w:val="0022067E"/>
    <w:rsid w:val="00221029"/>
    <w:rsid w:val="0022131F"/>
    <w:rsid w:val="002213C6"/>
    <w:rsid w:val="002216BD"/>
    <w:rsid w:val="00221E89"/>
    <w:rsid w:val="00221FE8"/>
    <w:rsid w:val="00222F08"/>
    <w:rsid w:val="00223045"/>
    <w:rsid w:val="002237FD"/>
    <w:rsid w:val="0022383D"/>
    <w:rsid w:val="00223AED"/>
    <w:rsid w:val="00223BB4"/>
    <w:rsid w:val="00223DBF"/>
    <w:rsid w:val="00223FB6"/>
    <w:rsid w:val="0022435D"/>
    <w:rsid w:val="0022442C"/>
    <w:rsid w:val="002245B1"/>
    <w:rsid w:val="00224A1D"/>
    <w:rsid w:val="00224BA5"/>
    <w:rsid w:val="00224F56"/>
    <w:rsid w:val="00225340"/>
    <w:rsid w:val="002259D7"/>
    <w:rsid w:val="00225E69"/>
    <w:rsid w:val="002269FF"/>
    <w:rsid w:val="002274F2"/>
    <w:rsid w:val="00227BE4"/>
    <w:rsid w:val="002303B3"/>
    <w:rsid w:val="00230D0C"/>
    <w:rsid w:val="00230EA4"/>
    <w:rsid w:val="0023207C"/>
    <w:rsid w:val="0023316C"/>
    <w:rsid w:val="00233EA8"/>
    <w:rsid w:val="00233EE9"/>
    <w:rsid w:val="002344D9"/>
    <w:rsid w:val="00235237"/>
    <w:rsid w:val="002356F7"/>
    <w:rsid w:val="0023573C"/>
    <w:rsid w:val="00235CCD"/>
    <w:rsid w:val="0023602F"/>
    <w:rsid w:val="00236048"/>
    <w:rsid w:val="002362ED"/>
    <w:rsid w:val="00236EEA"/>
    <w:rsid w:val="00237036"/>
    <w:rsid w:val="002372AC"/>
    <w:rsid w:val="00237588"/>
    <w:rsid w:val="002375DA"/>
    <w:rsid w:val="00237A33"/>
    <w:rsid w:val="00237F7F"/>
    <w:rsid w:val="0024014D"/>
    <w:rsid w:val="002402E8"/>
    <w:rsid w:val="002405DB"/>
    <w:rsid w:val="00240B0F"/>
    <w:rsid w:val="00240CF2"/>
    <w:rsid w:val="00240E54"/>
    <w:rsid w:val="00241314"/>
    <w:rsid w:val="00241BD9"/>
    <w:rsid w:val="0024238B"/>
    <w:rsid w:val="00242B67"/>
    <w:rsid w:val="00243381"/>
    <w:rsid w:val="00243756"/>
    <w:rsid w:val="00243EFD"/>
    <w:rsid w:val="002442A5"/>
    <w:rsid w:val="00244AF3"/>
    <w:rsid w:val="00244B2D"/>
    <w:rsid w:val="00244EF8"/>
    <w:rsid w:val="00244EFB"/>
    <w:rsid w:val="00245008"/>
    <w:rsid w:val="002451ED"/>
    <w:rsid w:val="002458E4"/>
    <w:rsid w:val="00245900"/>
    <w:rsid w:val="00245DD8"/>
    <w:rsid w:val="0024757C"/>
    <w:rsid w:val="002506EE"/>
    <w:rsid w:val="00250E42"/>
    <w:rsid w:val="00250E89"/>
    <w:rsid w:val="0025197E"/>
    <w:rsid w:val="00252912"/>
    <w:rsid w:val="00252D49"/>
    <w:rsid w:val="00253956"/>
    <w:rsid w:val="00253C51"/>
    <w:rsid w:val="002548D3"/>
    <w:rsid w:val="00254E85"/>
    <w:rsid w:val="0025568B"/>
    <w:rsid w:val="00255E94"/>
    <w:rsid w:val="002561B7"/>
    <w:rsid w:val="002562F6"/>
    <w:rsid w:val="00256EDB"/>
    <w:rsid w:val="00256FEA"/>
    <w:rsid w:val="00257131"/>
    <w:rsid w:val="00257314"/>
    <w:rsid w:val="0025733E"/>
    <w:rsid w:val="00257590"/>
    <w:rsid w:val="00257882"/>
    <w:rsid w:val="00257F6B"/>
    <w:rsid w:val="00260C4E"/>
    <w:rsid w:val="0026110D"/>
    <w:rsid w:val="00261B4C"/>
    <w:rsid w:val="00261C50"/>
    <w:rsid w:val="00261C71"/>
    <w:rsid w:val="00261E06"/>
    <w:rsid w:val="002620B7"/>
    <w:rsid w:val="0026249A"/>
    <w:rsid w:val="002625B4"/>
    <w:rsid w:val="00263090"/>
    <w:rsid w:val="00263146"/>
    <w:rsid w:val="002648F5"/>
    <w:rsid w:val="00264D98"/>
    <w:rsid w:val="00265054"/>
    <w:rsid w:val="0026523F"/>
    <w:rsid w:val="002657D5"/>
    <w:rsid w:val="00265EBC"/>
    <w:rsid w:val="0026696D"/>
    <w:rsid w:val="00266AA7"/>
    <w:rsid w:val="00266BE6"/>
    <w:rsid w:val="00266EC1"/>
    <w:rsid w:val="00267127"/>
    <w:rsid w:val="00267325"/>
    <w:rsid w:val="002674F1"/>
    <w:rsid w:val="00267935"/>
    <w:rsid w:val="00270B8F"/>
    <w:rsid w:val="00271B39"/>
    <w:rsid w:val="00271C92"/>
    <w:rsid w:val="0027280E"/>
    <w:rsid w:val="0027293A"/>
    <w:rsid w:val="0027313B"/>
    <w:rsid w:val="00273CF6"/>
    <w:rsid w:val="00273F3E"/>
    <w:rsid w:val="00273FA1"/>
    <w:rsid w:val="00274F13"/>
    <w:rsid w:val="002752E7"/>
    <w:rsid w:val="00275567"/>
    <w:rsid w:val="00275D52"/>
    <w:rsid w:val="00276536"/>
    <w:rsid w:val="00276BC6"/>
    <w:rsid w:val="0027723E"/>
    <w:rsid w:val="002772D9"/>
    <w:rsid w:val="002772EA"/>
    <w:rsid w:val="00277FDA"/>
    <w:rsid w:val="0028026F"/>
    <w:rsid w:val="0028028C"/>
    <w:rsid w:val="00280540"/>
    <w:rsid w:val="00280915"/>
    <w:rsid w:val="002814FA"/>
    <w:rsid w:val="00281DA0"/>
    <w:rsid w:val="00281ECB"/>
    <w:rsid w:val="0028242D"/>
    <w:rsid w:val="002829C0"/>
    <w:rsid w:val="00282D45"/>
    <w:rsid w:val="00283253"/>
    <w:rsid w:val="0028362C"/>
    <w:rsid w:val="002836C6"/>
    <w:rsid w:val="00283B29"/>
    <w:rsid w:val="00284442"/>
    <w:rsid w:val="0028615B"/>
    <w:rsid w:val="00286DFC"/>
    <w:rsid w:val="00287102"/>
    <w:rsid w:val="00290002"/>
    <w:rsid w:val="0029069C"/>
    <w:rsid w:val="00291560"/>
    <w:rsid w:val="00291AF5"/>
    <w:rsid w:val="0029244F"/>
    <w:rsid w:val="00293B82"/>
    <w:rsid w:val="00293DA4"/>
    <w:rsid w:val="002965D8"/>
    <w:rsid w:val="00296B22"/>
    <w:rsid w:val="002970FE"/>
    <w:rsid w:val="0029715E"/>
    <w:rsid w:val="002A00F2"/>
    <w:rsid w:val="002A0381"/>
    <w:rsid w:val="002A0425"/>
    <w:rsid w:val="002A0651"/>
    <w:rsid w:val="002A06BD"/>
    <w:rsid w:val="002A0F79"/>
    <w:rsid w:val="002A11FB"/>
    <w:rsid w:val="002A120C"/>
    <w:rsid w:val="002A1715"/>
    <w:rsid w:val="002A1996"/>
    <w:rsid w:val="002A1F00"/>
    <w:rsid w:val="002A1F34"/>
    <w:rsid w:val="002A2185"/>
    <w:rsid w:val="002A21D9"/>
    <w:rsid w:val="002A2552"/>
    <w:rsid w:val="002A334F"/>
    <w:rsid w:val="002A3C88"/>
    <w:rsid w:val="002A41C2"/>
    <w:rsid w:val="002A4C00"/>
    <w:rsid w:val="002A50DC"/>
    <w:rsid w:val="002A52CC"/>
    <w:rsid w:val="002A55AD"/>
    <w:rsid w:val="002A588A"/>
    <w:rsid w:val="002A58FF"/>
    <w:rsid w:val="002A5C6C"/>
    <w:rsid w:val="002A5FBD"/>
    <w:rsid w:val="002A6046"/>
    <w:rsid w:val="002A632B"/>
    <w:rsid w:val="002A6C04"/>
    <w:rsid w:val="002A6E4D"/>
    <w:rsid w:val="002A7153"/>
    <w:rsid w:val="002A728A"/>
    <w:rsid w:val="002A7310"/>
    <w:rsid w:val="002A73C5"/>
    <w:rsid w:val="002A7D4F"/>
    <w:rsid w:val="002A7F8A"/>
    <w:rsid w:val="002B011D"/>
    <w:rsid w:val="002B021E"/>
    <w:rsid w:val="002B08F6"/>
    <w:rsid w:val="002B2E09"/>
    <w:rsid w:val="002B366D"/>
    <w:rsid w:val="002B3938"/>
    <w:rsid w:val="002B3C7C"/>
    <w:rsid w:val="002B42D8"/>
    <w:rsid w:val="002B4B5E"/>
    <w:rsid w:val="002B4F70"/>
    <w:rsid w:val="002B51D5"/>
    <w:rsid w:val="002B6528"/>
    <w:rsid w:val="002B6DB3"/>
    <w:rsid w:val="002C065B"/>
    <w:rsid w:val="002C08AB"/>
    <w:rsid w:val="002C183E"/>
    <w:rsid w:val="002C1AA0"/>
    <w:rsid w:val="002C1D83"/>
    <w:rsid w:val="002C1E44"/>
    <w:rsid w:val="002C237E"/>
    <w:rsid w:val="002C24DC"/>
    <w:rsid w:val="002C2C8A"/>
    <w:rsid w:val="002C3057"/>
    <w:rsid w:val="002C365A"/>
    <w:rsid w:val="002C449D"/>
    <w:rsid w:val="002C44A2"/>
    <w:rsid w:val="002C467A"/>
    <w:rsid w:val="002C4AC6"/>
    <w:rsid w:val="002C526F"/>
    <w:rsid w:val="002C5411"/>
    <w:rsid w:val="002C55AB"/>
    <w:rsid w:val="002C588A"/>
    <w:rsid w:val="002C5EEF"/>
    <w:rsid w:val="002C6527"/>
    <w:rsid w:val="002C7537"/>
    <w:rsid w:val="002C7D71"/>
    <w:rsid w:val="002D0724"/>
    <w:rsid w:val="002D13DF"/>
    <w:rsid w:val="002D2936"/>
    <w:rsid w:val="002D3B6B"/>
    <w:rsid w:val="002D41A4"/>
    <w:rsid w:val="002D603D"/>
    <w:rsid w:val="002D62E1"/>
    <w:rsid w:val="002E00AD"/>
    <w:rsid w:val="002E032F"/>
    <w:rsid w:val="002E075F"/>
    <w:rsid w:val="002E08C1"/>
    <w:rsid w:val="002E0B56"/>
    <w:rsid w:val="002E0B5D"/>
    <w:rsid w:val="002E1192"/>
    <w:rsid w:val="002E1650"/>
    <w:rsid w:val="002E1ABF"/>
    <w:rsid w:val="002E1DA6"/>
    <w:rsid w:val="002E1FD4"/>
    <w:rsid w:val="002E2087"/>
    <w:rsid w:val="002E214F"/>
    <w:rsid w:val="002E24BD"/>
    <w:rsid w:val="002E3C98"/>
    <w:rsid w:val="002E4485"/>
    <w:rsid w:val="002E4681"/>
    <w:rsid w:val="002E4D51"/>
    <w:rsid w:val="002E5619"/>
    <w:rsid w:val="002E57C9"/>
    <w:rsid w:val="002E6136"/>
    <w:rsid w:val="002E6371"/>
    <w:rsid w:val="002E6A58"/>
    <w:rsid w:val="002E6D98"/>
    <w:rsid w:val="002E7881"/>
    <w:rsid w:val="002E7975"/>
    <w:rsid w:val="002E7A31"/>
    <w:rsid w:val="002F01F2"/>
    <w:rsid w:val="002F068A"/>
    <w:rsid w:val="002F11D5"/>
    <w:rsid w:val="002F1A62"/>
    <w:rsid w:val="002F21EF"/>
    <w:rsid w:val="002F2741"/>
    <w:rsid w:val="002F2B63"/>
    <w:rsid w:val="002F3765"/>
    <w:rsid w:val="002F3F28"/>
    <w:rsid w:val="002F44A0"/>
    <w:rsid w:val="002F44CD"/>
    <w:rsid w:val="002F471C"/>
    <w:rsid w:val="002F496A"/>
    <w:rsid w:val="002F4F44"/>
    <w:rsid w:val="002F50DA"/>
    <w:rsid w:val="002F56B1"/>
    <w:rsid w:val="002F584B"/>
    <w:rsid w:val="002F5EEE"/>
    <w:rsid w:val="002F5FC3"/>
    <w:rsid w:val="002F6EF2"/>
    <w:rsid w:val="002F79E2"/>
    <w:rsid w:val="002F7D39"/>
    <w:rsid w:val="002F7E8D"/>
    <w:rsid w:val="00301475"/>
    <w:rsid w:val="003022E5"/>
    <w:rsid w:val="00302461"/>
    <w:rsid w:val="00302899"/>
    <w:rsid w:val="00302A04"/>
    <w:rsid w:val="003033D9"/>
    <w:rsid w:val="00303C85"/>
    <w:rsid w:val="00303F98"/>
    <w:rsid w:val="00304338"/>
    <w:rsid w:val="003044F5"/>
    <w:rsid w:val="003047D2"/>
    <w:rsid w:val="003051C9"/>
    <w:rsid w:val="00305C1F"/>
    <w:rsid w:val="00305D1D"/>
    <w:rsid w:val="00305F1B"/>
    <w:rsid w:val="00306B5E"/>
    <w:rsid w:val="0030700E"/>
    <w:rsid w:val="00307537"/>
    <w:rsid w:val="00307766"/>
    <w:rsid w:val="00307A2D"/>
    <w:rsid w:val="00310D4B"/>
    <w:rsid w:val="00310EC0"/>
    <w:rsid w:val="00311161"/>
    <w:rsid w:val="003122A3"/>
    <w:rsid w:val="003132C3"/>
    <w:rsid w:val="00313A3B"/>
    <w:rsid w:val="00313BCE"/>
    <w:rsid w:val="00313E20"/>
    <w:rsid w:val="00314F5B"/>
    <w:rsid w:val="00315243"/>
    <w:rsid w:val="00315A94"/>
    <w:rsid w:val="00315CB5"/>
    <w:rsid w:val="003164FD"/>
    <w:rsid w:val="00317240"/>
    <w:rsid w:val="0031737C"/>
    <w:rsid w:val="00320073"/>
    <w:rsid w:val="003201A8"/>
    <w:rsid w:val="003203BF"/>
    <w:rsid w:val="00320626"/>
    <w:rsid w:val="00320DE9"/>
    <w:rsid w:val="00321435"/>
    <w:rsid w:val="003214C3"/>
    <w:rsid w:val="003214D6"/>
    <w:rsid w:val="003219DD"/>
    <w:rsid w:val="00321BF3"/>
    <w:rsid w:val="00321CC1"/>
    <w:rsid w:val="0032244E"/>
    <w:rsid w:val="00323373"/>
    <w:rsid w:val="003242E5"/>
    <w:rsid w:val="00324DD8"/>
    <w:rsid w:val="00324EC6"/>
    <w:rsid w:val="003256E0"/>
    <w:rsid w:val="00325E6C"/>
    <w:rsid w:val="003261AE"/>
    <w:rsid w:val="00326769"/>
    <w:rsid w:val="00326A13"/>
    <w:rsid w:val="00326A9C"/>
    <w:rsid w:val="00327114"/>
    <w:rsid w:val="00327B3E"/>
    <w:rsid w:val="00327EA3"/>
    <w:rsid w:val="00332227"/>
    <w:rsid w:val="00332486"/>
    <w:rsid w:val="00333097"/>
    <w:rsid w:val="0033321A"/>
    <w:rsid w:val="00333612"/>
    <w:rsid w:val="00333676"/>
    <w:rsid w:val="003336FD"/>
    <w:rsid w:val="00333A02"/>
    <w:rsid w:val="00333D3B"/>
    <w:rsid w:val="00333E4C"/>
    <w:rsid w:val="00334224"/>
    <w:rsid w:val="0033425B"/>
    <w:rsid w:val="003342F6"/>
    <w:rsid w:val="00334680"/>
    <w:rsid w:val="00334969"/>
    <w:rsid w:val="003350A3"/>
    <w:rsid w:val="0033586C"/>
    <w:rsid w:val="00335EFB"/>
    <w:rsid w:val="003364B8"/>
    <w:rsid w:val="003364EB"/>
    <w:rsid w:val="00336ACB"/>
    <w:rsid w:val="003370F4"/>
    <w:rsid w:val="003374CB"/>
    <w:rsid w:val="00337D7C"/>
    <w:rsid w:val="00340445"/>
    <w:rsid w:val="003425A6"/>
    <w:rsid w:val="00342A4E"/>
    <w:rsid w:val="00342BAE"/>
    <w:rsid w:val="003431F0"/>
    <w:rsid w:val="00343ACE"/>
    <w:rsid w:val="00344388"/>
    <w:rsid w:val="0034484F"/>
    <w:rsid w:val="00345AD6"/>
    <w:rsid w:val="00345E2A"/>
    <w:rsid w:val="00345F25"/>
    <w:rsid w:val="00346772"/>
    <w:rsid w:val="00346E05"/>
    <w:rsid w:val="00347EED"/>
    <w:rsid w:val="003514C0"/>
    <w:rsid w:val="00351F42"/>
    <w:rsid w:val="00352BC1"/>
    <w:rsid w:val="00352F19"/>
    <w:rsid w:val="003536EE"/>
    <w:rsid w:val="00353939"/>
    <w:rsid w:val="00354976"/>
    <w:rsid w:val="00354FA4"/>
    <w:rsid w:val="00355855"/>
    <w:rsid w:val="0035600D"/>
    <w:rsid w:val="00356902"/>
    <w:rsid w:val="003571E8"/>
    <w:rsid w:val="00357742"/>
    <w:rsid w:val="00357CBA"/>
    <w:rsid w:val="003602AF"/>
    <w:rsid w:val="003619E8"/>
    <w:rsid w:val="00361FC9"/>
    <w:rsid w:val="00363CCB"/>
    <w:rsid w:val="003640EA"/>
    <w:rsid w:val="003642A2"/>
    <w:rsid w:val="003646C5"/>
    <w:rsid w:val="00365006"/>
    <w:rsid w:val="00365258"/>
    <w:rsid w:val="003653AC"/>
    <w:rsid w:val="00365ABF"/>
    <w:rsid w:val="00366608"/>
    <w:rsid w:val="003669D1"/>
    <w:rsid w:val="00366FA8"/>
    <w:rsid w:val="003675A2"/>
    <w:rsid w:val="0036774E"/>
    <w:rsid w:val="0037017C"/>
    <w:rsid w:val="003703D0"/>
    <w:rsid w:val="003706B3"/>
    <w:rsid w:val="003709F9"/>
    <w:rsid w:val="00372447"/>
    <w:rsid w:val="00372522"/>
    <w:rsid w:val="003728C9"/>
    <w:rsid w:val="00373353"/>
    <w:rsid w:val="00373923"/>
    <w:rsid w:val="003744B5"/>
    <w:rsid w:val="003745F2"/>
    <w:rsid w:val="00374BA5"/>
    <w:rsid w:val="00374BB4"/>
    <w:rsid w:val="003756AA"/>
    <w:rsid w:val="00376309"/>
    <w:rsid w:val="003769E3"/>
    <w:rsid w:val="00376E0D"/>
    <w:rsid w:val="003773D2"/>
    <w:rsid w:val="00377B2A"/>
    <w:rsid w:val="00377D0B"/>
    <w:rsid w:val="003805AC"/>
    <w:rsid w:val="0038079C"/>
    <w:rsid w:val="003807BD"/>
    <w:rsid w:val="00380AE6"/>
    <w:rsid w:val="00381308"/>
    <w:rsid w:val="00381408"/>
    <w:rsid w:val="003814E4"/>
    <w:rsid w:val="00381578"/>
    <w:rsid w:val="003824ED"/>
    <w:rsid w:val="0038250A"/>
    <w:rsid w:val="00382561"/>
    <w:rsid w:val="00382B9E"/>
    <w:rsid w:val="00382C17"/>
    <w:rsid w:val="0038312C"/>
    <w:rsid w:val="0038318E"/>
    <w:rsid w:val="0038436C"/>
    <w:rsid w:val="003843EC"/>
    <w:rsid w:val="003847A5"/>
    <w:rsid w:val="003847CF"/>
    <w:rsid w:val="00385229"/>
    <w:rsid w:val="003853E7"/>
    <w:rsid w:val="00385433"/>
    <w:rsid w:val="00387884"/>
    <w:rsid w:val="00387F66"/>
    <w:rsid w:val="0039022F"/>
    <w:rsid w:val="0039048F"/>
    <w:rsid w:val="003909DB"/>
    <w:rsid w:val="00390AD5"/>
    <w:rsid w:val="00391069"/>
    <w:rsid w:val="00391591"/>
    <w:rsid w:val="003919DA"/>
    <w:rsid w:val="00391BFD"/>
    <w:rsid w:val="003922FE"/>
    <w:rsid w:val="00392999"/>
    <w:rsid w:val="00392B88"/>
    <w:rsid w:val="00392CF1"/>
    <w:rsid w:val="00392E34"/>
    <w:rsid w:val="00393028"/>
    <w:rsid w:val="0039313E"/>
    <w:rsid w:val="003934F9"/>
    <w:rsid w:val="00393AB1"/>
    <w:rsid w:val="00394848"/>
    <w:rsid w:val="00394A73"/>
    <w:rsid w:val="00394CBF"/>
    <w:rsid w:val="00394D1B"/>
    <w:rsid w:val="00394EA1"/>
    <w:rsid w:val="00395822"/>
    <w:rsid w:val="00395AE1"/>
    <w:rsid w:val="00395F33"/>
    <w:rsid w:val="003960EC"/>
    <w:rsid w:val="00396982"/>
    <w:rsid w:val="00396A2D"/>
    <w:rsid w:val="0039729C"/>
    <w:rsid w:val="00397BFA"/>
    <w:rsid w:val="003A03CE"/>
    <w:rsid w:val="003A0BE4"/>
    <w:rsid w:val="003A1771"/>
    <w:rsid w:val="003A17C1"/>
    <w:rsid w:val="003A1D06"/>
    <w:rsid w:val="003A1F30"/>
    <w:rsid w:val="003A236B"/>
    <w:rsid w:val="003A268D"/>
    <w:rsid w:val="003A2908"/>
    <w:rsid w:val="003A347A"/>
    <w:rsid w:val="003A3C39"/>
    <w:rsid w:val="003A3CAC"/>
    <w:rsid w:val="003A4065"/>
    <w:rsid w:val="003A407A"/>
    <w:rsid w:val="003A44F3"/>
    <w:rsid w:val="003A4B99"/>
    <w:rsid w:val="003A505C"/>
    <w:rsid w:val="003A574F"/>
    <w:rsid w:val="003A58D0"/>
    <w:rsid w:val="003A6FDB"/>
    <w:rsid w:val="003B016F"/>
    <w:rsid w:val="003B01FA"/>
    <w:rsid w:val="003B0A1B"/>
    <w:rsid w:val="003B0DE7"/>
    <w:rsid w:val="003B1B85"/>
    <w:rsid w:val="003B1BFF"/>
    <w:rsid w:val="003B20E9"/>
    <w:rsid w:val="003B2926"/>
    <w:rsid w:val="003B2F00"/>
    <w:rsid w:val="003B3713"/>
    <w:rsid w:val="003B3AA5"/>
    <w:rsid w:val="003B445F"/>
    <w:rsid w:val="003B4982"/>
    <w:rsid w:val="003B4B46"/>
    <w:rsid w:val="003B4DF0"/>
    <w:rsid w:val="003B5725"/>
    <w:rsid w:val="003B5C4E"/>
    <w:rsid w:val="003B65AB"/>
    <w:rsid w:val="003B6CFD"/>
    <w:rsid w:val="003B7115"/>
    <w:rsid w:val="003B7B4E"/>
    <w:rsid w:val="003B7D23"/>
    <w:rsid w:val="003C056D"/>
    <w:rsid w:val="003C0C16"/>
    <w:rsid w:val="003C121F"/>
    <w:rsid w:val="003C1C09"/>
    <w:rsid w:val="003C1F0B"/>
    <w:rsid w:val="003C2E11"/>
    <w:rsid w:val="003C3323"/>
    <w:rsid w:val="003C3359"/>
    <w:rsid w:val="003C3B63"/>
    <w:rsid w:val="003C3E94"/>
    <w:rsid w:val="003C44A5"/>
    <w:rsid w:val="003C4544"/>
    <w:rsid w:val="003C488F"/>
    <w:rsid w:val="003C4DA4"/>
    <w:rsid w:val="003C4E2E"/>
    <w:rsid w:val="003C5286"/>
    <w:rsid w:val="003C542A"/>
    <w:rsid w:val="003C57AA"/>
    <w:rsid w:val="003C5B59"/>
    <w:rsid w:val="003C63D8"/>
    <w:rsid w:val="003C7884"/>
    <w:rsid w:val="003D052B"/>
    <w:rsid w:val="003D06D4"/>
    <w:rsid w:val="003D1034"/>
    <w:rsid w:val="003D16D0"/>
    <w:rsid w:val="003D27FB"/>
    <w:rsid w:val="003D3FDB"/>
    <w:rsid w:val="003D482D"/>
    <w:rsid w:val="003D53DC"/>
    <w:rsid w:val="003D54FA"/>
    <w:rsid w:val="003D589A"/>
    <w:rsid w:val="003D5A2F"/>
    <w:rsid w:val="003D6826"/>
    <w:rsid w:val="003D6E2F"/>
    <w:rsid w:val="003D7964"/>
    <w:rsid w:val="003D7BA8"/>
    <w:rsid w:val="003D7E59"/>
    <w:rsid w:val="003E09B3"/>
    <w:rsid w:val="003E0E08"/>
    <w:rsid w:val="003E1C2F"/>
    <w:rsid w:val="003E1C96"/>
    <w:rsid w:val="003E1EDB"/>
    <w:rsid w:val="003E2286"/>
    <w:rsid w:val="003E27AC"/>
    <w:rsid w:val="003E2AFF"/>
    <w:rsid w:val="003E3074"/>
    <w:rsid w:val="003E3167"/>
    <w:rsid w:val="003E4428"/>
    <w:rsid w:val="003E4571"/>
    <w:rsid w:val="003E45C2"/>
    <w:rsid w:val="003E4DF3"/>
    <w:rsid w:val="003E5226"/>
    <w:rsid w:val="003E56DC"/>
    <w:rsid w:val="003E5802"/>
    <w:rsid w:val="003E622C"/>
    <w:rsid w:val="003E6315"/>
    <w:rsid w:val="003E6495"/>
    <w:rsid w:val="003E69D8"/>
    <w:rsid w:val="003E6B1E"/>
    <w:rsid w:val="003E6EAB"/>
    <w:rsid w:val="003E7857"/>
    <w:rsid w:val="003E78E8"/>
    <w:rsid w:val="003E7E77"/>
    <w:rsid w:val="003F0D0D"/>
    <w:rsid w:val="003F1213"/>
    <w:rsid w:val="003F179E"/>
    <w:rsid w:val="003F1823"/>
    <w:rsid w:val="003F1DDF"/>
    <w:rsid w:val="003F1F28"/>
    <w:rsid w:val="003F20A8"/>
    <w:rsid w:val="003F2D6E"/>
    <w:rsid w:val="003F2ED7"/>
    <w:rsid w:val="003F3ED0"/>
    <w:rsid w:val="003F447B"/>
    <w:rsid w:val="003F50A1"/>
    <w:rsid w:val="003F5132"/>
    <w:rsid w:val="003F65B3"/>
    <w:rsid w:val="003F6B1B"/>
    <w:rsid w:val="003F6BA8"/>
    <w:rsid w:val="003F7F24"/>
    <w:rsid w:val="00400133"/>
    <w:rsid w:val="004009A7"/>
    <w:rsid w:val="00400A0B"/>
    <w:rsid w:val="00400A9F"/>
    <w:rsid w:val="00400D1B"/>
    <w:rsid w:val="004015AD"/>
    <w:rsid w:val="00401E65"/>
    <w:rsid w:val="00402593"/>
    <w:rsid w:val="004025F3"/>
    <w:rsid w:val="00402840"/>
    <w:rsid w:val="00402AB6"/>
    <w:rsid w:val="00402FEE"/>
    <w:rsid w:val="004030E9"/>
    <w:rsid w:val="004035B9"/>
    <w:rsid w:val="00403BC3"/>
    <w:rsid w:val="00403DA9"/>
    <w:rsid w:val="004041EF"/>
    <w:rsid w:val="00404F25"/>
    <w:rsid w:val="00405A2A"/>
    <w:rsid w:val="00405AF2"/>
    <w:rsid w:val="00405C91"/>
    <w:rsid w:val="00405E73"/>
    <w:rsid w:val="00405FD0"/>
    <w:rsid w:val="004061A4"/>
    <w:rsid w:val="004061E0"/>
    <w:rsid w:val="0040632D"/>
    <w:rsid w:val="00406AED"/>
    <w:rsid w:val="00407B04"/>
    <w:rsid w:val="00407BC7"/>
    <w:rsid w:val="004101C5"/>
    <w:rsid w:val="004103C4"/>
    <w:rsid w:val="00410BE7"/>
    <w:rsid w:val="00410D26"/>
    <w:rsid w:val="0041105B"/>
    <w:rsid w:val="004110C4"/>
    <w:rsid w:val="004124E8"/>
    <w:rsid w:val="00412773"/>
    <w:rsid w:val="0041311B"/>
    <w:rsid w:val="00413625"/>
    <w:rsid w:val="00413998"/>
    <w:rsid w:val="00413BFD"/>
    <w:rsid w:val="00413DFF"/>
    <w:rsid w:val="00414A4F"/>
    <w:rsid w:val="00415756"/>
    <w:rsid w:val="0041576F"/>
    <w:rsid w:val="00415B9C"/>
    <w:rsid w:val="004166CA"/>
    <w:rsid w:val="0041688D"/>
    <w:rsid w:val="004168DB"/>
    <w:rsid w:val="00416970"/>
    <w:rsid w:val="00416A9F"/>
    <w:rsid w:val="004170BB"/>
    <w:rsid w:val="00417D63"/>
    <w:rsid w:val="004201B7"/>
    <w:rsid w:val="00421FC0"/>
    <w:rsid w:val="0042239B"/>
    <w:rsid w:val="004224F8"/>
    <w:rsid w:val="00422A18"/>
    <w:rsid w:val="00422B01"/>
    <w:rsid w:val="00423668"/>
    <w:rsid w:val="00423C36"/>
    <w:rsid w:val="004242E7"/>
    <w:rsid w:val="00424451"/>
    <w:rsid w:val="00424697"/>
    <w:rsid w:val="00424B8A"/>
    <w:rsid w:val="004257A4"/>
    <w:rsid w:val="00425A62"/>
    <w:rsid w:val="00425BEB"/>
    <w:rsid w:val="00425DDC"/>
    <w:rsid w:val="00425FE1"/>
    <w:rsid w:val="00426433"/>
    <w:rsid w:val="00426BE7"/>
    <w:rsid w:val="0042701A"/>
    <w:rsid w:val="00427369"/>
    <w:rsid w:val="00427383"/>
    <w:rsid w:val="00427BF1"/>
    <w:rsid w:val="004304D3"/>
    <w:rsid w:val="00430640"/>
    <w:rsid w:val="00430E30"/>
    <w:rsid w:val="00431315"/>
    <w:rsid w:val="00431CAB"/>
    <w:rsid w:val="00432122"/>
    <w:rsid w:val="0043315E"/>
    <w:rsid w:val="00433A29"/>
    <w:rsid w:val="004342A5"/>
    <w:rsid w:val="00435338"/>
    <w:rsid w:val="0043621F"/>
    <w:rsid w:val="00436852"/>
    <w:rsid w:val="00436AF4"/>
    <w:rsid w:val="00436D58"/>
    <w:rsid w:val="00437998"/>
    <w:rsid w:val="004379D3"/>
    <w:rsid w:val="004406D0"/>
    <w:rsid w:val="004407FB"/>
    <w:rsid w:val="00441233"/>
    <w:rsid w:val="0044149E"/>
    <w:rsid w:val="00441512"/>
    <w:rsid w:val="00441873"/>
    <w:rsid w:val="00441F5D"/>
    <w:rsid w:val="00442241"/>
    <w:rsid w:val="004423C3"/>
    <w:rsid w:val="004424D0"/>
    <w:rsid w:val="00442D09"/>
    <w:rsid w:val="004434AB"/>
    <w:rsid w:val="004439EC"/>
    <w:rsid w:val="00443C8A"/>
    <w:rsid w:val="00443DFB"/>
    <w:rsid w:val="0044493B"/>
    <w:rsid w:val="00444C0A"/>
    <w:rsid w:val="00444CD2"/>
    <w:rsid w:val="0044510F"/>
    <w:rsid w:val="00445FD0"/>
    <w:rsid w:val="00446573"/>
    <w:rsid w:val="0044696A"/>
    <w:rsid w:val="004470D3"/>
    <w:rsid w:val="004503FD"/>
    <w:rsid w:val="0045041A"/>
    <w:rsid w:val="00450BA1"/>
    <w:rsid w:val="00450E38"/>
    <w:rsid w:val="004515EC"/>
    <w:rsid w:val="0045181C"/>
    <w:rsid w:val="00451AE9"/>
    <w:rsid w:val="00451B7A"/>
    <w:rsid w:val="00451DFC"/>
    <w:rsid w:val="00452662"/>
    <w:rsid w:val="00452B13"/>
    <w:rsid w:val="00453895"/>
    <w:rsid w:val="004538F6"/>
    <w:rsid w:val="004548A5"/>
    <w:rsid w:val="00454B0F"/>
    <w:rsid w:val="004553EB"/>
    <w:rsid w:val="00455D28"/>
    <w:rsid w:val="00455D9A"/>
    <w:rsid w:val="00455E39"/>
    <w:rsid w:val="004562BC"/>
    <w:rsid w:val="004562F1"/>
    <w:rsid w:val="00456A9B"/>
    <w:rsid w:val="0045708B"/>
    <w:rsid w:val="00457269"/>
    <w:rsid w:val="00460233"/>
    <w:rsid w:val="0046123F"/>
    <w:rsid w:val="004619CC"/>
    <w:rsid w:val="00461E36"/>
    <w:rsid w:val="0046245E"/>
    <w:rsid w:val="0046392A"/>
    <w:rsid w:val="0046451D"/>
    <w:rsid w:val="00464A3F"/>
    <w:rsid w:val="00464A7E"/>
    <w:rsid w:val="004652F8"/>
    <w:rsid w:val="00465B3E"/>
    <w:rsid w:val="00465C0D"/>
    <w:rsid w:val="00465DED"/>
    <w:rsid w:val="00466945"/>
    <w:rsid w:val="00466ED5"/>
    <w:rsid w:val="00467388"/>
    <w:rsid w:val="00467D61"/>
    <w:rsid w:val="00470261"/>
    <w:rsid w:val="00470367"/>
    <w:rsid w:val="004705C5"/>
    <w:rsid w:val="0047062C"/>
    <w:rsid w:val="00470934"/>
    <w:rsid w:val="00470AE5"/>
    <w:rsid w:val="0047124D"/>
    <w:rsid w:val="00471CC8"/>
    <w:rsid w:val="00471EE7"/>
    <w:rsid w:val="0047226D"/>
    <w:rsid w:val="00472E97"/>
    <w:rsid w:val="0047365F"/>
    <w:rsid w:val="004749E3"/>
    <w:rsid w:val="00474CD6"/>
    <w:rsid w:val="00474D62"/>
    <w:rsid w:val="004751E7"/>
    <w:rsid w:val="0047557C"/>
    <w:rsid w:val="0047562B"/>
    <w:rsid w:val="004758F9"/>
    <w:rsid w:val="00475D1D"/>
    <w:rsid w:val="004770BE"/>
    <w:rsid w:val="00477276"/>
    <w:rsid w:val="004776B9"/>
    <w:rsid w:val="00477C17"/>
    <w:rsid w:val="00480837"/>
    <w:rsid w:val="004813C6"/>
    <w:rsid w:val="00481B7C"/>
    <w:rsid w:val="00482480"/>
    <w:rsid w:val="00482C64"/>
    <w:rsid w:val="00482DF6"/>
    <w:rsid w:val="00484EA7"/>
    <w:rsid w:val="00485168"/>
    <w:rsid w:val="004855EC"/>
    <w:rsid w:val="0048578C"/>
    <w:rsid w:val="00485872"/>
    <w:rsid w:val="00485915"/>
    <w:rsid w:val="00485EA4"/>
    <w:rsid w:val="0048669A"/>
    <w:rsid w:val="00486C08"/>
    <w:rsid w:val="0048757E"/>
    <w:rsid w:val="00487C54"/>
    <w:rsid w:val="00487F2E"/>
    <w:rsid w:val="00490561"/>
    <w:rsid w:val="0049059F"/>
    <w:rsid w:val="00490F6B"/>
    <w:rsid w:val="00492CA8"/>
    <w:rsid w:val="004932D3"/>
    <w:rsid w:val="0049351A"/>
    <w:rsid w:val="0049364A"/>
    <w:rsid w:val="00493783"/>
    <w:rsid w:val="00493EFE"/>
    <w:rsid w:val="004940C3"/>
    <w:rsid w:val="004941D7"/>
    <w:rsid w:val="004945B1"/>
    <w:rsid w:val="00494C12"/>
    <w:rsid w:val="0049523D"/>
    <w:rsid w:val="00495625"/>
    <w:rsid w:val="004963B5"/>
    <w:rsid w:val="00496420"/>
    <w:rsid w:val="00496B30"/>
    <w:rsid w:val="00496C58"/>
    <w:rsid w:val="004975A9"/>
    <w:rsid w:val="004977A8"/>
    <w:rsid w:val="00497E2B"/>
    <w:rsid w:val="004A002C"/>
    <w:rsid w:val="004A0AD0"/>
    <w:rsid w:val="004A0F14"/>
    <w:rsid w:val="004A110B"/>
    <w:rsid w:val="004A1539"/>
    <w:rsid w:val="004A1D55"/>
    <w:rsid w:val="004A262B"/>
    <w:rsid w:val="004A2B58"/>
    <w:rsid w:val="004A2E82"/>
    <w:rsid w:val="004A3080"/>
    <w:rsid w:val="004A4429"/>
    <w:rsid w:val="004A44FB"/>
    <w:rsid w:val="004A4862"/>
    <w:rsid w:val="004A4A34"/>
    <w:rsid w:val="004A4C74"/>
    <w:rsid w:val="004A4E10"/>
    <w:rsid w:val="004A51B0"/>
    <w:rsid w:val="004A5352"/>
    <w:rsid w:val="004A565E"/>
    <w:rsid w:val="004A59A4"/>
    <w:rsid w:val="004A6727"/>
    <w:rsid w:val="004A6981"/>
    <w:rsid w:val="004A6E06"/>
    <w:rsid w:val="004A73C9"/>
    <w:rsid w:val="004A7475"/>
    <w:rsid w:val="004A7F95"/>
    <w:rsid w:val="004B261D"/>
    <w:rsid w:val="004B35DD"/>
    <w:rsid w:val="004B37D0"/>
    <w:rsid w:val="004B4608"/>
    <w:rsid w:val="004B63B7"/>
    <w:rsid w:val="004C0FE6"/>
    <w:rsid w:val="004C1447"/>
    <w:rsid w:val="004C15CD"/>
    <w:rsid w:val="004C166F"/>
    <w:rsid w:val="004C262D"/>
    <w:rsid w:val="004C2758"/>
    <w:rsid w:val="004C3BDB"/>
    <w:rsid w:val="004C3CB6"/>
    <w:rsid w:val="004C4505"/>
    <w:rsid w:val="004C4B56"/>
    <w:rsid w:val="004C57D7"/>
    <w:rsid w:val="004C586A"/>
    <w:rsid w:val="004C6802"/>
    <w:rsid w:val="004C6CB0"/>
    <w:rsid w:val="004C6DD3"/>
    <w:rsid w:val="004C6F5B"/>
    <w:rsid w:val="004C7132"/>
    <w:rsid w:val="004C725E"/>
    <w:rsid w:val="004C7285"/>
    <w:rsid w:val="004C73AB"/>
    <w:rsid w:val="004C77BC"/>
    <w:rsid w:val="004D032D"/>
    <w:rsid w:val="004D03B3"/>
    <w:rsid w:val="004D05E3"/>
    <w:rsid w:val="004D0729"/>
    <w:rsid w:val="004D10AE"/>
    <w:rsid w:val="004D13DA"/>
    <w:rsid w:val="004D176E"/>
    <w:rsid w:val="004D241E"/>
    <w:rsid w:val="004D2FB2"/>
    <w:rsid w:val="004D411E"/>
    <w:rsid w:val="004D427F"/>
    <w:rsid w:val="004D48AB"/>
    <w:rsid w:val="004D48C3"/>
    <w:rsid w:val="004D4B0C"/>
    <w:rsid w:val="004D4D36"/>
    <w:rsid w:val="004D591C"/>
    <w:rsid w:val="004D5B92"/>
    <w:rsid w:val="004D5ED0"/>
    <w:rsid w:val="004D6A22"/>
    <w:rsid w:val="004D6CA1"/>
    <w:rsid w:val="004D6F8E"/>
    <w:rsid w:val="004D7070"/>
    <w:rsid w:val="004D7151"/>
    <w:rsid w:val="004D7D6F"/>
    <w:rsid w:val="004E019A"/>
    <w:rsid w:val="004E05BE"/>
    <w:rsid w:val="004E08F2"/>
    <w:rsid w:val="004E0BF6"/>
    <w:rsid w:val="004E0D9C"/>
    <w:rsid w:val="004E10C4"/>
    <w:rsid w:val="004E1564"/>
    <w:rsid w:val="004E1AEF"/>
    <w:rsid w:val="004E1BC0"/>
    <w:rsid w:val="004E206A"/>
    <w:rsid w:val="004E2F50"/>
    <w:rsid w:val="004E33EB"/>
    <w:rsid w:val="004E345A"/>
    <w:rsid w:val="004E3F06"/>
    <w:rsid w:val="004E433E"/>
    <w:rsid w:val="004E4394"/>
    <w:rsid w:val="004E44AF"/>
    <w:rsid w:val="004E5120"/>
    <w:rsid w:val="004E52D5"/>
    <w:rsid w:val="004E59C7"/>
    <w:rsid w:val="004E67BD"/>
    <w:rsid w:val="004E67CC"/>
    <w:rsid w:val="004E6BED"/>
    <w:rsid w:val="004E7CFB"/>
    <w:rsid w:val="004F0094"/>
    <w:rsid w:val="004F091C"/>
    <w:rsid w:val="004F1279"/>
    <w:rsid w:val="004F1517"/>
    <w:rsid w:val="004F18C4"/>
    <w:rsid w:val="004F18C6"/>
    <w:rsid w:val="004F1DD7"/>
    <w:rsid w:val="004F266B"/>
    <w:rsid w:val="004F2CF9"/>
    <w:rsid w:val="004F3163"/>
    <w:rsid w:val="004F337F"/>
    <w:rsid w:val="004F3E76"/>
    <w:rsid w:val="004F4097"/>
    <w:rsid w:val="004F4B8F"/>
    <w:rsid w:val="004F5901"/>
    <w:rsid w:val="004F59D0"/>
    <w:rsid w:val="004F5B1F"/>
    <w:rsid w:val="004F5E09"/>
    <w:rsid w:val="004F644E"/>
    <w:rsid w:val="004F797F"/>
    <w:rsid w:val="004F7E38"/>
    <w:rsid w:val="004F7F3C"/>
    <w:rsid w:val="0050043A"/>
    <w:rsid w:val="00500875"/>
    <w:rsid w:val="005009E8"/>
    <w:rsid w:val="005011A8"/>
    <w:rsid w:val="0050193A"/>
    <w:rsid w:val="00501E03"/>
    <w:rsid w:val="00501E5A"/>
    <w:rsid w:val="00501EB7"/>
    <w:rsid w:val="0050218A"/>
    <w:rsid w:val="00502668"/>
    <w:rsid w:val="0050276C"/>
    <w:rsid w:val="005027F7"/>
    <w:rsid w:val="0050367F"/>
    <w:rsid w:val="00503D09"/>
    <w:rsid w:val="00503FE5"/>
    <w:rsid w:val="00504068"/>
    <w:rsid w:val="00504889"/>
    <w:rsid w:val="00504F17"/>
    <w:rsid w:val="00505297"/>
    <w:rsid w:val="0050563F"/>
    <w:rsid w:val="0050650A"/>
    <w:rsid w:val="00507045"/>
    <w:rsid w:val="00507372"/>
    <w:rsid w:val="00507643"/>
    <w:rsid w:val="00507ABD"/>
    <w:rsid w:val="00507FA4"/>
    <w:rsid w:val="005100BF"/>
    <w:rsid w:val="00510424"/>
    <w:rsid w:val="00510505"/>
    <w:rsid w:val="00510640"/>
    <w:rsid w:val="00510D49"/>
    <w:rsid w:val="0051105A"/>
    <w:rsid w:val="00511CAA"/>
    <w:rsid w:val="00511D21"/>
    <w:rsid w:val="00512690"/>
    <w:rsid w:val="00512B7A"/>
    <w:rsid w:val="00512CCA"/>
    <w:rsid w:val="00512EFD"/>
    <w:rsid w:val="00513220"/>
    <w:rsid w:val="005134DC"/>
    <w:rsid w:val="0051352C"/>
    <w:rsid w:val="00513896"/>
    <w:rsid w:val="00513998"/>
    <w:rsid w:val="00514214"/>
    <w:rsid w:val="0051453F"/>
    <w:rsid w:val="005146B7"/>
    <w:rsid w:val="00514823"/>
    <w:rsid w:val="00514B00"/>
    <w:rsid w:val="00514C0A"/>
    <w:rsid w:val="00514E08"/>
    <w:rsid w:val="00516294"/>
    <w:rsid w:val="0051646A"/>
    <w:rsid w:val="00516640"/>
    <w:rsid w:val="00516987"/>
    <w:rsid w:val="00517097"/>
    <w:rsid w:val="00517439"/>
    <w:rsid w:val="005174ED"/>
    <w:rsid w:val="00517982"/>
    <w:rsid w:val="00517F8B"/>
    <w:rsid w:val="005202AA"/>
    <w:rsid w:val="0052071E"/>
    <w:rsid w:val="00520894"/>
    <w:rsid w:val="00520A35"/>
    <w:rsid w:val="00520FFE"/>
    <w:rsid w:val="00521376"/>
    <w:rsid w:val="00521B62"/>
    <w:rsid w:val="00523995"/>
    <w:rsid w:val="00523BBD"/>
    <w:rsid w:val="005241B2"/>
    <w:rsid w:val="00524351"/>
    <w:rsid w:val="00524414"/>
    <w:rsid w:val="005244D3"/>
    <w:rsid w:val="00524A47"/>
    <w:rsid w:val="00524D1C"/>
    <w:rsid w:val="00525027"/>
    <w:rsid w:val="005265E5"/>
    <w:rsid w:val="005266E1"/>
    <w:rsid w:val="005268E4"/>
    <w:rsid w:val="00527307"/>
    <w:rsid w:val="00527637"/>
    <w:rsid w:val="00527E4A"/>
    <w:rsid w:val="00530122"/>
    <w:rsid w:val="00530202"/>
    <w:rsid w:val="00530617"/>
    <w:rsid w:val="00530B1B"/>
    <w:rsid w:val="00531C5E"/>
    <w:rsid w:val="005320FE"/>
    <w:rsid w:val="0053266F"/>
    <w:rsid w:val="00532A52"/>
    <w:rsid w:val="00532FBE"/>
    <w:rsid w:val="00533D1D"/>
    <w:rsid w:val="00535772"/>
    <w:rsid w:val="005357E8"/>
    <w:rsid w:val="005360B6"/>
    <w:rsid w:val="0053616B"/>
    <w:rsid w:val="00536AB7"/>
    <w:rsid w:val="00540796"/>
    <w:rsid w:val="005408EA"/>
    <w:rsid w:val="00540B90"/>
    <w:rsid w:val="00540C01"/>
    <w:rsid w:val="00541566"/>
    <w:rsid w:val="00541618"/>
    <w:rsid w:val="005418F9"/>
    <w:rsid w:val="00541F2C"/>
    <w:rsid w:val="005422F4"/>
    <w:rsid w:val="00542595"/>
    <w:rsid w:val="005426BA"/>
    <w:rsid w:val="00542754"/>
    <w:rsid w:val="0054330F"/>
    <w:rsid w:val="00543654"/>
    <w:rsid w:val="005438BB"/>
    <w:rsid w:val="005439CF"/>
    <w:rsid w:val="00543AB5"/>
    <w:rsid w:val="005448D4"/>
    <w:rsid w:val="00544D52"/>
    <w:rsid w:val="005459D3"/>
    <w:rsid w:val="00545B7C"/>
    <w:rsid w:val="00545D4C"/>
    <w:rsid w:val="00545FC1"/>
    <w:rsid w:val="00546C0C"/>
    <w:rsid w:val="00547260"/>
    <w:rsid w:val="00547A02"/>
    <w:rsid w:val="00547A8E"/>
    <w:rsid w:val="00547E1E"/>
    <w:rsid w:val="00550163"/>
    <w:rsid w:val="00550BD7"/>
    <w:rsid w:val="00550FF4"/>
    <w:rsid w:val="00551A35"/>
    <w:rsid w:val="005520D7"/>
    <w:rsid w:val="005521BC"/>
    <w:rsid w:val="005531EF"/>
    <w:rsid w:val="00553C8A"/>
    <w:rsid w:val="00553F48"/>
    <w:rsid w:val="0055408C"/>
    <w:rsid w:val="00555289"/>
    <w:rsid w:val="00557BE8"/>
    <w:rsid w:val="005601CB"/>
    <w:rsid w:val="00560452"/>
    <w:rsid w:val="0056097F"/>
    <w:rsid w:val="00560E39"/>
    <w:rsid w:val="00560F12"/>
    <w:rsid w:val="00562076"/>
    <w:rsid w:val="005622D6"/>
    <w:rsid w:val="00562364"/>
    <w:rsid w:val="00562AD4"/>
    <w:rsid w:val="00563583"/>
    <w:rsid w:val="005635DB"/>
    <w:rsid w:val="00563722"/>
    <w:rsid w:val="005644D2"/>
    <w:rsid w:val="00564915"/>
    <w:rsid w:val="00565126"/>
    <w:rsid w:val="00565938"/>
    <w:rsid w:val="0056605B"/>
    <w:rsid w:val="005664D0"/>
    <w:rsid w:val="00566509"/>
    <w:rsid w:val="00566610"/>
    <w:rsid w:val="00566C96"/>
    <w:rsid w:val="0056736F"/>
    <w:rsid w:val="00567D1B"/>
    <w:rsid w:val="005705DB"/>
    <w:rsid w:val="005709EF"/>
    <w:rsid w:val="0057109F"/>
    <w:rsid w:val="00571971"/>
    <w:rsid w:val="005721D9"/>
    <w:rsid w:val="00572770"/>
    <w:rsid w:val="005727ED"/>
    <w:rsid w:val="0057299C"/>
    <w:rsid w:val="00572A16"/>
    <w:rsid w:val="00572D02"/>
    <w:rsid w:val="00572E68"/>
    <w:rsid w:val="00572F10"/>
    <w:rsid w:val="005731E7"/>
    <w:rsid w:val="00573836"/>
    <w:rsid w:val="00573C96"/>
    <w:rsid w:val="00574200"/>
    <w:rsid w:val="00574776"/>
    <w:rsid w:val="005747E8"/>
    <w:rsid w:val="00574ADD"/>
    <w:rsid w:val="00574BF4"/>
    <w:rsid w:val="00575FD0"/>
    <w:rsid w:val="005762EB"/>
    <w:rsid w:val="00576547"/>
    <w:rsid w:val="005766D7"/>
    <w:rsid w:val="00576B8F"/>
    <w:rsid w:val="00576ED0"/>
    <w:rsid w:val="00576F87"/>
    <w:rsid w:val="00577B69"/>
    <w:rsid w:val="005800A3"/>
    <w:rsid w:val="00580FED"/>
    <w:rsid w:val="00581587"/>
    <w:rsid w:val="00581873"/>
    <w:rsid w:val="00581F5A"/>
    <w:rsid w:val="00582B82"/>
    <w:rsid w:val="00582EF6"/>
    <w:rsid w:val="00583464"/>
    <w:rsid w:val="00583A9B"/>
    <w:rsid w:val="00584A54"/>
    <w:rsid w:val="00584E20"/>
    <w:rsid w:val="00585A1A"/>
    <w:rsid w:val="00585A48"/>
    <w:rsid w:val="00585D80"/>
    <w:rsid w:val="00586A60"/>
    <w:rsid w:val="00587847"/>
    <w:rsid w:val="00587868"/>
    <w:rsid w:val="00587E0C"/>
    <w:rsid w:val="00591025"/>
    <w:rsid w:val="00591555"/>
    <w:rsid w:val="00592CDD"/>
    <w:rsid w:val="00592E85"/>
    <w:rsid w:val="00592F69"/>
    <w:rsid w:val="00593557"/>
    <w:rsid w:val="005935DB"/>
    <w:rsid w:val="0059385F"/>
    <w:rsid w:val="00593F48"/>
    <w:rsid w:val="005946F1"/>
    <w:rsid w:val="005950AF"/>
    <w:rsid w:val="00597E2F"/>
    <w:rsid w:val="005A02B7"/>
    <w:rsid w:val="005A0685"/>
    <w:rsid w:val="005A07C9"/>
    <w:rsid w:val="005A10EF"/>
    <w:rsid w:val="005A12C1"/>
    <w:rsid w:val="005A12E3"/>
    <w:rsid w:val="005A1307"/>
    <w:rsid w:val="005A1548"/>
    <w:rsid w:val="005A371D"/>
    <w:rsid w:val="005A385F"/>
    <w:rsid w:val="005A4642"/>
    <w:rsid w:val="005A4851"/>
    <w:rsid w:val="005A4B6B"/>
    <w:rsid w:val="005A4E02"/>
    <w:rsid w:val="005A4FD0"/>
    <w:rsid w:val="005A5C02"/>
    <w:rsid w:val="005A61DF"/>
    <w:rsid w:val="005A6614"/>
    <w:rsid w:val="005A66D1"/>
    <w:rsid w:val="005A708D"/>
    <w:rsid w:val="005A7559"/>
    <w:rsid w:val="005A7587"/>
    <w:rsid w:val="005A788F"/>
    <w:rsid w:val="005B0942"/>
    <w:rsid w:val="005B15EF"/>
    <w:rsid w:val="005B1ADB"/>
    <w:rsid w:val="005B1BDC"/>
    <w:rsid w:val="005B1C58"/>
    <w:rsid w:val="005B342A"/>
    <w:rsid w:val="005B37AA"/>
    <w:rsid w:val="005B37B4"/>
    <w:rsid w:val="005B4418"/>
    <w:rsid w:val="005B49FC"/>
    <w:rsid w:val="005B4B65"/>
    <w:rsid w:val="005B4C98"/>
    <w:rsid w:val="005B5529"/>
    <w:rsid w:val="005B645D"/>
    <w:rsid w:val="005B663F"/>
    <w:rsid w:val="005B68B6"/>
    <w:rsid w:val="005B6B95"/>
    <w:rsid w:val="005B707A"/>
    <w:rsid w:val="005B7160"/>
    <w:rsid w:val="005B73A6"/>
    <w:rsid w:val="005B768C"/>
    <w:rsid w:val="005C072E"/>
    <w:rsid w:val="005C0EE2"/>
    <w:rsid w:val="005C1691"/>
    <w:rsid w:val="005C19A6"/>
    <w:rsid w:val="005C33DE"/>
    <w:rsid w:val="005C3571"/>
    <w:rsid w:val="005C3DAD"/>
    <w:rsid w:val="005C4A16"/>
    <w:rsid w:val="005C4C1F"/>
    <w:rsid w:val="005C4D87"/>
    <w:rsid w:val="005C5B1F"/>
    <w:rsid w:val="005C5F97"/>
    <w:rsid w:val="005C6799"/>
    <w:rsid w:val="005C6E78"/>
    <w:rsid w:val="005C7036"/>
    <w:rsid w:val="005C7053"/>
    <w:rsid w:val="005D0181"/>
    <w:rsid w:val="005D1B22"/>
    <w:rsid w:val="005D1F87"/>
    <w:rsid w:val="005D247E"/>
    <w:rsid w:val="005D2797"/>
    <w:rsid w:val="005D2821"/>
    <w:rsid w:val="005D29AB"/>
    <w:rsid w:val="005D2AD9"/>
    <w:rsid w:val="005D487B"/>
    <w:rsid w:val="005D5199"/>
    <w:rsid w:val="005D569E"/>
    <w:rsid w:val="005D6275"/>
    <w:rsid w:val="005D6A20"/>
    <w:rsid w:val="005D6BC4"/>
    <w:rsid w:val="005D75A8"/>
    <w:rsid w:val="005D7CA0"/>
    <w:rsid w:val="005D7F63"/>
    <w:rsid w:val="005D7FD7"/>
    <w:rsid w:val="005E01D6"/>
    <w:rsid w:val="005E058B"/>
    <w:rsid w:val="005E05EA"/>
    <w:rsid w:val="005E0D2C"/>
    <w:rsid w:val="005E0FBF"/>
    <w:rsid w:val="005E1A94"/>
    <w:rsid w:val="005E1E5E"/>
    <w:rsid w:val="005E1EC8"/>
    <w:rsid w:val="005E1F76"/>
    <w:rsid w:val="005E2578"/>
    <w:rsid w:val="005E2858"/>
    <w:rsid w:val="005E320C"/>
    <w:rsid w:val="005E3644"/>
    <w:rsid w:val="005E3CF1"/>
    <w:rsid w:val="005E43D7"/>
    <w:rsid w:val="005E43D9"/>
    <w:rsid w:val="005E4D2B"/>
    <w:rsid w:val="005E4DFD"/>
    <w:rsid w:val="005E4E92"/>
    <w:rsid w:val="005E5326"/>
    <w:rsid w:val="005E549E"/>
    <w:rsid w:val="005E5E26"/>
    <w:rsid w:val="005E5F05"/>
    <w:rsid w:val="005E60DE"/>
    <w:rsid w:val="005E621A"/>
    <w:rsid w:val="005E6788"/>
    <w:rsid w:val="005E7894"/>
    <w:rsid w:val="005E78D5"/>
    <w:rsid w:val="005F048A"/>
    <w:rsid w:val="005F0A5C"/>
    <w:rsid w:val="005F0DF2"/>
    <w:rsid w:val="005F1192"/>
    <w:rsid w:val="005F1223"/>
    <w:rsid w:val="005F1569"/>
    <w:rsid w:val="005F1684"/>
    <w:rsid w:val="005F186F"/>
    <w:rsid w:val="005F20E7"/>
    <w:rsid w:val="005F2A09"/>
    <w:rsid w:val="005F30AF"/>
    <w:rsid w:val="005F3287"/>
    <w:rsid w:val="005F354D"/>
    <w:rsid w:val="005F36B8"/>
    <w:rsid w:val="005F41E6"/>
    <w:rsid w:val="005F4F63"/>
    <w:rsid w:val="005F50F8"/>
    <w:rsid w:val="005F57CD"/>
    <w:rsid w:val="005F5C60"/>
    <w:rsid w:val="005F65D7"/>
    <w:rsid w:val="005F7277"/>
    <w:rsid w:val="005F7432"/>
    <w:rsid w:val="0060015E"/>
    <w:rsid w:val="00600FF2"/>
    <w:rsid w:val="0060107B"/>
    <w:rsid w:val="00601744"/>
    <w:rsid w:val="00601EDB"/>
    <w:rsid w:val="00601EEB"/>
    <w:rsid w:val="0060324A"/>
    <w:rsid w:val="0060397E"/>
    <w:rsid w:val="00603B00"/>
    <w:rsid w:val="00603DF2"/>
    <w:rsid w:val="00604586"/>
    <w:rsid w:val="00604A3E"/>
    <w:rsid w:val="00604E98"/>
    <w:rsid w:val="006052EB"/>
    <w:rsid w:val="00605593"/>
    <w:rsid w:val="0060706C"/>
    <w:rsid w:val="00607A47"/>
    <w:rsid w:val="00607D49"/>
    <w:rsid w:val="00607E9C"/>
    <w:rsid w:val="00610586"/>
    <w:rsid w:val="00610A0E"/>
    <w:rsid w:val="00610D9A"/>
    <w:rsid w:val="00611ED2"/>
    <w:rsid w:val="0061253F"/>
    <w:rsid w:val="00613239"/>
    <w:rsid w:val="006133AF"/>
    <w:rsid w:val="00614D9F"/>
    <w:rsid w:val="00614F74"/>
    <w:rsid w:val="00615CF7"/>
    <w:rsid w:val="0061600A"/>
    <w:rsid w:val="00616417"/>
    <w:rsid w:val="0061657A"/>
    <w:rsid w:val="00616CA8"/>
    <w:rsid w:val="00617620"/>
    <w:rsid w:val="006177C3"/>
    <w:rsid w:val="00617CB1"/>
    <w:rsid w:val="00620141"/>
    <w:rsid w:val="006203C2"/>
    <w:rsid w:val="0062090B"/>
    <w:rsid w:val="00620CCA"/>
    <w:rsid w:val="00621035"/>
    <w:rsid w:val="0062159C"/>
    <w:rsid w:val="00621F49"/>
    <w:rsid w:val="00622077"/>
    <w:rsid w:val="00622880"/>
    <w:rsid w:val="00622A7B"/>
    <w:rsid w:val="00623647"/>
    <w:rsid w:val="00623D4B"/>
    <w:rsid w:val="006246EF"/>
    <w:rsid w:val="00624C5D"/>
    <w:rsid w:val="00625599"/>
    <w:rsid w:val="00625C14"/>
    <w:rsid w:val="0062648E"/>
    <w:rsid w:val="00627AF1"/>
    <w:rsid w:val="00627B99"/>
    <w:rsid w:val="00627E79"/>
    <w:rsid w:val="00631EC7"/>
    <w:rsid w:val="006335B0"/>
    <w:rsid w:val="00633D19"/>
    <w:rsid w:val="00633D42"/>
    <w:rsid w:val="00634056"/>
    <w:rsid w:val="0063414C"/>
    <w:rsid w:val="0063472A"/>
    <w:rsid w:val="00634CAD"/>
    <w:rsid w:val="00634E82"/>
    <w:rsid w:val="00636368"/>
    <w:rsid w:val="006363FA"/>
    <w:rsid w:val="00636979"/>
    <w:rsid w:val="006372D5"/>
    <w:rsid w:val="00637828"/>
    <w:rsid w:val="006379A7"/>
    <w:rsid w:val="00637EA1"/>
    <w:rsid w:val="00640115"/>
    <w:rsid w:val="00640237"/>
    <w:rsid w:val="0064124F"/>
    <w:rsid w:val="00641AB6"/>
    <w:rsid w:val="00642173"/>
    <w:rsid w:val="00642997"/>
    <w:rsid w:val="006436D0"/>
    <w:rsid w:val="00643F7D"/>
    <w:rsid w:val="0064437A"/>
    <w:rsid w:val="006455BD"/>
    <w:rsid w:val="00645DD3"/>
    <w:rsid w:val="00646410"/>
    <w:rsid w:val="0064650B"/>
    <w:rsid w:val="00646641"/>
    <w:rsid w:val="00646B2F"/>
    <w:rsid w:val="00646C99"/>
    <w:rsid w:val="00646FF5"/>
    <w:rsid w:val="00647366"/>
    <w:rsid w:val="00647CD3"/>
    <w:rsid w:val="0065022E"/>
    <w:rsid w:val="00650398"/>
    <w:rsid w:val="0065047A"/>
    <w:rsid w:val="006510E7"/>
    <w:rsid w:val="006514DB"/>
    <w:rsid w:val="00651D1E"/>
    <w:rsid w:val="006524CF"/>
    <w:rsid w:val="006526C0"/>
    <w:rsid w:val="00652AB2"/>
    <w:rsid w:val="00654F65"/>
    <w:rsid w:val="006556B0"/>
    <w:rsid w:val="006557F4"/>
    <w:rsid w:val="0065588A"/>
    <w:rsid w:val="00655983"/>
    <w:rsid w:val="00656065"/>
    <w:rsid w:val="006571CF"/>
    <w:rsid w:val="0065748E"/>
    <w:rsid w:val="00657934"/>
    <w:rsid w:val="00657A63"/>
    <w:rsid w:val="00660467"/>
    <w:rsid w:val="006604AF"/>
    <w:rsid w:val="006612B7"/>
    <w:rsid w:val="00661497"/>
    <w:rsid w:val="00661503"/>
    <w:rsid w:val="006617A5"/>
    <w:rsid w:val="00661EB0"/>
    <w:rsid w:val="0066235E"/>
    <w:rsid w:val="00662523"/>
    <w:rsid w:val="00662B0D"/>
    <w:rsid w:val="006631F5"/>
    <w:rsid w:val="00663E53"/>
    <w:rsid w:val="00663E9E"/>
    <w:rsid w:val="006644CF"/>
    <w:rsid w:val="006645B8"/>
    <w:rsid w:val="00665461"/>
    <w:rsid w:val="00665ABC"/>
    <w:rsid w:val="00666308"/>
    <w:rsid w:val="00666BB7"/>
    <w:rsid w:val="00666C4C"/>
    <w:rsid w:val="00667518"/>
    <w:rsid w:val="00670342"/>
    <w:rsid w:val="00670D33"/>
    <w:rsid w:val="0067157C"/>
    <w:rsid w:val="00671AFA"/>
    <w:rsid w:val="006722F6"/>
    <w:rsid w:val="0067238B"/>
    <w:rsid w:val="006725F0"/>
    <w:rsid w:val="00672A00"/>
    <w:rsid w:val="00672A27"/>
    <w:rsid w:val="00674135"/>
    <w:rsid w:val="00674DCE"/>
    <w:rsid w:val="00675104"/>
    <w:rsid w:val="00675A8E"/>
    <w:rsid w:val="00675D1F"/>
    <w:rsid w:val="00675F27"/>
    <w:rsid w:val="00676533"/>
    <w:rsid w:val="00676955"/>
    <w:rsid w:val="00676D3E"/>
    <w:rsid w:val="00677048"/>
    <w:rsid w:val="006774DE"/>
    <w:rsid w:val="0068046C"/>
    <w:rsid w:val="0068110C"/>
    <w:rsid w:val="006812C0"/>
    <w:rsid w:val="00681732"/>
    <w:rsid w:val="00681B7E"/>
    <w:rsid w:val="006828B7"/>
    <w:rsid w:val="00683085"/>
    <w:rsid w:val="0068311C"/>
    <w:rsid w:val="0068387C"/>
    <w:rsid w:val="00683942"/>
    <w:rsid w:val="00683ACE"/>
    <w:rsid w:val="00683E1A"/>
    <w:rsid w:val="006844C6"/>
    <w:rsid w:val="0068574F"/>
    <w:rsid w:val="00686222"/>
    <w:rsid w:val="00686C68"/>
    <w:rsid w:val="00686D9B"/>
    <w:rsid w:val="00686F04"/>
    <w:rsid w:val="00686F62"/>
    <w:rsid w:val="00687043"/>
    <w:rsid w:val="006872FC"/>
    <w:rsid w:val="00690B64"/>
    <w:rsid w:val="00691F51"/>
    <w:rsid w:val="00692328"/>
    <w:rsid w:val="0069241A"/>
    <w:rsid w:val="00693207"/>
    <w:rsid w:val="006935B9"/>
    <w:rsid w:val="00694848"/>
    <w:rsid w:val="00694C3D"/>
    <w:rsid w:val="00695224"/>
    <w:rsid w:val="00695584"/>
    <w:rsid w:val="00695AF5"/>
    <w:rsid w:val="00696667"/>
    <w:rsid w:val="00696EA4"/>
    <w:rsid w:val="00697A24"/>
    <w:rsid w:val="00697C1D"/>
    <w:rsid w:val="006A0902"/>
    <w:rsid w:val="006A0BAC"/>
    <w:rsid w:val="006A0DC0"/>
    <w:rsid w:val="006A1022"/>
    <w:rsid w:val="006A104A"/>
    <w:rsid w:val="006A158C"/>
    <w:rsid w:val="006A189A"/>
    <w:rsid w:val="006A1938"/>
    <w:rsid w:val="006A1B0F"/>
    <w:rsid w:val="006A1BD9"/>
    <w:rsid w:val="006A1CEB"/>
    <w:rsid w:val="006A1D13"/>
    <w:rsid w:val="006A20E5"/>
    <w:rsid w:val="006A231D"/>
    <w:rsid w:val="006A256B"/>
    <w:rsid w:val="006A28D6"/>
    <w:rsid w:val="006A2F27"/>
    <w:rsid w:val="006A333F"/>
    <w:rsid w:val="006A33B2"/>
    <w:rsid w:val="006A38CC"/>
    <w:rsid w:val="006A3A7F"/>
    <w:rsid w:val="006A3E23"/>
    <w:rsid w:val="006A48DE"/>
    <w:rsid w:val="006A4A68"/>
    <w:rsid w:val="006A4DFD"/>
    <w:rsid w:val="006A5013"/>
    <w:rsid w:val="006A5734"/>
    <w:rsid w:val="006A610B"/>
    <w:rsid w:val="006A6598"/>
    <w:rsid w:val="006A6C76"/>
    <w:rsid w:val="006A75E1"/>
    <w:rsid w:val="006A7DA2"/>
    <w:rsid w:val="006B04C5"/>
    <w:rsid w:val="006B07AC"/>
    <w:rsid w:val="006B09B1"/>
    <w:rsid w:val="006B1133"/>
    <w:rsid w:val="006B1298"/>
    <w:rsid w:val="006B1923"/>
    <w:rsid w:val="006B1CFA"/>
    <w:rsid w:val="006B260C"/>
    <w:rsid w:val="006B2E18"/>
    <w:rsid w:val="006B30BA"/>
    <w:rsid w:val="006B38D4"/>
    <w:rsid w:val="006B3D4C"/>
    <w:rsid w:val="006B445B"/>
    <w:rsid w:val="006B541F"/>
    <w:rsid w:val="006B5455"/>
    <w:rsid w:val="006B5DC9"/>
    <w:rsid w:val="006B65F2"/>
    <w:rsid w:val="006B66F8"/>
    <w:rsid w:val="006B6C8C"/>
    <w:rsid w:val="006B6CDF"/>
    <w:rsid w:val="006B7604"/>
    <w:rsid w:val="006B77FE"/>
    <w:rsid w:val="006B7869"/>
    <w:rsid w:val="006B7A32"/>
    <w:rsid w:val="006C0088"/>
    <w:rsid w:val="006C0A13"/>
    <w:rsid w:val="006C0CC8"/>
    <w:rsid w:val="006C19AD"/>
    <w:rsid w:val="006C1D0E"/>
    <w:rsid w:val="006C1FFC"/>
    <w:rsid w:val="006C2192"/>
    <w:rsid w:val="006C2227"/>
    <w:rsid w:val="006C2237"/>
    <w:rsid w:val="006C2A33"/>
    <w:rsid w:val="006C3391"/>
    <w:rsid w:val="006C3957"/>
    <w:rsid w:val="006C3C53"/>
    <w:rsid w:val="006C3CBA"/>
    <w:rsid w:val="006C3E30"/>
    <w:rsid w:val="006C3E96"/>
    <w:rsid w:val="006C4923"/>
    <w:rsid w:val="006C4AC7"/>
    <w:rsid w:val="006C511D"/>
    <w:rsid w:val="006C5D45"/>
    <w:rsid w:val="006C5F50"/>
    <w:rsid w:val="006D0435"/>
    <w:rsid w:val="006D05EF"/>
    <w:rsid w:val="006D0878"/>
    <w:rsid w:val="006D0BDD"/>
    <w:rsid w:val="006D0BE5"/>
    <w:rsid w:val="006D0CB8"/>
    <w:rsid w:val="006D0CDA"/>
    <w:rsid w:val="006D150F"/>
    <w:rsid w:val="006D231F"/>
    <w:rsid w:val="006D23E7"/>
    <w:rsid w:val="006D2762"/>
    <w:rsid w:val="006D2A1D"/>
    <w:rsid w:val="006D32D2"/>
    <w:rsid w:val="006D3696"/>
    <w:rsid w:val="006D3E7B"/>
    <w:rsid w:val="006D41C9"/>
    <w:rsid w:val="006D48F6"/>
    <w:rsid w:val="006D5920"/>
    <w:rsid w:val="006D59CA"/>
    <w:rsid w:val="006D5D86"/>
    <w:rsid w:val="006D6A01"/>
    <w:rsid w:val="006D7DAF"/>
    <w:rsid w:val="006E0126"/>
    <w:rsid w:val="006E0848"/>
    <w:rsid w:val="006E0FCC"/>
    <w:rsid w:val="006E1450"/>
    <w:rsid w:val="006E28B4"/>
    <w:rsid w:val="006E3494"/>
    <w:rsid w:val="006E42A9"/>
    <w:rsid w:val="006E4C76"/>
    <w:rsid w:val="006E556E"/>
    <w:rsid w:val="006E5C0D"/>
    <w:rsid w:val="006E67A9"/>
    <w:rsid w:val="006E6FF8"/>
    <w:rsid w:val="006E7584"/>
    <w:rsid w:val="006F0B48"/>
    <w:rsid w:val="006F0C51"/>
    <w:rsid w:val="006F1710"/>
    <w:rsid w:val="006F1869"/>
    <w:rsid w:val="006F1D0E"/>
    <w:rsid w:val="006F1F52"/>
    <w:rsid w:val="006F2368"/>
    <w:rsid w:val="006F2601"/>
    <w:rsid w:val="006F2B93"/>
    <w:rsid w:val="006F2C93"/>
    <w:rsid w:val="006F4258"/>
    <w:rsid w:val="006F45A3"/>
    <w:rsid w:val="006F4A3B"/>
    <w:rsid w:val="006F4DE0"/>
    <w:rsid w:val="006F525D"/>
    <w:rsid w:val="006F6278"/>
    <w:rsid w:val="006F7BB8"/>
    <w:rsid w:val="006F7F58"/>
    <w:rsid w:val="00700FC6"/>
    <w:rsid w:val="00701022"/>
    <w:rsid w:val="00701092"/>
    <w:rsid w:val="007016CB"/>
    <w:rsid w:val="0070184D"/>
    <w:rsid w:val="00701876"/>
    <w:rsid w:val="00701DDF"/>
    <w:rsid w:val="00702247"/>
    <w:rsid w:val="007033F1"/>
    <w:rsid w:val="00704AA2"/>
    <w:rsid w:val="00704B50"/>
    <w:rsid w:val="00704CBD"/>
    <w:rsid w:val="0070597A"/>
    <w:rsid w:val="007059E9"/>
    <w:rsid w:val="00705DC2"/>
    <w:rsid w:val="0070655B"/>
    <w:rsid w:val="007070B4"/>
    <w:rsid w:val="00707536"/>
    <w:rsid w:val="00707856"/>
    <w:rsid w:val="00707DE3"/>
    <w:rsid w:val="00710292"/>
    <w:rsid w:val="00713474"/>
    <w:rsid w:val="00713861"/>
    <w:rsid w:val="00714054"/>
    <w:rsid w:val="00714083"/>
    <w:rsid w:val="00714146"/>
    <w:rsid w:val="00715601"/>
    <w:rsid w:val="00716559"/>
    <w:rsid w:val="00716C9E"/>
    <w:rsid w:val="00717E16"/>
    <w:rsid w:val="00717FBA"/>
    <w:rsid w:val="007200AF"/>
    <w:rsid w:val="007205F0"/>
    <w:rsid w:val="0072127E"/>
    <w:rsid w:val="007215B3"/>
    <w:rsid w:val="00721719"/>
    <w:rsid w:val="00721E68"/>
    <w:rsid w:val="0072271B"/>
    <w:rsid w:val="00722DF7"/>
    <w:rsid w:val="00723109"/>
    <w:rsid w:val="00723C90"/>
    <w:rsid w:val="007240BD"/>
    <w:rsid w:val="0072460F"/>
    <w:rsid w:val="00724702"/>
    <w:rsid w:val="007247CF"/>
    <w:rsid w:val="00724AD9"/>
    <w:rsid w:val="007258FF"/>
    <w:rsid w:val="00725EFC"/>
    <w:rsid w:val="00725FAB"/>
    <w:rsid w:val="007264FB"/>
    <w:rsid w:val="00727237"/>
    <w:rsid w:val="007272DA"/>
    <w:rsid w:val="007274F7"/>
    <w:rsid w:val="00730966"/>
    <w:rsid w:val="00730B23"/>
    <w:rsid w:val="00731614"/>
    <w:rsid w:val="007325D2"/>
    <w:rsid w:val="00732C34"/>
    <w:rsid w:val="007330F1"/>
    <w:rsid w:val="00733153"/>
    <w:rsid w:val="007338D1"/>
    <w:rsid w:val="00733B22"/>
    <w:rsid w:val="007347A2"/>
    <w:rsid w:val="00734D7F"/>
    <w:rsid w:val="00734F3D"/>
    <w:rsid w:val="007356DE"/>
    <w:rsid w:val="007356EE"/>
    <w:rsid w:val="00735C72"/>
    <w:rsid w:val="007362C7"/>
    <w:rsid w:val="00736789"/>
    <w:rsid w:val="007367CA"/>
    <w:rsid w:val="00736C6D"/>
    <w:rsid w:val="007374C5"/>
    <w:rsid w:val="007377B5"/>
    <w:rsid w:val="00737C0A"/>
    <w:rsid w:val="00737CAB"/>
    <w:rsid w:val="00740187"/>
    <w:rsid w:val="0074160D"/>
    <w:rsid w:val="00741C58"/>
    <w:rsid w:val="00741C5E"/>
    <w:rsid w:val="00743262"/>
    <w:rsid w:val="007444BF"/>
    <w:rsid w:val="007444FA"/>
    <w:rsid w:val="0074533B"/>
    <w:rsid w:val="00745BD2"/>
    <w:rsid w:val="007460BF"/>
    <w:rsid w:val="00746164"/>
    <w:rsid w:val="007463BC"/>
    <w:rsid w:val="00746A22"/>
    <w:rsid w:val="00746BCE"/>
    <w:rsid w:val="00746C60"/>
    <w:rsid w:val="00746F94"/>
    <w:rsid w:val="00746FB8"/>
    <w:rsid w:val="00746FC8"/>
    <w:rsid w:val="00747235"/>
    <w:rsid w:val="00747C97"/>
    <w:rsid w:val="00747CEF"/>
    <w:rsid w:val="0075028B"/>
    <w:rsid w:val="00750D85"/>
    <w:rsid w:val="00750D90"/>
    <w:rsid w:val="00751041"/>
    <w:rsid w:val="00751196"/>
    <w:rsid w:val="00752B74"/>
    <w:rsid w:val="00752DC9"/>
    <w:rsid w:val="00752E07"/>
    <w:rsid w:val="00752FEA"/>
    <w:rsid w:val="00753B52"/>
    <w:rsid w:val="00753BD5"/>
    <w:rsid w:val="007540D2"/>
    <w:rsid w:val="0075457C"/>
    <w:rsid w:val="00755213"/>
    <w:rsid w:val="0075523F"/>
    <w:rsid w:val="00755E79"/>
    <w:rsid w:val="00756916"/>
    <w:rsid w:val="00756A61"/>
    <w:rsid w:val="00756F86"/>
    <w:rsid w:val="0075735D"/>
    <w:rsid w:val="0075777A"/>
    <w:rsid w:val="0076013E"/>
    <w:rsid w:val="00760921"/>
    <w:rsid w:val="0076128E"/>
    <w:rsid w:val="00761A68"/>
    <w:rsid w:val="0076266C"/>
    <w:rsid w:val="0076297E"/>
    <w:rsid w:val="0076334C"/>
    <w:rsid w:val="007645ED"/>
    <w:rsid w:val="00764D94"/>
    <w:rsid w:val="00765002"/>
    <w:rsid w:val="007668A5"/>
    <w:rsid w:val="00766ECB"/>
    <w:rsid w:val="007675F7"/>
    <w:rsid w:val="0077091F"/>
    <w:rsid w:val="00771266"/>
    <w:rsid w:val="00771B21"/>
    <w:rsid w:val="00772036"/>
    <w:rsid w:val="0077203D"/>
    <w:rsid w:val="00772114"/>
    <w:rsid w:val="00772150"/>
    <w:rsid w:val="007721E3"/>
    <w:rsid w:val="00772B31"/>
    <w:rsid w:val="00773546"/>
    <w:rsid w:val="0077367F"/>
    <w:rsid w:val="00773B4A"/>
    <w:rsid w:val="00773B71"/>
    <w:rsid w:val="00774BE0"/>
    <w:rsid w:val="00775496"/>
    <w:rsid w:val="00775850"/>
    <w:rsid w:val="00775910"/>
    <w:rsid w:val="0077637F"/>
    <w:rsid w:val="00776534"/>
    <w:rsid w:val="007768AE"/>
    <w:rsid w:val="00776F7B"/>
    <w:rsid w:val="00777322"/>
    <w:rsid w:val="00777C1D"/>
    <w:rsid w:val="00777C6B"/>
    <w:rsid w:val="00780CFA"/>
    <w:rsid w:val="00780D57"/>
    <w:rsid w:val="00780F67"/>
    <w:rsid w:val="007811DE"/>
    <w:rsid w:val="007818C5"/>
    <w:rsid w:val="00781EF6"/>
    <w:rsid w:val="00781F40"/>
    <w:rsid w:val="00782B3B"/>
    <w:rsid w:val="00782CE7"/>
    <w:rsid w:val="00782F5F"/>
    <w:rsid w:val="00783824"/>
    <w:rsid w:val="0078406F"/>
    <w:rsid w:val="00784306"/>
    <w:rsid w:val="00784450"/>
    <w:rsid w:val="00784DDD"/>
    <w:rsid w:val="0078528C"/>
    <w:rsid w:val="00785434"/>
    <w:rsid w:val="007854AB"/>
    <w:rsid w:val="00785789"/>
    <w:rsid w:val="007857B5"/>
    <w:rsid w:val="00785923"/>
    <w:rsid w:val="00785F9C"/>
    <w:rsid w:val="007860FC"/>
    <w:rsid w:val="00786372"/>
    <w:rsid w:val="00786D03"/>
    <w:rsid w:val="00786EFE"/>
    <w:rsid w:val="007874E8"/>
    <w:rsid w:val="00787E46"/>
    <w:rsid w:val="00790248"/>
    <w:rsid w:val="00790C65"/>
    <w:rsid w:val="007914C4"/>
    <w:rsid w:val="00791B4E"/>
    <w:rsid w:val="0079289A"/>
    <w:rsid w:val="007929D3"/>
    <w:rsid w:val="00792DF5"/>
    <w:rsid w:val="00795325"/>
    <w:rsid w:val="0079538B"/>
    <w:rsid w:val="0079543C"/>
    <w:rsid w:val="00795707"/>
    <w:rsid w:val="007958A2"/>
    <w:rsid w:val="00795A32"/>
    <w:rsid w:val="00795C4E"/>
    <w:rsid w:val="00795C74"/>
    <w:rsid w:val="00796150"/>
    <w:rsid w:val="007970DC"/>
    <w:rsid w:val="00797438"/>
    <w:rsid w:val="00797A25"/>
    <w:rsid w:val="00797E4A"/>
    <w:rsid w:val="007A03B1"/>
    <w:rsid w:val="007A0520"/>
    <w:rsid w:val="007A0605"/>
    <w:rsid w:val="007A09DF"/>
    <w:rsid w:val="007A0E2F"/>
    <w:rsid w:val="007A10E6"/>
    <w:rsid w:val="007A1136"/>
    <w:rsid w:val="007A20EA"/>
    <w:rsid w:val="007A241F"/>
    <w:rsid w:val="007A26FB"/>
    <w:rsid w:val="007A2B5B"/>
    <w:rsid w:val="007A3506"/>
    <w:rsid w:val="007A372A"/>
    <w:rsid w:val="007A3BD1"/>
    <w:rsid w:val="007A4153"/>
    <w:rsid w:val="007A45B6"/>
    <w:rsid w:val="007A46C9"/>
    <w:rsid w:val="007A51CA"/>
    <w:rsid w:val="007A530D"/>
    <w:rsid w:val="007A5CE6"/>
    <w:rsid w:val="007A6113"/>
    <w:rsid w:val="007A6DFA"/>
    <w:rsid w:val="007A7B86"/>
    <w:rsid w:val="007B081D"/>
    <w:rsid w:val="007B1DED"/>
    <w:rsid w:val="007B3EEC"/>
    <w:rsid w:val="007B3F83"/>
    <w:rsid w:val="007B3FFF"/>
    <w:rsid w:val="007B47BA"/>
    <w:rsid w:val="007B4B17"/>
    <w:rsid w:val="007B62F5"/>
    <w:rsid w:val="007B7652"/>
    <w:rsid w:val="007B7ACF"/>
    <w:rsid w:val="007C07D2"/>
    <w:rsid w:val="007C0C41"/>
    <w:rsid w:val="007C0E51"/>
    <w:rsid w:val="007C0F7B"/>
    <w:rsid w:val="007C12FC"/>
    <w:rsid w:val="007C1A56"/>
    <w:rsid w:val="007C22A2"/>
    <w:rsid w:val="007C2322"/>
    <w:rsid w:val="007C2370"/>
    <w:rsid w:val="007C26B9"/>
    <w:rsid w:val="007C37D2"/>
    <w:rsid w:val="007C3B53"/>
    <w:rsid w:val="007C4B16"/>
    <w:rsid w:val="007C51B9"/>
    <w:rsid w:val="007C573D"/>
    <w:rsid w:val="007C5745"/>
    <w:rsid w:val="007C5BAA"/>
    <w:rsid w:val="007C5EB7"/>
    <w:rsid w:val="007C79CF"/>
    <w:rsid w:val="007C7BAE"/>
    <w:rsid w:val="007D02AD"/>
    <w:rsid w:val="007D04E6"/>
    <w:rsid w:val="007D06EE"/>
    <w:rsid w:val="007D0BF1"/>
    <w:rsid w:val="007D0D57"/>
    <w:rsid w:val="007D1936"/>
    <w:rsid w:val="007D1D33"/>
    <w:rsid w:val="007D2640"/>
    <w:rsid w:val="007D2656"/>
    <w:rsid w:val="007D27C9"/>
    <w:rsid w:val="007D2D2D"/>
    <w:rsid w:val="007D2FDA"/>
    <w:rsid w:val="007D3048"/>
    <w:rsid w:val="007D3809"/>
    <w:rsid w:val="007D3ABD"/>
    <w:rsid w:val="007D45FE"/>
    <w:rsid w:val="007D4A85"/>
    <w:rsid w:val="007D4BBF"/>
    <w:rsid w:val="007D52F4"/>
    <w:rsid w:val="007D53E8"/>
    <w:rsid w:val="007D5CFE"/>
    <w:rsid w:val="007D5FFC"/>
    <w:rsid w:val="007D7965"/>
    <w:rsid w:val="007E03E4"/>
    <w:rsid w:val="007E0B5E"/>
    <w:rsid w:val="007E0EDD"/>
    <w:rsid w:val="007E0F1F"/>
    <w:rsid w:val="007E1165"/>
    <w:rsid w:val="007E1365"/>
    <w:rsid w:val="007E1EBF"/>
    <w:rsid w:val="007E218F"/>
    <w:rsid w:val="007E21CA"/>
    <w:rsid w:val="007E24F9"/>
    <w:rsid w:val="007E2D10"/>
    <w:rsid w:val="007E31D2"/>
    <w:rsid w:val="007E3300"/>
    <w:rsid w:val="007E3899"/>
    <w:rsid w:val="007E3E5B"/>
    <w:rsid w:val="007E429F"/>
    <w:rsid w:val="007E4431"/>
    <w:rsid w:val="007E479E"/>
    <w:rsid w:val="007E4DF2"/>
    <w:rsid w:val="007E5533"/>
    <w:rsid w:val="007E5555"/>
    <w:rsid w:val="007E5691"/>
    <w:rsid w:val="007E56AD"/>
    <w:rsid w:val="007E56DD"/>
    <w:rsid w:val="007E5E98"/>
    <w:rsid w:val="007E614B"/>
    <w:rsid w:val="007E6236"/>
    <w:rsid w:val="007E6353"/>
    <w:rsid w:val="007E637E"/>
    <w:rsid w:val="007E6C96"/>
    <w:rsid w:val="007E7BB8"/>
    <w:rsid w:val="007E7BEA"/>
    <w:rsid w:val="007F0400"/>
    <w:rsid w:val="007F040C"/>
    <w:rsid w:val="007F068D"/>
    <w:rsid w:val="007F0A9F"/>
    <w:rsid w:val="007F12BA"/>
    <w:rsid w:val="007F1B06"/>
    <w:rsid w:val="007F215B"/>
    <w:rsid w:val="007F268D"/>
    <w:rsid w:val="007F2907"/>
    <w:rsid w:val="007F2930"/>
    <w:rsid w:val="007F2AD8"/>
    <w:rsid w:val="007F2BEA"/>
    <w:rsid w:val="007F345B"/>
    <w:rsid w:val="007F36BA"/>
    <w:rsid w:val="007F3919"/>
    <w:rsid w:val="007F497F"/>
    <w:rsid w:val="007F5124"/>
    <w:rsid w:val="007F53C0"/>
    <w:rsid w:val="007F577C"/>
    <w:rsid w:val="007F6A3A"/>
    <w:rsid w:val="007F6AC2"/>
    <w:rsid w:val="00800E47"/>
    <w:rsid w:val="008011A2"/>
    <w:rsid w:val="00801AB1"/>
    <w:rsid w:val="00802383"/>
    <w:rsid w:val="008024E5"/>
    <w:rsid w:val="00802C82"/>
    <w:rsid w:val="008033B8"/>
    <w:rsid w:val="008033C1"/>
    <w:rsid w:val="00803689"/>
    <w:rsid w:val="00803C2E"/>
    <w:rsid w:val="00803D71"/>
    <w:rsid w:val="00803DDC"/>
    <w:rsid w:val="00803EBA"/>
    <w:rsid w:val="0080498C"/>
    <w:rsid w:val="008049DB"/>
    <w:rsid w:val="008054B4"/>
    <w:rsid w:val="0080557B"/>
    <w:rsid w:val="00805B7B"/>
    <w:rsid w:val="00805D34"/>
    <w:rsid w:val="00806393"/>
    <w:rsid w:val="00806FF0"/>
    <w:rsid w:val="00810A80"/>
    <w:rsid w:val="00811009"/>
    <w:rsid w:val="00811082"/>
    <w:rsid w:val="00812CAB"/>
    <w:rsid w:val="00813405"/>
    <w:rsid w:val="0081357E"/>
    <w:rsid w:val="00813C9D"/>
    <w:rsid w:val="00814F99"/>
    <w:rsid w:val="008155EC"/>
    <w:rsid w:val="00815C51"/>
    <w:rsid w:val="00815F8F"/>
    <w:rsid w:val="00816062"/>
    <w:rsid w:val="008169BD"/>
    <w:rsid w:val="00816BEF"/>
    <w:rsid w:val="00816D29"/>
    <w:rsid w:val="00817062"/>
    <w:rsid w:val="008179EA"/>
    <w:rsid w:val="00817F99"/>
    <w:rsid w:val="0082025A"/>
    <w:rsid w:val="008207E2"/>
    <w:rsid w:val="0082096A"/>
    <w:rsid w:val="00820DEF"/>
    <w:rsid w:val="008210EA"/>
    <w:rsid w:val="00821B46"/>
    <w:rsid w:val="008222AD"/>
    <w:rsid w:val="00822512"/>
    <w:rsid w:val="00822561"/>
    <w:rsid w:val="008225F9"/>
    <w:rsid w:val="00822D3C"/>
    <w:rsid w:val="00822FFE"/>
    <w:rsid w:val="008230A0"/>
    <w:rsid w:val="00823691"/>
    <w:rsid w:val="008239AF"/>
    <w:rsid w:val="00823F26"/>
    <w:rsid w:val="00824448"/>
    <w:rsid w:val="00824A7C"/>
    <w:rsid w:val="0082530D"/>
    <w:rsid w:val="00825530"/>
    <w:rsid w:val="00827280"/>
    <w:rsid w:val="008275A6"/>
    <w:rsid w:val="00827773"/>
    <w:rsid w:val="00827B06"/>
    <w:rsid w:val="00827E2A"/>
    <w:rsid w:val="00830148"/>
    <w:rsid w:val="00830A50"/>
    <w:rsid w:val="00830AF2"/>
    <w:rsid w:val="00830BFC"/>
    <w:rsid w:val="00830D20"/>
    <w:rsid w:val="00830EAB"/>
    <w:rsid w:val="008310D2"/>
    <w:rsid w:val="00831937"/>
    <w:rsid w:val="00831F24"/>
    <w:rsid w:val="00832029"/>
    <w:rsid w:val="00832458"/>
    <w:rsid w:val="00832573"/>
    <w:rsid w:val="00832601"/>
    <w:rsid w:val="00832C8A"/>
    <w:rsid w:val="00832DD9"/>
    <w:rsid w:val="00833045"/>
    <w:rsid w:val="0083478D"/>
    <w:rsid w:val="0083687A"/>
    <w:rsid w:val="008368D4"/>
    <w:rsid w:val="0083775C"/>
    <w:rsid w:val="00837831"/>
    <w:rsid w:val="008400CE"/>
    <w:rsid w:val="00841487"/>
    <w:rsid w:val="0084170D"/>
    <w:rsid w:val="008425E8"/>
    <w:rsid w:val="00842ACC"/>
    <w:rsid w:val="00842BD7"/>
    <w:rsid w:val="008430B9"/>
    <w:rsid w:val="008443F1"/>
    <w:rsid w:val="008449F3"/>
    <w:rsid w:val="00844AC8"/>
    <w:rsid w:val="0084510F"/>
    <w:rsid w:val="0084544D"/>
    <w:rsid w:val="008454E1"/>
    <w:rsid w:val="00845E68"/>
    <w:rsid w:val="008460C4"/>
    <w:rsid w:val="00846367"/>
    <w:rsid w:val="008469B2"/>
    <w:rsid w:val="00847032"/>
    <w:rsid w:val="008472DB"/>
    <w:rsid w:val="008476CA"/>
    <w:rsid w:val="00850E12"/>
    <w:rsid w:val="00850E57"/>
    <w:rsid w:val="0085101E"/>
    <w:rsid w:val="00852470"/>
    <w:rsid w:val="008524EA"/>
    <w:rsid w:val="0085254F"/>
    <w:rsid w:val="00852846"/>
    <w:rsid w:val="008538E8"/>
    <w:rsid w:val="00854CBF"/>
    <w:rsid w:val="00855C0E"/>
    <w:rsid w:val="00855CB8"/>
    <w:rsid w:val="00856419"/>
    <w:rsid w:val="00856618"/>
    <w:rsid w:val="0085667A"/>
    <w:rsid w:val="008566CA"/>
    <w:rsid w:val="0085682D"/>
    <w:rsid w:val="008568C5"/>
    <w:rsid w:val="00856B2E"/>
    <w:rsid w:val="008576E8"/>
    <w:rsid w:val="008610C6"/>
    <w:rsid w:val="008617C0"/>
    <w:rsid w:val="00861804"/>
    <w:rsid w:val="00861E0D"/>
    <w:rsid w:val="00862480"/>
    <w:rsid w:val="00862584"/>
    <w:rsid w:val="00862D18"/>
    <w:rsid w:val="0086305F"/>
    <w:rsid w:val="008632E4"/>
    <w:rsid w:val="008637BB"/>
    <w:rsid w:val="008638FB"/>
    <w:rsid w:val="008641A3"/>
    <w:rsid w:val="00864BA7"/>
    <w:rsid w:val="00864FA0"/>
    <w:rsid w:val="00864FD5"/>
    <w:rsid w:val="008650CB"/>
    <w:rsid w:val="00867216"/>
    <w:rsid w:val="0086743B"/>
    <w:rsid w:val="00867EF6"/>
    <w:rsid w:val="00870CEF"/>
    <w:rsid w:val="0087154B"/>
    <w:rsid w:val="00871579"/>
    <w:rsid w:val="00871793"/>
    <w:rsid w:val="00871B86"/>
    <w:rsid w:val="00872962"/>
    <w:rsid w:val="008729E8"/>
    <w:rsid w:val="008731BF"/>
    <w:rsid w:val="00873A05"/>
    <w:rsid w:val="00873C79"/>
    <w:rsid w:val="008742B8"/>
    <w:rsid w:val="00874AFA"/>
    <w:rsid w:val="00874BE6"/>
    <w:rsid w:val="00874BEF"/>
    <w:rsid w:val="00874C43"/>
    <w:rsid w:val="00874C88"/>
    <w:rsid w:val="00875044"/>
    <w:rsid w:val="008752CF"/>
    <w:rsid w:val="008752D5"/>
    <w:rsid w:val="00875D1B"/>
    <w:rsid w:val="00876093"/>
    <w:rsid w:val="0087742A"/>
    <w:rsid w:val="008774B2"/>
    <w:rsid w:val="00877570"/>
    <w:rsid w:val="008815C0"/>
    <w:rsid w:val="00881780"/>
    <w:rsid w:val="0088250C"/>
    <w:rsid w:val="008832BB"/>
    <w:rsid w:val="00884182"/>
    <w:rsid w:val="008844CC"/>
    <w:rsid w:val="00884DE8"/>
    <w:rsid w:val="00884F1F"/>
    <w:rsid w:val="0088512A"/>
    <w:rsid w:val="008864C3"/>
    <w:rsid w:val="00886B83"/>
    <w:rsid w:val="00886EC0"/>
    <w:rsid w:val="00887272"/>
    <w:rsid w:val="008877DB"/>
    <w:rsid w:val="00887AA2"/>
    <w:rsid w:val="008900AB"/>
    <w:rsid w:val="0089018B"/>
    <w:rsid w:val="00890AC9"/>
    <w:rsid w:val="008916E6"/>
    <w:rsid w:val="00891B0F"/>
    <w:rsid w:val="00892147"/>
    <w:rsid w:val="0089263D"/>
    <w:rsid w:val="008926B9"/>
    <w:rsid w:val="00892B86"/>
    <w:rsid w:val="00892BD6"/>
    <w:rsid w:val="008935B1"/>
    <w:rsid w:val="00893F4C"/>
    <w:rsid w:val="008940AA"/>
    <w:rsid w:val="00894579"/>
    <w:rsid w:val="00894649"/>
    <w:rsid w:val="00895364"/>
    <w:rsid w:val="0089570D"/>
    <w:rsid w:val="008959FD"/>
    <w:rsid w:val="00895C6B"/>
    <w:rsid w:val="00895F61"/>
    <w:rsid w:val="00896D0A"/>
    <w:rsid w:val="0089751D"/>
    <w:rsid w:val="00897A46"/>
    <w:rsid w:val="008A0126"/>
    <w:rsid w:val="008A07C5"/>
    <w:rsid w:val="008A0954"/>
    <w:rsid w:val="008A0A8C"/>
    <w:rsid w:val="008A0D61"/>
    <w:rsid w:val="008A1808"/>
    <w:rsid w:val="008A241B"/>
    <w:rsid w:val="008A2A96"/>
    <w:rsid w:val="008A3F58"/>
    <w:rsid w:val="008A4499"/>
    <w:rsid w:val="008A531F"/>
    <w:rsid w:val="008A596A"/>
    <w:rsid w:val="008A59F2"/>
    <w:rsid w:val="008A5DAC"/>
    <w:rsid w:val="008A636F"/>
    <w:rsid w:val="008A6F31"/>
    <w:rsid w:val="008A7065"/>
    <w:rsid w:val="008A78FE"/>
    <w:rsid w:val="008A79F4"/>
    <w:rsid w:val="008A7EC2"/>
    <w:rsid w:val="008B0E4F"/>
    <w:rsid w:val="008B11DE"/>
    <w:rsid w:val="008B1807"/>
    <w:rsid w:val="008B1874"/>
    <w:rsid w:val="008B2637"/>
    <w:rsid w:val="008B2706"/>
    <w:rsid w:val="008B2D1E"/>
    <w:rsid w:val="008B3114"/>
    <w:rsid w:val="008B319C"/>
    <w:rsid w:val="008B31E9"/>
    <w:rsid w:val="008B3E6B"/>
    <w:rsid w:val="008B410C"/>
    <w:rsid w:val="008B4390"/>
    <w:rsid w:val="008B4AED"/>
    <w:rsid w:val="008B4F99"/>
    <w:rsid w:val="008B5768"/>
    <w:rsid w:val="008B591C"/>
    <w:rsid w:val="008B5B1F"/>
    <w:rsid w:val="008B5F93"/>
    <w:rsid w:val="008B5FD5"/>
    <w:rsid w:val="008B63BB"/>
    <w:rsid w:val="008B6948"/>
    <w:rsid w:val="008B6A7F"/>
    <w:rsid w:val="008B6DA0"/>
    <w:rsid w:val="008B6E0E"/>
    <w:rsid w:val="008B6E62"/>
    <w:rsid w:val="008B6E85"/>
    <w:rsid w:val="008B761D"/>
    <w:rsid w:val="008B7C4A"/>
    <w:rsid w:val="008C0190"/>
    <w:rsid w:val="008C01FF"/>
    <w:rsid w:val="008C0A9D"/>
    <w:rsid w:val="008C0AFD"/>
    <w:rsid w:val="008C17E1"/>
    <w:rsid w:val="008C1961"/>
    <w:rsid w:val="008C32C7"/>
    <w:rsid w:val="008C44A7"/>
    <w:rsid w:val="008C455A"/>
    <w:rsid w:val="008C4CA8"/>
    <w:rsid w:val="008C4EDA"/>
    <w:rsid w:val="008C5305"/>
    <w:rsid w:val="008C5566"/>
    <w:rsid w:val="008C562A"/>
    <w:rsid w:val="008C5863"/>
    <w:rsid w:val="008C6621"/>
    <w:rsid w:val="008C69A9"/>
    <w:rsid w:val="008C6D7A"/>
    <w:rsid w:val="008C7124"/>
    <w:rsid w:val="008C713E"/>
    <w:rsid w:val="008C794E"/>
    <w:rsid w:val="008C7B9B"/>
    <w:rsid w:val="008C7FF7"/>
    <w:rsid w:val="008D07A1"/>
    <w:rsid w:val="008D0D6B"/>
    <w:rsid w:val="008D0E73"/>
    <w:rsid w:val="008D1279"/>
    <w:rsid w:val="008D14B9"/>
    <w:rsid w:val="008D1648"/>
    <w:rsid w:val="008D16DD"/>
    <w:rsid w:val="008D2745"/>
    <w:rsid w:val="008D2A84"/>
    <w:rsid w:val="008D3C40"/>
    <w:rsid w:val="008D406D"/>
    <w:rsid w:val="008D4D1D"/>
    <w:rsid w:val="008D50BF"/>
    <w:rsid w:val="008D5D67"/>
    <w:rsid w:val="008D5F2F"/>
    <w:rsid w:val="008D6448"/>
    <w:rsid w:val="008D66D8"/>
    <w:rsid w:val="008D682A"/>
    <w:rsid w:val="008D751E"/>
    <w:rsid w:val="008D7E7E"/>
    <w:rsid w:val="008E02A6"/>
    <w:rsid w:val="008E02FA"/>
    <w:rsid w:val="008E1751"/>
    <w:rsid w:val="008E1873"/>
    <w:rsid w:val="008E1922"/>
    <w:rsid w:val="008E1CD3"/>
    <w:rsid w:val="008E1F25"/>
    <w:rsid w:val="008E27CB"/>
    <w:rsid w:val="008E2AE3"/>
    <w:rsid w:val="008E449D"/>
    <w:rsid w:val="008E4F42"/>
    <w:rsid w:val="008E5072"/>
    <w:rsid w:val="008E57B4"/>
    <w:rsid w:val="008E58A8"/>
    <w:rsid w:val="008E5A2C"/>
    <w:rsid w:val="008E6374"/>
    <w:rsid w:val="008E6791"/>
    <w:rsid w:val="008E7015"/>
    <w:rsid w:val="008E72A7"/>
    <w:rsid w:val="008E7341"/>
    <w:rsid w:val="008E7C43"/>
    <w:rsid w:val="008F0232"/>
    <w:rsid w:val="008F04AE"/>
    <w:rsid w:val="008F0682"/>
    <w:rsid w:val="008F06E3"/>
    <w:rsid w:val="008F1581"/>
    <w:rsid w:val="008F23FE"/>
    <w:rsid w:val="008F279E"/>
    <w:rsid w:val="008F2820"/>
    <w:rsid w:val="008F2C96"/>
    <w:rsid w:val="008F3767"/>
    <w:rsid w:val="008F3AB4"/>
    <w:rsid w:val="008F432B"/>
    <w:rsid w:val="008F43F9"/>
    <w:rsid w:val="008F4452"/>
    <w:rsid w:val="008F4F69"/>
    <w:rsid w:val="008F4FFD"/>
    <w:rsid w:val="008F53DF"/>
    <w:rsid w:val="008F54DD"/>
    <w:rsid w:val="008F6E39"/>
    <w:rsid w:val="008F72A3"/>
    <w:rsid w:val="008F7725"/>
    <w:rsid w:val="00900327"/>
    <w:rsid w:val="00900473"/>
    <w:rsid w:val="009007BB"/>
    <w:rsid w:val="00900ED9"/>
    <w:rsid w:val="009013F6"/>
    <w:rsid w:val="00901880"/>
    <w:rsid w:val="009018CE"/>
    <w:rsid w:val="00901D16"/>
    <w:rsid w:val="00901EB2"/>
    <w:rsid w:val="00902AA5"/>
    <w:rsid w:val="00904000"/>
    <w:rsid w:val="00904F14"/>
    <w:rsid w:val="0090562E"/>
    <w:rsid w:val="00905A66"/>
    <w:rsid w:val="00905DB4"/>
    <w:rsid w:val="00905F41"/>
    <w:rsid w:val="00906446"/>
    <w:rsid w:val="00906459"/>
    <w:rsid w:val="009068B9"/>
    <w:rsid w:val="00906C94"/>
    <w:rsid w:val="009071BB"/>
    <w:rsid w:val="00910402"/>
    <w:rsid w:val="00911100"/>
    <w:rsid w:val="00911F3B"/>
    <w:rsid w:val="00912020"/>
    <w:rsid w:val="009130F8"/>
    <w:rsid w:val="00913249"/>
    <w:rsid w:val="00913494"/>
    <w:rsid w:val="00913699"/>
    <w:rsid w:val="00913C46"/>
    <w:rsid w:val="00913E4F"/>
    <w:rsid w:val="00913F80"/>
    <w:rsid w:val="009144AB"/>
    <w:rsid w:val="009144D5"/>
    <w:rsid w:val="00914654"/>
    <w:rsid w:val="00914EC1"/>
    <w:rsid w:val="00914F50"/>
    <w:rsid w:val="009152A9"/>
    <w:rsid w:val="00915CC4"/>
    <w:rsid w:val="00916161"/>
    <w:rsid w:val="00916292"/>
    <w:rsid w:val="009175C2"/>
    <w:rsid w:val="0091789A"/>
    <w:rsid w:val="00917D64"/>
    <w:rsid w:val="0092251C"/>
    <w:rsid w:val="009226C5"/>
    <w:rsid w:val="009229C9"/>
    <w:rsid w:val="0092357A"/>
    <w:rsid w:val="00923D27"/>
    <w:rsid w:val="0092402B"/>
    <w:rsid w:val="00924436"/>
    <w:rsid w:val="00924A9F"/>
    <w:rsid w:val="00925042"/>
    <w:rsid w:val="009251E0"/>
    <w:rsid w:val="009257E0"/>
    <w:rsid w:val="0092609C"/>
    <w:rsid w:val="009269BD"/>
    <w:rsid w:val="00926AA3"/>
    <w:rsid w:val="00926E00"/>
    <w:rsid w:val="00926E34"/>
    <w:rsid w:val="0093031B"/>
    <w:rsid w:val="00930B44"/>
    <w:rsid w:val="00931225"/>
    <w:rsid w:val="0093126B"/>
    <w:rsid w:val="0093128F"/>
    <w:rsid w:val="00931D72"/>
    <w:rsid w:val="00932256"/>
    <w:rsid w:val="00932288"/>
    <w:rsid w:val="00932774"/>
    <w:rsid w:val="00932A7C"/>
    <w:rsid w:val="0093324D"/>
    <w:rsid w:val="00933603"/>
    <w:rsid w:val="00933FE7"/>
    <w:rsid w:val="00934680"/>
    <w:rsid w:val="009350DA"/>
    <w:rsid w:val="0093570B"/>
    <w:rsid w:val="009357E4"/>
    <w:rsid w:val="0093646B"/>
    <w:rsid w:val="0093791B"/>
    <w:rsid w:val="00940D6C"/>
    <w:rsid w:val="00941303"/>
    <w:rsid w:val="0094165E"/>
    <w:rsid w:val="00941E8B"/>
    <w:rsid w:val="00941FD2"/>
    <w:rsid w:val="009429B6"/>
    <w:rsid w:val="00942C74"/>
    <w:rsid w:val="009443AE"/>
    <w:rsid w:val="00944B51"/>
    <w:rsid w:val="00944BA6"/>
    <w:rsid w:val="00944CFB"/>
    <w:rsid w:val="00944E19"/>
    <w:rsid w:val="00944F50"/>
    <w:rsid w:val="00945199"/>
    <w:rsid w:val="009457AA"/>
    <w:rsid w:val="00945A29"/>
    <w:rsid w:val="009463D5"/>
    <w:rsid w:val="00946797"/>
    <w:rsid w:val="00946800"/>
    <w:rsid w:val="00946822"/>
    <w:rsid w:val="0094706D"/>
    <w:rsid w:val="0094795A"/>
    <w:rsid w:val="00947C03"/>
    <w:rsid w:val="009511EB"/>
    <w:rsid w:val="00951870"/>
    <w:rsid w:val="00951EE6"/>
    <w:rsid w:val="00952051"/>
    <w:rsid w:val="00953ABF"/>
    <w:rsid w:val="00953D69"/>
    <w:rsid w:val="00954226"/>
    <w:rsid w:val="00954658"/>
    <w:rsid w:val="00954D8E"/>
    <w:rsid w:val="00956153"/>
    <w:rsid w:val="009561B4"/>
    <w:rsid w:val="009565AE"/>
    <w:rsid w:val="00956AA3"/>
    <w:rsid w:val="009574B7"/>
    <w:rsid w:val="00957CA1"/>
    <w:rsid w:val="009605F6"/>
    <w:rsid w:val="00960662"/>
    <w:rsid w:val="00960BD9"/>
    <w:rsid w:val="009611D3"/>
    <w:rsid w:val="00962193"/>
    <w:rsid w:val="009627CF"/>
    <w:rsid w:val="00962E7D"/>
    <w:rsid w:val="0096406A"/>
    <w:rsid w:val="00964D10"/>
    <w:rsid w:val="00965153"/>
    <w:rsid w:val="0096531D"/>
    <w:rsid w:val="00965371"/>
    <w:rsid w:val="00965468"/>
    <w:rsid w:val="00965874"/>
    <w:rsid w:val="00965E71"/>
    <w:rsid w:val="009667F1"/>
    <w:rsid w:val="009668D3"/>
    <w:rsid w:val="009670C2"/>
    <w:rsid w:val="00967CDE"/>
    <w:rsid w:val="00970100"/>
    <w:rsid w:val="0097040B"/>
    <w:rsid w:val="00970D44"/>
    <w:rsid w:val="00972177"/>
    <w:rsid w:val="0097219F"/>
    <w:rsid w:val="00973366"/>
    <w:rsid w:val="00973DF4"/>
    <w:rsid w:val="00974624"/>
    <w:rsid w:val="00975087"/>
    <w:rsid w:val="00975C59"/>
    <w:rsid w:val="009760F9"/>
    <w:rsid w:val="00976215"/>
    <w:rsid w:val="00976309"/>
    <w:rsid w:val="009773D6"/>
    <w:rsid w:val="00977491"/>
    <w:rsid w:val="00977C0C"/>
    <w:rsid w:val="00980588"/>
    <w:rsid w:val="00980C2C"/>
    <w:rsid w:val="00981E64"/>
    <w:rsid w:val="00982626"/>
    <w:rsid w:val="00982A19"/>
    <w:rsid w:val="00982F86"/>
    <w:rsid w:val="00983210"/>
    <w:rsid w:val="009833D1"/>
    <w:rsid w:val="0098376A"/>
    <w:rsid w:val="00983D24"/>
    <w:rsid w:val="00983F50"/>
    <w:rsid w:val="0098413C"/>
    <w:rsid w:val="009841D0"/>
    <w:rsid w:val="00984E10"/>
    <w:rsid w:val="0098560B"/>
    <w:rsid w:val="0098605C"/>
    <w:rsid w:val="00986071"/>
    <w:rsid w:val="009870F7"/>
    <w:rsid w:val="00987290"/>
    <w:rsid w:val="009872EB"/>
    <w:rsid w:val="009876EE"/>
    <w:rsid w:val="00987AA2"/>
    <w:rsid w:val="00987B8C"/>
    <w:rsid w:val="00987CEE"/>
    <w:rsid w:val="009905DE"/>
    <w:rsid w:val="00990C19"/>
    <w:rsid w:val="00990EB2"/>
    <w:rsid w:val="00991CC7"/>
    <w:rsid w:val="00991D80"/>
    <w:rsid w:val="00991EA5"/>
    <w:rsid w:val="009920AC"/>
    <w:rsid w:val="009923F6"/>
    <w:rsid w:val="00992863"/>
    <w:rsid w:val="00992AD4"/>
    <w:rsid w:val="00992B33"/>
    <w:rsid w:val="00992B8E"/>
    <w:rsid w:val="00993C56"/>
    <w:rsid w:val="00993DE9"/>
    <w:rsid w:val="009945E8"/>
    <w:rsid w:val="00994FC7"/>
    <w:rsid w:val="009959BD"/>
    <w:rsid w:val="00996363"/>
    <w:rsid w:val="00996F08"/>
    <w:rsid w:val="00997309"/>
    <w:rsid w:val="0099760E"/>
    <w:rsid w:val="00997DE4"/>
    <w:rsid w:val="00997E0D"/>
    <w:rsid w:val="009A0338"/>
    <w:rsid w:val="009A034D"/>
    <w:rsid w:val="009A055F"/>
    <w:rsid w:val="009A0F7D"/>
    <w:rsid w:val="009A1248"/>
    <w:rsid w:val="009A1344"/>
    <w:rsid w:val="009A1365"/>
    <w:rsid w:val="009A14FA"/>
    <w:rsid w:val="009A197F"/>
    <w:rsid w:val="009A20BC"/>
    <w:rsid w:val="009A24FB"/>
    <w:rsid w:val="009A26E1"/>
    <w:rsid w:val="009A28DA"/>
    <w:rsid w:val="009A2CF1"/>
    <w:rsid w:val="009A3ADC"/>
    <w:rsid w:val="009A3C08"/>
    <w:rsid w:val="009A4882"/>
    <w:rsid w:val="009A4AA5"/>
    <w:rsid w:val="009A500C"/>
    <w:rsid w:val="009A55FF"/>
    <w:rsid w:val="009A57CD"/>
    <w:rsid w:val="009A5D5A"/>
    <w:rsid w:val="009A5DEE"/>
    <w:rsid w:val="009A6277"/>
    <w:rsid w:val="009A6451"/>
    <w:rsid w:val="009A6783"/>
    <w:rsid w:val="009A73C8"/>
    <w:rsid w:val="009A76E5"/>
    <w:rsid w:val="009A7AFF"/>
    <w:rsid w:val="009A7D13"/>
    <w:rsid w:val="009B0472"/>
    <w:rsid w:val="009B0DA6"/>
    <w:rsid w:val="009B11C6"/>
    <w:rsid w:val="009B1362"/>
    <w:rsid w:val="009B15B7"/>
    <w:rsid w:val="009B1A87"/>
    <w:rsid w:val="009B21EE"/>
    <w:rsid w:val="009B2247"/>
    <w:rsid w:val="009B2576"/>
    <w:rsid w:val="009B297F"/>
    <w:rsid w:val="009B31C1"/>
    <w:rsid w:val="009B3D52"/>
    <w:rsid w:val="009B4548"/>
    <w:rsid w:val="009B4699"/>
    <w:rsid w:val="009B4B4E"/>
    <w:rsid w:val="009B4E55"/>
    <w:rsid w:val="009B506D"/>
    <w:rsid w:val="009B55EE"/>
    <w:rsid w:val="009B5882"/>
    <w:rsid w:val="009B6452"/>
    <w:rsid w:val="009B70E8"/>
    <w:rsid w:val="009C0631"/>
    <w:rsid w:val="009C0C86"/>
    <w:rsid w:val="009C1008"/>
    <w:rsid w:val="009C1809"/>
    <w:rsid w:val="009C1AFF"/>
    <w:rsid w:val="009C206C"/>
    <w:rsid w:val="009C218C"/>
    <w:rsid w:val="009C21E3"/>
    <w:rsid w:val="009C222F"/>
    <w:rsid w:val="009C25F1"/>
    <w:rsid w:val="009C2C60"/>
    <w:rsid w:val="009C372E"/>
    <w:rsid w:val="009C3B12"/>
    <w:rsid w:val="009C3DBD"/>
    <w:rsid w:val="009C3EC8"/>
    <w:rsid w:val="009C4186"/>
    <w:rsid w:val="009C47F5"/>
    <w:rsid w:val="009C4C4F"/>
    <w:rsid w:val="009C53AE"/>
    <w:rsid w:val="009C59C1"/>
    <w:rsid w:val="009C5AD0"/>
    <w:rsid w:val="009C6134"/>
    <w:rsid w:val="009C6703"/>
    <w:rsid w:val="009C69CD"/>
    <w:rsid w:val="009C6D2B"/>
    <w:rsid w:val="009C7301"/>
    <w:rsid w:val="009C788F"/>
    <w:rsid w:val="009C79AB"/>
    <w:rsid w:val="009C7ACB"/>
    <w:rsid w:val="009C7EF2"/>
    <w:rsid w:val="009D135A"/>
    <w:rsid w:val="009D1A50"/>
    <w:rsid w:val="009D2B39"/>
    <w:rsid w:val="009D2F15"/>
    <w:rsid w:val="009D321C"/>
    <w:rsid w:val="009D37C6"/>
    <w:rsid w:val="009D3F25"/>
    <w:rsid w:val="009D4134"/>
    <w:rsid w:val="009D4210"/>
    <w:rsid w:val="009D4A53"/>
    <w:rsid w:val="009D4B3F"/>
    <w:rsid w:val="009D500B"/>
    <w:rsid w:val="009D57AF"/>
    <w:rsid w:val="009D5899"/>
    <w:rsid w:val="009D5EFF"/>
    <w:rsid w:val="009D648F"/>
    <w:rsid w:val="009D737C"/>
    <w:rsid w:val="009D7811"/>
    <w:rsid w:val="009D7EC6"/>
    <w:rsid w:val="009E0313"/>
    <w:rsid w:val="009E1372"/>
    <w:rsid w:val="009E1E04"/>
    <w:rsid w:val="009E1FF9"/>
    <w:rsid w:val="009E31F4"/>
    <w:rsid w:val="009E38CE"/>
    <w:rsid w:val="009E4179"/>
    <w:rsid w:val="009E4242"/>
    <w:rsid w:val="009E4732"/>
    <w:rsid w:val="009E57E8"/>
    <w:rsid w:val="009E59F4"/>
    <w:rsid w:val="009E5D79"/>
    <w:rsid w:val="009E6017"/>
    <w:rsid w:val="009E7266"/>
    <w:rsid w:val="009E7B1E"/>
    <w:rsid w:val="009E7CA4"/>
    <w:rsid w:val="009E7D74"/>
    <w:rsid w:val="009F0190"/>
    <w:rsid w:val="009F01B8"/>
    <w:rsid w:val="009F047C"/>
    <w:rsid w:val="009F0587"/>
    <w:rsid w:val="009F0B0F"/>
    <w:rsid w:val="009F0F0E"/>
    <w:rsid w:val="009F1217"/>
    <w:rsid w:val="009F1CDD"/>
    <w:rsid w:val="009F1D5A"/>
    <w:rsid w:val="009F1DEF"/>
    <w:rsid w:val="009F2418"/>
    <w:rsid w:val="009F2588"/>
    <w:rsid w:val="009F36C5"/>
    <w:rsid w:val="009F3CE4"/>
    <w:rsid w:val="009F3D5F"/>
    <w:rsid w:val="009F51A2"/>
    <w:rsid w:val="009F5F4C"/>
    <w:rsid w:val="009F6D94"/>
    <w:rsid w:val="009F7480"/>
    <w:rsid w:val="009F7689"/>
    <w:rsid w:val="009F7EC1"/>
    <w:rsid w:val="00A00170"/>
    <w:rsid w:val="00A00BB2"/>
    <w:rsid w:val="00A01046"/>
    <w:rsid w:val="00A013B0"/>
    <w:rsid w:val="00A01E51"/>
    <w:rsid w:val="00A02578"/>
    <w:rsid w:val="00A03C6A"/>
    <w:rsid w:val="00A04285"/>
    <w:rsid w:val="00A04494"/>
    <w:rsid w:val="00A04767"/>
    <w:rsid w:val="00A0546E"/>
    <w:rsid w:val="00A0551C"/>
    <w:rsid w:val="00A05BB8"/>
    <w:rsid w:val="00A06295"/>
    <w:rsid w:val="00A06427"/>
    <w:rsid w:val="00A06B7F"/>
    <w:rsid w:val="00A07051"/>
    <w:rsid w:val="00A076BA"/>
    <w:rsid w:val="00A121A7"/>
    <w:rsid w:val="00A121BF"/>
    <w:rsid w:val="00A12416"/>
    <w:rsid w:val="00A136C6"/>
    <w:rsid w:val="00A136CE"/>
    <w:rsid w:val="00A13755"/>
    <w:rsid w:val="00A13A51"/>
    <w:rsid w:val="00A13A89"/>
    <w:rsid w:val="00A13AA8"/>
    <w:rsid w:val="00A13FE3"/>
    <w:rsid w:val="00A14158"/>
    <w:rsid w:val="00A14256"/>
    <w:rsid w:val="00A146AA"/>
    <w:rsid w:val="00A14BAC"/>
    <w:rsid w:val="00A14D5C"/>
    <w:rsid w:val="00A153D0"/>
    <w:rsid w:val="00A154F9"/>
    <w:rsid w:val="00A158CC"/>
    <w:rsid w:val="00A15D6B"/>
    <w:rsid w:val="00A15F1C"/>
    <w:rsid w:val="00A16271"/>
    <w:rsid w:val="00A1666B"/>
    <w:rsid w:val="00A16954"/>
    <w:rsid w:val="00A17BA4"/>
    <w:rsid w:val="00A207DC"/>
    <w:rsid w:val="00A20CEB"/>
    <w:rsid w:val="00A21118"/>
    <w:rsid w:val="00A219FC"/>
    <w:rsid w:val="00A21F8C"/>
    <w:rsid w:val="00A22284"/>
    <w:rsid w:val="00A22977"/>
    <w:rsid w:val="00A23063"/>
    <w:rsid w:val="00A23A82"/>
    <w:rsid w:val="00A23B89"/>
    <w:rsid w:val="00A241F9"/>
    <w:rsid w:val="00A24437"/>
    <w:rsid w:val="00A24862"/>
    <w:rsid w:val="00A252B6"/>
    <w:rsid w:val="00A2544C"/>
    <w:rsid w:val="00A25767"/>
    <w:rsid w:val="00A25FFF"/>
    <w:rsid w:val="00A2607B"/>
    <w:rsid w:val="00A26CCB"/>
    <w:rsid w:val="00A27980"/>
    <w:rsid w:val="00A27A38"/>
    <w:rsid w:val="00A27B3B"/>
    <w:rsid w:val="00A27C3C"/>
    <w:rsid w:val="00A27D03"/>
    <w:rsid w:val="00A27DB4"/>
    <w:rsid w:val="00A30E89"/>
    <w:rsid w:val="00A314A0"/>
    <w:rsid w:val="00A31598"/>
    <w:rsid w:val="00A319C1"/>
    <w:rsid w:val="00A31ADE"/>
    <w:rsid w:val="00A31C7D"/>
    <w:rsid w:val="00A320DB"/>
    <w:rsid w:val="00A3249C"/>
    <w:rsid w:val="00A32A75"/>
    <w:rsid w:val="00A33C93"/>
    <w:rsid w:val="00A3410E"/>
    <w:rsid w:val="00A35ACD"/>
    <w:rsid w:val="00A35AFF"/>
    <w:rsid w:val="00A36A84"/>
    <w:rsid w:val="00A370B4"/>
    <w:rsid w:val="00A37836"/>
    <w:rsid w:val="00A37C79"/>
    <w:rsid w:val="00A40288"/>
    <w:rsid w:val="00A406E6"/>
    <w:rsid w:val="00A409A3"/>
    <w:rsid w:val="00A41771"/>
    <w:rsid w:val="00A41B17"/>
    <w:rsid w:val="00A421B2"/>
    <w:rsid w:val="00A42796"/>
    <w:rsid w:val="00A4292D"/>
    <w:rsid w:val="00A42E17"/>
    <w:rsid w:val="00A4329A"/>
    <w:rsid w:val="00A4334A"/>
    <w:rsid w:val="00A43DB0"/>
    <w:rsid w:val="00A43F59"/>
    <w:rsid w:val="00A443E2"/>
    <w:rsid w:val="00A44D4F"/>
    <w:rsid w:val="00A450A0"/>
    <w:rsid w:val="00A45B2B"/>
    <w:rsid w:val="00A45CC2"/>
    <w:rsid w:val="00A50E22"/>
    <w:rsid w:val="00A5145B"/>
    <w:rsid w:val="00A51586"/>
    <w:rsid w:val="00A52936"/>
    <w:rsid w:val="00A52EE9"/>
    <w:rsid w:val="00A53746"/>
    <w:rsid w:val="00A54141"/>
    <w:rsid w:val="00A541FD"/>
    <w:rsid w:val="00A54811"/>
    <w:rsid w:val="00A54BD8"/>
    <w:rsid w:val="00A54CB9"/>
    <w:rsid w:val="00A551E5"/>
    <w:rsid w:val="00A55308"/>
    <w:rsid w:val="00A55987"/>
    <w:rsid w:val="00A560B3"/>
    <w:rsid w:val="00A56190"/>
    <w:rsid w:val="00A56340"/>
    <w:rsid w:val="00A57A69"/>
    <w:rsid w:val="00A57C92"/>
    <w:rsid w:val="00A57F82"/>
    <w:rsid w:val="00A608B7"/>
    <w:rsid w:val="00A60FE1"/>
    <w:rsid w:val="00A6122A"/>
    <w:rsid w:val="00A61836"/>
    <w:rsid w:val="00A61853"/>
    <w:rsid w:val="00A618C6"/>
    <w:rsid w:val="00A62A4D"/>
    <w:rsid w:val="00A62CC5"/>
    <w:rsid w:val="00A6317B"/>
    <w:rsid w:val="00A63184"/>
    <w:rsid w:val="00A63BD6"/>
    <w:rsid w:val="00A63DF1"/>
    <w:rsid w:val="00A64096"/>
    <w:rsid w:val="00A6410C"/>
    <w:rsid w:val="00A6435A"/>
    <w:rsid w:val="00A647CD"/>
    <w:rsid w:val="00A6560B"/>
    <w:rsid w:val="00A65C42"/>
    <w:rsid w:val="00A65EF7"/>
    <w:rsid w:val="00A66396"/>
    <w:rsid w:val="00A671D1"/>
    <w:rsid w:val="00A67879"/>
    <w:rsid w:val="00A67EF5"/>
    <w:rsid w:val="00A704EA"/>
    <w:rsid w:val="00A7234D"/>
    <w:rsid w:val="00A72E28"/>
    <w:rsid w:val="00A737D5"/>
    <w:rsid w:val="00A738B1"/>
    <w:rsid w:val="00A74535"/>
    <w:rsid w:val="00A754DD"/>
    <w:rsid w:val="00A75510"/>
    <w:rsid w:val="00A75723"/>
    <w:rsid w:val="00A75E47"/>
    <w:rsid w:val="00A766AD"/>
    <w:rsid w:val="00A76961"/>
    <w:rsid w:val="00A76BFB"/>
    <w:rsid w:val="00A77663"/>
    <w:rsid w:val="00A8122B"/>
    <w:rsid w:val="00A81726"/>
    <w:rsid w:val="00A81A20"/>
    <w:rsid w:val="00A81B8D"/>
    <w:rsid w:val="00A81EC8"/>
    <w:rsid w:val="00A82EDC"/>
    <w:rsid w:val="00A82FA9"/>
    <w:rsid w:val="00A83366"/>
    <w:rsid w:val="00A83624"/>
    <w:rsid w:val="00A83DDC"/>
    <w:rsid w:val="00A83F37"/>
    <w:rsid w:val="00A84018"/>
    <w:rsid w:val="00A8418F"/>
    <w:rsid w:val="00A842A3"/>
    <w:rsid w:val="00A84B94"/>
    <w:rsid w:val="00A84BED"/>
    <w:rsid w:val="00A8536F"/>
    <w:rsid w:val="00A857C4"/>
    <w:rsid w:val="00A85AF6"/>
    <w:rsid w:val="00A85CD9"/>
    <w:rsid w:val="00A85E27"/>
    <w:rsid w:val="00A86A96"/>
    <w:rsid w:val="00A86D6F"/>
    <w:rsid w:val="00A86E3E"/>
    <w:rsid w:val="00A86EE2"/>
    <w:rsid w:val="00A874D2"/>
    <w:rsid w:val="00A87BAE"/>
    <w:rsid w:val="00A90976"/>
    <w:rsid w:val="00A913A1"/>
    <w:rsid w:val="00A91ACB"/>
    <w:rsid w:val="00A91AF5"/>
    <w:rsid w:val="00A92584"/>
    <w:rsid w:val="00A925A7"/>
    <w:rsid w:val="00A925DB"/>
    <w:rsid w:val="00A930BB"/>
    <w:rsid w:val="00A933F4"/>
    <w:rsid w:val="00A936EE"/>
    <w:rsid w:val="00A93DC6"/>
    <w:rsid w:val="00A94354"/>
    <w:rsid w:val="00A94796"/>
    <w:rsid w:val="00A94CEF"/>
    <w:rsid w:val="00A94F8F"/>
    <w:rsid w:val="00A9501F"/>
    <w:rsid w:val="00A951AC"/>
    <w:rsid w:val="00A951C2"/>
    <w:rsid w:val="00A95298"/>
    <w:rsid w:val="00A95452"/>
    <w:rsid w:val="00A95DFD"/>
    <w:rsid w:val="00A95EE0"/>
    <w:rsid w:val="00A96EF6"/>
    <w:rsid w:val="00AA0925"/>
    <w:rsid w:val="00AA096E"/>
    <w:rsid w:val="00AA0D9E"/>
    <w:rsid w:val="00AA1293"/>
    <w:rsid w:val="00AA14C3"/>
    <w:rsid w:val="00AA188D"/>
    <w:rsid w:val="00AA3EDF"/>
    <w:rsid w:val="00AA411A"/>
    <w:rsid w:val="00AA4220"/>
    <w:rsid w:val="00AA4239"/>
    <w:rsid w:val="00AA4D46"/>
    <w:rsid w:val="00AA54AE"/>
    <w:rsid w:val="00AA5F04"/>
    <w:rsid w:val="00AA6816"/>
    <w:rsid w:val="00AA69E5"/>
    <w:rsid w:val="00AA6D4E"/>
    <w:rsid w:val="00AA73D0"/>
    <w:rsid w:val="00AA75CE"/>
    <w:rsid w:val="00AB023A"/>
    <w:rsid w:val="00AB0C43"/>
    <w:rsid w:val="00AB1082"/>
    <w:rsid w:val="00AB1098"/>
    <w:rsid w:val="00AB1102"/>
    <w:rsid w:val="00AB173C"/>
    <w:rsid w:val="00AB1B38"/>
    <w:rsid w:val="00AB1E82"/>
    <w:rsid w:val="00AB217D"/>
    <w:rsid w:val="00AB2581"/>
    <w:rsid w:val="00AB2643"/>
    <w:rsid w:val="00AB27C6"/>
    <w:rsid w:val="00AB3031"/>
    <w:rsid w:val="00AB3379"/>
    <w:rsid w:val="00AB3F05"/>
    <w:rsid w:val="00AB4013"/>
    <w:rsid w:val="00AB401F"/>
    <w:rsid w:val="00AB462F"/>
    <w:rsid w:val="00AB4C0D"/>
    <w:rsid w:val="00AB4DB7"/>
    <w:rsid w:val="00AB557D"/>
    <w:rsid w:val="00AB5A91"/>
    <w:rsid w:val="00AB6477"/>
    <w:rsid w:val="00AB6533"/>
    <w:rsid w:val="00AB689D"/>
    <w:rsid w:val="00AB6EB6"/>
    <w:rsid w:val="00AB7675"/>
    <w:rsid w:val="00AB7E48"/>
    <w:rsid w:val="00AC070D"/>
    <w:rsid w:val="00AC0DE8"/>
    <w:rsid w:val="00AC1030"/>
    <w:rsid w:val="00AC1A14"/>
    <w:rsid w:val="00AC2121"/>
    <w:rsid w:val="00AC2A94"/>
    <w:rsid w:val="00AC322C"/>
    <w:rsid w:val="00AC33E2"/>
    <w:rsid w:val="00AC3674"/>
    <w:rsid w:val="00AC3F97"/>
    <w:rsid w:val="00AC4466"/>
    <w:rsid w:val="00AC4A20"/>
    <w:rsid w:val="00AC4FEA"/>
    <w:rsid w:val="00AC5213"/>
    <w:rsid w:val="00AC53F3"/>
    <w:rsid w:val="00AC584E"/>
    <w:rsid w:val="00AC5B6E"/>
    <w:rsid w:val="00AC5E1A"/>
    <w:rsid w:val="00AC6E84"/>
    <w:rsid w:val="00AC70F7"/>
    <w:rsid w:val="00AC7804"/>
    <w:rsid w:val="00AC7B80"/>
    <w:rsid w:val="00AC7D80"/>
    <w:rsid w:val="00AD073E"/>
    <w:rsid w:val="00AD0A32"/>
    <w:rsid w:val="00AD1442"/>
    <w:rsid w:val="00AD14AB"/>
    <w:rsid w:val="00AD1B73"/>
    <w:rsid w:val="00AD20ED"/>
    <w:rsid w:val="00AD20FA"/>
    <w:rsid w:val="00AD26B9"/>
    <w:rsid w:val="00AD2F04"/>
    <w:rsid w:val="00AD2FE7"/>
    <w:rsid w:val="00AD30DD"/>
    <w:rsid w:val="00AD3BC2"/>
    <w:rsid w:val="00AD3C4C"/>
    <w:rsid w:val="00AD4264"/>
    <w:rsid w:val="00AD4434"/>
    <w:rsid w:val="00AD4D17"/>
    <w:rsid w:val="00AD5004"/>
    <w:rsid w:val="00AD5334"/>
    <w:rsid w:val="00AD53AA"/>
    <w:rsid w:val="00AD6826"/>
    <w:rsid w:val="00AD72BC"/>
    <w:rsid w:val="00AD79BF"/>
    <w:rsid w:val="00AD7C84"/>
    <w:rsid w:val="00AE07E1"/>
    <w:rsid w:val="00AE1449"/>
    <w:rsid w:val="00AE1D52"/>
    <w:rsid w:val="00AE2133"/>
    <w:rsid w:val="00AE2AD5"/>
    <w:rsid w:val="00AE3344"/>
    <w:rsid w:val="00AE43CD"/>
    <w:rsid w:val="00AE43F4"/>
    <w:rsid w:val="00AE5099"/>
    <w:rsid w:val="00AE50D3"/>
    <w:rsid w:val="00AE606A"/>
    <w:rsid w:val="00AE6F21"/>
    <w:rsid w:val="00AF013B"/>
    <w:rsid w:val="00AF0A66"/>
    <w:rsid w:val="00AF0CF8"/>
    <w:rsid w:val="00AF1658"/>
    <w:rsid w:val="00AF262C"/>
    <w:rsid w:val="00AF2857"/>
    <w:rsid w:val="00AF2A5A"/>
    <w:rsid w:val="00AF4049"/>
    <w:rsid w:val="00AF415A"/>
    <w:rsid w:val="00AF44F2"/>
    <w:rsid w:val="00AF4950"/>
    <w:rsid w:val="00AF53AB"/>
    <w:rsid w:val="00AF53BA"/>
    <w:rsid w:val="00AF64D9"/>
    <w:rsid w:val="00AF69B4"/>
    <w:rsid w:val="00AF717B"/>
    <w:rsid w:val="00B007E8"/>
    <w:rsid w:val="00B00A2E"/>
    <w:rsid w:val="00B00CD0"/>
    <w:rsid w:val="00B00D77"/>
    <w:rsid w:val="00B01138"/>
    <w:rsid w:val="00B0117B"/>
    <w:rsid w:val="00B011BD"/>
    <w:rsid w:val="00B01283"/>
    <w:rsid w:val="00B0153C"/>
    <w:rsid w:val="00B0269B"/>
    <w:rsid w:val="00B02A46"/>
    <w:rsid w:val="00B035B9"/>
    <w:rsid w:val="00B03EBB"/>
    <w:rsid w:val="00B04DD4"/>
    <w:rsid w:val="00B05993"/>
    <w:rsid w:val="00B060CD"/>
    <w:rsid w:val="00B0686C"/>
    <w:rsid w:val="00B06E97"/>
    <w:rsid w:val="00B102AD"/>
    <w:rsid w:val="00B10681"/>
    <w:rsid w:val="00B10B50"/>
    <w:rsid w:val="00B1149B"/>
    <w:rsid w:val="00B116D4"/>
    <w:rsid w:val="00B116E5"/>
    <w:rsid w:val="00B12191"/>
    <w:rsid w:val="00B12F04"/>
    <w:rsid w:val="00B13082"/>
    <w:rsid w:val="00B134E7"/>
    <w:rsid w:val="00B134EC"/>
    <w:rsid w:val="00B135BB"/>
    <w:rsid w:val="00B13A79"/>
    <w:rsid w:val="00B14075"/>
    <w:rsid w:val="00B14FC0"/>
    <w:rsid w:val="00B159F7"/>
    <w:rsid w:val="00B16524"/>
    <w:rsid w:val="00B165E7"/>
    <w:rsid w:val="00B16E86"/>
    <w:rsid w:val="00B170A8"/>
    <w:rsid w:val="00B17C0B"/>
    <w:rsid w:val="00B20364"/>
    <w:rsid w:val="00B20C06"/>
    <w:rsid w:val="00B20E6F"/>
    <w:rsid w:val="00B20EED"/>
    <w:rsid w:val="00B211F2"/>
    <w:rsid w:val="00B2130C"/>
    <w:rsid w:val="00B215D0"/>
    <w:rsid w:val="00B21EDE"/>
    <w:rsid w:val="00B222B9"/>
    <w:rsid w:val="00B2244B"/>
    <w:rsid w:val="00B226A9"/>
    <w:rsid w:val="00B2300D"/>
    <w:rsid w:val="00B2303C"/>
    <w:rsid w:val="00B230F6"/>
    <w:rsid w:val="00B23139"/>
    <w:rsid w:val="00B232D6"/>
    <w:rsid w:val="00B23307"/>
    <w:rsid w:val="00B23539"/>
    <w:rsid w:val="00B23551"/>
    <w:rsid w:val="00B24DC8"/>
    <w:rsid w:val="00B25335"/>
    <w:rsid w:val="00B25CBD"/>
    <w:rsid w:val="00B25D99"/>
    <w:rsid w:val="00B26391"/>
    <w:rsid w:val="00B26A06"/>
    <w:rsid w:val="00B27AD5"/>
    <w:rsid w:val="00B27F3D"/>
    <w:rsid w:val="00B30A36"/>
    <w:rsid w:val="00B30B04"/>
    <w:rsid w:val="00B30E74"/>
    <w:rsid w:val="00B3108F"/>
    <w:rsid w:val="00B3114E"/>
    <w:rsid w:val="00B3148D"/>
    <w:rsid w:val="00B31CC5"/>
    <w:rsid w:val="00B33D79"/>
    <w:rsid w:val="00B33F59"/>
    <w:rsid w:val="00B34483"/>
    <w:rsid w:val="00B34A00"/>
    <w:rsid w:val="00B34DAE"/>
    <w:rsid w:val="00B358BB"/>
    <w:rsid w:val="00B365CA"/>
    <w:rsid w:val="00B36CA1"/>
    <w:rsid w:val="00B3737F"/>
    <w:rsid w:val="00B40514"/>
    <w:rsid w:val="00B41534"/>
    <w:rsid w:val="00B4154B"/>
    <w:rsid w:val="00B41784"/>
    <w:rsid w:val="00B41BEE"/>
    <w:rsid w:val="00B42E68"/>
    <w:rsid w:val="00B43462"/>
    <w:rsid w:val="00B43910"/>
    <w:rsid w:val="00B4420E"/>
    <w:rsid w:val="00B45669"/>
    <w:rsid w:val="00B4648A"/>
    <w:rsid w:val="00B46554"/>
    <w:rsid w:val="00B466F0"/>
    <w:rsid w:val="00B467BB"/>
    <w:rsid w:val="00B46AD1"/>
    <w:rsid w:val="00B47E3B"/>
    <w:rsid w:val="00B503B4"/>
    <w:rsid w:val="00B50892"/>
    <w:rsid w:val="00B50D91"/>
    <w:rsid w:val="00B50EE3"/>
    <w:rsid w:val="00B51057"/>
    <w:rsid w:val="00B511ED"/>
    <w:rsid w:val="00B51602"/>
    <w:rsid w:val="00B51F21"/>
    <w:rsid w:val="00B52273"/>
    <w:rsid w:val="00B52540"/>
    <w:rsid w:val="00B528F7"/>
    <w:rsid w:val="00B5371B"/>
    <w:rsid w:val="00B5399D"/>
    <w:rsid w:val="00B53C34"/>
    <w:rsid w:val="00B53F0D"/>
    <w:rsid w:val="00B542A4"/>
    <w:rsid w:val="00B54811"/>
    <w:rsid w:val="00B5657A"/>
    <w:rsid w:val="00B56B84"/>
    <w:rsid w:val="00B57961"/>
    <w:rsid w:val="00B57C56"/>
    <w:rsid w:val="00B61614"/>
    <w:rsid w:val="00B61672"/>
    <w:rsid w:val="00B61B8F"/>
    <w:rsid w:val="00B62488"/>
    <w:rsid w:val="00B628A4"/>
    <w:rsid w:val="00B62D2F"/>
    <w:rsid w:val="00B62E27"/>
    <w:rsid w:val="00B64774"/>
    <w:rsid w:val="00B64E06"/>
    <w:rsid w:val="00B65A6A"/>
    <w:rsid w:val="00B65CB5"/>
    <w:rsid w:val="00B65D4A"/>
    <w:rsid w:val="00B65E12"/>
    <w:rsid w:val="00B668FC"/>
    <w:rsid w:val="00B66B65"/>
    <w:rsid w:val="00B66BB3"/>
    <w:rsid w:val="00B67E57"/>
    <w:rsid w:val="00B67EC2"/>
    <w:rsid w:val="00B7024C"/>
    <w:rsid w:val="00B70EBF"/>
    <w:rsid w:val="00B70EF2"/>
    <w:rsid w:val="00B70F06"/>
    <w:rsid w:val="00B7145B"/>
    <w:rsid w:val="00B71881"/>
    <w:rsid w:val="00B72FA4"/>
    <w:rsid w:val="00B7347B"/>
    <w:rsid w:val="00B7374F"/>
    <w:rsid w:val="00B74500"/>
    <w:rsid w:val="00B74AFB"/>
    <w:rsid w:val="00B7547E"/>
    <w:rsid w:val="00B754EA"/>
    <w:rsid w:val="00B75A04"/>
    <w:rsid w:val="00B7605A"/>
    <w:rsid w:val="00B768AD"/>
    <w:rsid w:val="00B76D77"/>
    <w:rsid w:val="00B7702D"/>
    <w:rsid w:val="00B774E3"/>
    <w:rsid w:val="00B7761D"/>
    <w:rsid w:val="00B778C6"/>
    <w:rsid w:val="00B77BCD"/>
    <w:rsid w:val="00B77E2A"/>
    <w:rsid w:val="00B808B5"/>
    <w:rsid w:val="00B80BF0"/>
    <w:rsid w:val="00B80E48"/>
    <w:rsid w:val="00B810CD"/>
    <w:rsid w:val="00B81196"/>
    <w:rsid w:val="00B81393"/>
    <w:rsid w:val="00B8158A"/>
    <w:rsid w:val="00B81607"/>
    <w:rsid w:val="00B81787"/>
    <w:rsid w:val="00B81E23"/>
    <w:rsid w:val="00B8280A"/>
    <w:rsid w:val="00B82B6A"/>
    <w:rsid w:val="00B83280"/>
    <w:rsid w:val="00B83638"/>
    <w:rsid w:val="00B838AA"/>
    <w:rsid w:val="00B83907"/>
    <w:rsid w:val="00B839BC"/>
    <w:rsid w:val="00B84400"/>
    <w:rsid w:val="00B84738"/>
    <w:rsid w:val="00B84B83"/>
    <w:rsid w:val="00B85057"/>
    <w:rsid w:val="00B85087"/>
    <w:rsid w:val="00B85207"/>
    <w:rsid w:val="00B853F9"/>
    <w:rsid w:val="00B860D7"/>
    <w:rsid w:val="00B868DC"/>
    <w:rsid w:val="00B86FAD"/>
    <w:rsid w:val="00B87B8A"/>
    <w:rsid w:val="00B9190B"/>
    <w:rsid w:val="00B922DC"/>
    <w:rsid w:val="00B92342"/>
    <w:rsid w:val="00B92412"/>
    <w:rsid w:val="00B92971"/>
    <w:rsid w:val="00B92D1A"/>
    <w:rsid w:val="00B93445"/>
    <w:rsid w:val="00B939A1"/>
    <w:rsid w:val="00B93B87"/>
    <w:rsid w:val="00B9431E"/>
    <w:rsid w:val="00B9465D"/>
    <w:rsid w:val="00B9473D"/>
    <w:rsid w:val="00B94881"/>
    <w:rsid w:val="00B94C4F"/>
    <w:rsid w:val="00B9517B"/>
    <w:rsid w:val="00B95517"/>
    <w:rsid w:val="00B95C12"/>
    <w:rsid w:val="00B95EE6"/>
    <w:rsid w:val="00B961F1"/>
    <w:rsid w:val="00B96885"/>
    <w:rsid w:val="00B96B97"/>
    <w:rsid w:val="00B96C4E"/>
    <w:rsid w:val="00B973E7"/>
    <w:rsid w:val="00B979CC"/>
    <w:rsid w:val="00B97B62"/>
    <w:rsid w:val="00B97C50"/>
    <w:rsid w:val="00BA0024"/>
    <w:rsid w:val="00BA0AC7"/>
    <w:rsid w:val="00BA0DB0"/>
    <w:rsid w:val="00BA11F8"/>
    <w:rsid w:val="00BA1434"/>
    <w:rsid w:val="00BA1865"/>
    <w:rsid w:val="00BA2C1F"/>
    <w:rsid w:val="00BA3212"/>
    <w:rsid w:val="00BA3B4B"/>
    <w:rsid w:val="00BA40BE"/>
    <w:rsid w:val="00BA4564"/>
    <w:rsid w:val="00BA467B"/>
    <w:rsid w:val="00BA4842"/>
    <w:rsid w:val="00BA4D41"/>
    <w:rsid w:val="00BA58AF"/>
    <w:rsid w:val="00BA58BB"/>
    <w:rsid w:val="00BA67FC"/>
    <w:rsid w:val="00BA6B8E"/>
    <w:rsid w:val="00BA7285"/>
    <w:rsid w:val="00BA7BE8"/>
    <w:rsid w:val="00BB01AF"/>
    <w:rsid w:val="00BB08F7"/>
    <w:rsid w:val="00BB0BA7"/>
    <w:rsid w:val="00BB0CA1"/>
    <w:rsid w:val="00BB133D"/>
    <w:rsid w:val="00BB1924"/>
    <w:rsid w:val="00BB26EB"/>
    <w:rsid w:val="00BB2C15"/>
    <w:rsid w:val="00BB3C8A"/>
    <w:rsid w:val="00BB4049"/>
    <w:rsid w:val="00BB5E0A"/>
    <w:rsid w:val="00BB6EA6"/>
    <w:rsid w:val="00BB7AF7"/>
    <w:rsid w:val="00BC00C1"/>
    <w:rsid w:val="00BC0230"/>
    <w:rsid w:val="00BC02CD"/>
    <w:rsid w:val="00BC0688"/>
    <w:rsid w:val="00BC1478"/>
    <w:rsid w:val="00BC1BFE"/>
    <w:rsid w:val="00BC2264"/>
    <w:rsid w:val="00BC2C3A"/>
    <w:rsid w:val="00BC3CE2"/>
    <w:rsid w:val="00BC3E3B"/>
    <w:rsid w:val="00BC450A"/>
    <w:rsid w:val="00BC52DE"/>
    <w:rsid w:val="00BC5902"/>
    <w:rsid w:val="00BC66E0"/>
    <w:rsid w:val="00BC69C6"/>
    <w:rsid w:val="00BC6DFE"/>
    <w:rsid w:val="00BC7775"/>
    <w:rsid w:val="00BC7956"/>
    <w:rsid w:val="00BD02E6"/>
    <w:rsid w:val="00BD065D"/>
    <w:rsid w:val="00BD0CF8"/>
    <w:rsid w:val="00BD0DDA"/>
    <w:rsid w:val="00BD1252"/>
    <w:rsid w:val="00BD1469"/>
    <w:rsid w:val="00BD154F"/>
    <w:rsid w:val="00BD1691"/>
    <w:rsid w:val="00BD1FF6"/>
    <w:rsid w:val="00BD2256"/>
    <w:rsid w:val="00BD24B6"/>
    <w:rsid w:val="00BD3080"/>
    <w:rsid w:val="00BD3124"/>
    <w:rsid w:val="00BD316A"/>
    <w:rsid w:val="00BD33EC"/>
    <w:rsid w:val="00BD3A94"/>
    <w:rsid w:val="00BD43BD"/>
    <w:rsid w:val="00BD4CF5"/>
    <w:rsid w:val="00BD4E2B"/>
    <w:rsid w:val="00BD5C38"/>
    <w:rsid w:val="00BD63D6"/>
    <w:rsid w:val="00BD6C08"/>
    <w:rsid w:val="00BD7247"/>
    <w:rsid w:val="00BD72A6"/>
    <w:rsid w:val="00BD762F"/>
    <w:rsid w:val="00BD7D70"/>
    <w:rsid w:val="00BE087F"/>
    <w:rsid w:val="00BE09C7"/>
    <w:rsid w:val="00BE12EF"/>
    <w:rsid w:val="00BE1BBB"/>
    <w:rsid w:val="00BE22E8"/>
    <w:rsid w:val="00BE2ACB"/>
    <w:rsid w:val="00BE3013"/>
    <w:rsid w:val="00BE32AC"/>
    <w:rsid w:val="00BE367D"/>
    <w:rsid w:val="00BE3CB6"/>
    <w:rsid w:val="00BE4035"/>
    <w:rsid w:val="00BE4239"/>
    <w:rsid w:val="00BE4A58"/>
    <w:rsid w:val="00BE4B70"/>
    <w:rsid w:val="00BE4C67"/>
    <w:rsid w:val="00BE5120"/>
    <w:rsid w:val="00BE5756"/>
    <w:rsid w:val="00BE576D"/>
    <w:rsid w:val="00BE59DD"/>
    <w:rsid w:val="00BE5BE1"/>
    <w:rsid w:val="00BE64BF"/>
    <w:rsid w:val="00BE654A"/>
    <w:rsid w:val="00BE6653"/>
    <w:rsid w:val="00BE6D2F"/>
    <w:rsid w:val="00BE7B46"/>
    <w:rsid w:val="00BE7D9A"/>
    <w:rsid w:val="00BF02D4"/>
    <w:rsid w:val="00BF0724"/>
    <w:rsid w:val="00BF15B9"/>
    <w:rsid w:val="00BF1896"/>
    <w:rsid w:val="00BF21AC"/>
    <w:rsid w:val="00BF2673"/>
    <w:rsid w:val="00BF324E"/>
    <w:rsid w:val="00BF329F"/>
    <w:rsid w:val="00BF3693"/>
    <w:rsid w:val="00BF45A7"/>
    <w:rsid w:val="00BF4674"/>
    <w:rsid w:val="00BF47B7"/>
    <w:rsid w:val="00BF5020"/>
    <w:rsid w:val="00BF55BA"/>
    <w:rsid w:val="00BF58F2"/>
    <w:rsid w:val="00BF590D"/>
    <w:rsid w:val="00BF5981"/>
    <w:rsid w:val="00BF5F58"/>
    <w:rsid w:val="00BF6637"/>
    <w:rsid w:val="00BF756C"/>
    <w:rsid w:val="00C024DF"/>
    <w:rsid w:val="00C028F9"/>
    <w:rsid w:val="00C0308D"/>
    <w:rsid w:val="00C035A7"/>
    <w:rsid w:val="00C0387C"/>
    <w:rsid w:val="00C03D79"/>
    <w:rsid w:val="00C04012"/>
    <w:rsid w:val="00C0465F"/>
    <w:rsid w:val="00C04A2A"/>
    <w:rsid w:val="00C04FA3"/>
    <w:rsid w:val="00C051F1"/>
    <w:rsid w:val="00C05216"/>
    <w:rsid w:val="00C05754"/>
    <w:rsid w:val="00C0586E"/>
    <w:rsid w:val="00C05C1A"/>
    <w:rsid w:val="00C05F6F"/>
    <w:rsid w:val="00C06021"/>
    <w:rsid w:val="00C06091"/>
    <w:rsid w:val="00C068B6"/>
    <w:rsid w:val="00C07269"/>
    <w:rsid w:val="00C075A9"/>
    <w:rsid w:val="00C077A9"/>
    <w:rsid w:val="00C10C63"/>
    <w:rsid w:val="00C10D34"/>
    <w:rsid w:val="00C10DB6"/>
    <w:rsid w:val="00C11612"/>
    <w:rsid w:val="00C11B8C"/>
    <w:rsid w:val="00C12101"/>
    <w:rsid w:val="00C1230F"/>
    <w:rsid w:val="00C12EC3"/>
    <w:rsid w:val="00C134DF"/>
    <w:rsid w:val="00C137E0"/>
    <w:rsid w:val="00C13810"/>
    <w:rsid w:val="00C13934"/>
    <w:rsid w:val="00C13B21"/>
    <w:rsid w:val="00C13BCE"/>
    <w:rsid w:val="00C14234"/>
    <w:rsid w:val="00C14C9F"/>
    <w:rsid w:val="00C155CC"/>
    <w:rsid w:val="00C15941"/>
    <w:rsid w:val="00C15ABB"/>
    <w:rsid w:val="00C160D1"/>
    <w:rsid w:val="00C168BD"/>
    <w:rsid w:val="00C16B20"/>
    <w:rsid w:val="00C16E20"/>
    <w:rsid w:val="00C170CD"/>
    <w:rsid w:val="00C175D6"/>
    <w:rsid w:val="00C17EE4"/>
    <w:rsid w:val="00C2047B"/>
    <w:rsid w:val="00C208B3"/>
    <w:rsid w:val="00C20A4F"/>
    <w:rsid w:val="00C212A5"/>
    <w:rsid w:val="00C21801"/>
    <w:rsid w:val="00C21EE3"/>
    <w:rsid w:val="00C22FF7"/>
    <w:rsid w:val="00C2304D"/>
    <w:rsid w:val="00C236EB"/>
    <w:rsid w:val="00C23BE9"/>
    <w:rsid w:val="00C24016"/>
    <w:rsid w:val="00C24904"/>
    <w:rsid w:val="00C24933"/>
    <w:rsid w:val="00C2541E"/>
    <w:rsid w:val="00C25F86"/>
    <w:rsid w:val="00C2649C"/>
    <w:rsid w:val="00C26623"/>
    <w:rsid w:val="00C26685"/>
    <w:rsid w:val="00C26D74"/>
    <w:rsid w:val="00C30824"/>
    <w:rsid w:val="00C30F87"/>
    <w:rsid w:val="00C31595"/>
    <w:rsid w:val="00C3186B"/>
    <w:rsid w:val="00C31BD5"/>
    <w:rsid w:val="00C31BF8"/>
    <w:rsid w:val="00C3273C"/>
    <w:rsid w:val="00C32EC2"/>
    <w:rsid w:val="00C3307F"/>
    <w:rsid w:val="00C3319F"/>
    <w:rsid w:val="00C33D18"/>
    <w:rsid w:val="00C33F77"/>
    <w:rsid w:val="00C348FF"/>
    <w:rsid w:val="00C34CC3"/>
    <w:rsid w:val="00C34F30"/>
    <w:rsid w:val="00C363E7"/>
    <w:rsid w:val="00C3640A"/>
    <w:rsid w:val="00C36F96"/>
    <w:rsid w:val="00C3796D"/>
    <w:rsid w:val="00C4006C"/>
    <w:rsid w:val="00C4057F"/>
    <w:rsid w:val="00C405F4"/>
    <w:rsid w:val="00C40753"/>
    <w:rsid w:val="00C40815"/>
    <w:rsid w:val="00C40B89"/>
    <w:rsid w:val="00C40B90"/>
    <w:rsid w:val="00C41BEB"/>
    <w:rsid w:val="00C427A2"/>
    <w:rsid w:val="00C42E64"/>
    <w:rsid w:val="00C42FF6"/>
    <w:rsid w:val="00C43596"/>
    <w:rsid w:val="00C43C61"/>
    <w:rsid w:val="00C43F21"/>
    <w:rsid w:val="00C441C2"/>
    <w:rsid w:val="00C4421D"/>
    <w:rsid w:val="00C44B56"/>
    <w:rsid w:val="00C45295"/>
    <w:rsid w:val="00C46312"/>
    <w:rsid w:val="00C46397"/>
    <w:rsid w:val="00C47B24"/>
    <w:rsid w:val="00C50040"/>
    <w:rsid w:val="00C507A3"/>
    <w:rsid w:val="00C5183A"/>
    <w:rsid w:val="00C51B9C"/>
    <w:rsid w:val="00C51BEC"/>
    <w:rsid w:val="00C521AE"/>
    <w:rsid w:val="00C52B13"/>
    <w:rsid w:val="00C54A87"/>
    <w:rsid w:val="00C55428"/>
    <w:rsid w:val="00C5575C"/>
    <w:rsid w:val="00C55D3D"/>
    <w:rsid w:val="00C55DE1"/>
    <w:rsid w:val="00C56679"/>
    <w:rsid w:val="00C568CE"/>
    <w:rsid w:val="00C56978"/>
    <w:rsid w:val="00C56A7A"/>
    <w:rsid w:val="00C56BC5"/>
    <w:rsid w:val="00C56DB7"/>
    <w:rsid w:val="00C572FF"/>
    <w:rsid w:val="00C57991"/>
    <w:rsid w:val="00C60B64"/>
    <w:rsid w:val="00C60D23"/>
    <w:rsid w:val="00C6101E"/>
    <w:rsid w:val="00C613E0"/>
    <w:rsid w:val="00C615B8"/>
    <w:rsid w:val="00C616B6"/>
    <w:rsid w:val="00C61AFD"/>
    <w:rsid w:val="00C62D67"/>
    <w:rsid w:val="00C6356B"/>
    <w:rsid w:val="00C64963"/>
    <w:rsid w:val="00C652E2"/>
    <w:rsid w:val="00C653FB"/>
    <w:rsid w:val="00C656E5"/>
    <w:rsid w:val="00C657F5"/>
    <w:rsid w:val="00C65CBF"/>
    <w:rsid w:val="00C66344"/>
    <w:rsid w:val="00C66375"/>
    <w:rsid w:val="00C667D0"/>
    <w:rsid w:val="00C66AD7"/>
    <w:rsid w:val="00C66CDE"/>
    <w:rsid w:val="00C66D7C"/>
    <w:rsid w:val="00C66E3C"/>
    <w:rsid w:val="00C67EA5"/>
    <w:rsid w:val="00C70107"/>
    <w:rsid w:val="00C70449"/>
    <w:rsid w:val="00C70759"/>
    <w:rsid w:val="00C70B05"/>
    <w:rsid w:val="00C70E36"/>
    <w:rsid w:val="00C71279"/>
    <w:rsid w:val="00C71351"/>
    <w:rsid w:val="00C71A08"/>
    <w:rsid w:val="00C723C0"/>
    <w:rsid w:val="00C72625"/>
    <w:rsid w:val="00C7271D"/>
    <w:rsid w:val="00C72B6C"/>
    <w:rsid w:val="00C7375A"/>
    <w:rsid w:val="00C73FAB"/>
    <w:rsid w:val="00C74CF6"/>
    <w:rsid w:val="00C75A01"/>
    <w:rsid w:val="00C75BCA"/>
    <w:rsid w:val="00C75C66"/>
    <w:rsid w:val="00C75DB6"/>
    <w:rsid w:val="00C76E04"/>
    <w:rsid w:val="00C76FB0"/>
    <w:rsid w:val="00C77D93"/>
    <w:rsid w:val="00C80E58"/>
    <w:rsid w:val="00C81278"/>
    <w:rsid w:val="00C81A2C"/>
    <w:rsid w:val="00C8285E"/>
    <w:rsid w:val="00C82F2D"/>
    <w:rsid w:val="00C83260"/>
    <w:rsid w:val="00C836F0"/>
    <w:rsid w:val="00C8383B"/>
    <w:rsid w:val="00C8398B"/>
    <w:rsid w:val="00C84318"/>
    <w:rsid w:val="00C856BE"/>
    <w:rsid w:val="00C85CAE"/>
    <w:rsid w:val="00C85F2C"/>
    <w:rsid w:val="00C86D73"/>
    <w:rsid w:val="00C8734C"/>
    <w:rsid w:val="00C87A9E"/>
    <w:rsid w:val="00C904E4"/>
    <w:rsid w:val="00C90BC4"/>
    <w:rsid w:val="00C91633"/>
    <w:rsid w:val="00C91B84"/>
    <w:rsid w:val="00C91D78"/>
    <w:rsid w:val="00C935B7"/>
    <w:rsid w:val="00C9382C"/>
    <w:rsid w:val="00C94BAE"/>
    <w:rsid w:val="00C94C71"/>
    <w:rsid w:val="00C94F15"/>
    <w:rsid w:val="00C94F74"/>
    <w:rsid w:val="00C954BD"/>
    <w:rsid w:val="00C95615"/>
    <w:rsid w:val="00C95C3B"/>
    <w:rsid w:val="00C97517"/>
    <w:rsid w:val="00C979BC"/>
    <w:rsid w:val="00C97CC0"/>
    <w:rsid w:val="00C97D75"/>
    <w:rsid w:val="00CA0261"/>
    <w:rsid w:val="00CA04BA"/>
    <w:rsid w:val="00CA1050"/>
    <w:rsid w:val="00CA136D"/>
    <w:rsid w:val="00CA147B"/>
    <w:rsid w:val="00CA2019"/>
    <w:rsid w:val="00CA2400"/>
    <w:rsid w:val="00CA24A1"/>
    <w:rsid w:val="00CA2AC9"/>
    <w:rsid w:val="00CA2D7A"/>
    <w:rsid w:val="00CA33A5"/>
    <w:rsid w:val="00CA3BBE"/>
    <w:rsid w:val="00CA3CDB"/>
    <w:rsid w:val="00CA47F5"/>
    <w:rsid w:val="00CA4CA2"/>
    <w:rsid w:val="00CA5368"/>
    <w:rsid w:val="00CA6310"/>
    <w:rsid w:val="00CA6776"/>
    <w:rsid w:val="00CA7E89"/>
    <w:rsid w:val="00CB0113"/>
    <w:rsid w:val="00CB058C"/>
    <w:rsid w:val="00CB0939"/>
    <w:rsid w:val="00CB0BE4"/>
    <w:rsid w:val="00CB121D"/>
    <w:rsid w:val="00CB146E"/>
    <w:rsid w:val="00CB14A4"/>
    <w:rsid w:val="00CB2CCA"/>
    <w:rsid w:val="00CB30D0"/>
    <w:rsid w:val="00CB37A5"/>
    <w:rsid w:val="00CB3C01"/>
    <w:rsid w:val="00CB3EBC"/>
    <w:rsid w:val="00CB44B7"/>
    <w:rsid w:val="00CB493B"/>
    <w:rsid w:val="00CB4BA4"/>
    <w:rsid w:val="00CB4EC9"/>
    <w:rsid w:val="00CB5187"/>
    <w:rsid w:val="00CB5211"/>
    <w:rsid w:val="00CB570A"/>
    <w:rsid w:val="00CB679C"/>
    <w:rsid w:val="00CB6A84"/>
    <w:rsid w:val="00CB6A85"/>
    <w:rsid w:val="00CB7121"/>
    <w:rsid w:val="00CB7364"/>
    <w:rsid w:val="00CB7C4A"/>
    <w:rsid w:val="00CB7DD9"/>
    <w:rsid w:val="00CB7ECC"/>
    <w:rsid w:val="00CC00DA"/>
    <w:rsid w:val="00CC0B1E"/>
    <w:rsid w:val="00CC0C76"/>
    <w:rsid w:val="00CC1475"/>
    <w:rsid w:val="00CC1632"/>
    <w:rsid w:val="00CC1DED"/>
    <w:rsid w:val="00CC2C7F"/>
    <w:rsid w:val="00CC319E"/>
    <w:rsid w:val="00CC336D"/>
    <w:rsid w:val="00CC340A"/>
    <w:rsid w:val="00CC36E9"/>
    <w:rsid w:val="00CC475F"/>
    <w:rsid w:val="00CC5AA0"/>
    <w:rsid w:val="00CC669A"/>
    <w:rsid w:val="00CC69B1"/>
    <w:rsid w:val="00CC75B6"/>
    <w:rsid w:val="00CC779B"/>
    <w:rsid w:val="00CC7DE9"/>
    <w:rsid w:val="00CD2289"/>
    <w:rsid w:val="00CD2730"/>
    <w:rsid w:val="00CD28B2"/>
    <w:rsid w:val="00CD2DD0"/>
    <w:rsid w:val="00CD2E3B"/>
    <w:rsid w:val="00CD33EE"/>
    <w:rsid w:val="00CD3776"/>
    <w:rsid w:val="00CD4D65"/>
    <w:rsid w:val="00CD4ED7"/>
    <w:rsid w:val="00CD55B1"/>
    <w:rsid w:val="00CD5680"/>
    <w:rsid w:val="00CD57E1"/>
    <w:rsid w:val="00CD59A3"/>
    <w:rsid w:val="00CD648D"/>
    <w:rsid w:val="00CD6B80"/>
    <w:rsid w:val="00CD7616"/>
    <w:rsid w:val="00CD775A"/>
    <w:rsid w:val="00CE01B5"/>
    <w:rsid w:val="00CE021F"/>
    <w:rsid w:val="00CE0A60"/>
    <w:rsid w:val="00CE0B98"/>
    <w:rsid w:val="00CE1CD1"/>
    <w:rsid w:val="00CE2312"/>
    <w:rsid w:val="00CE2620"/>
    <w:rsid w:val="00CE336E"/>
    <w:rsid w:val="00CE374F"/>
    <w:rsid w:val="00CE384F"/>
    <w:rsid w:val="00CE3CDF"/>
    <w:rsid w:val="00CE3D08"/>
    <w:rsid w:val="00CE3E07"/>
    <w:rsid w:val="00CE3FEE"/>
    <w:rsid w:val="00CE455E"/>
    <w:rsid w:val="00CE47B3"/>
    <w:rsid w:val="00CE4F0D"/>
    <w:rsid w:val="00CE64A9"/>
    <w:rsid w:val="00CE64D0"/>
    <w:rsid w:val="00CE6640"/>
    <w:rsid w:val="00CE6768"/>
    <w:rsid w:val="00CE68A3"/>
    <w:rsid w:val="00CE7175"/>
    <w:rsid w:val="00CE79A8"/>
    <w:rsid w:val="00CE7E34"/>
    <w:rsid w:val="00CF0639"/>
    <w:rsid w:val="00CF0AE5"/>
    <w:rsid w:val="00CF14A0"/>
    <w:rsid w:val="00CF1737"/>
    <w:rsid w:val="00CF19DF"/>
    <w:rsid w:val="00CF1F8D"/>
    <w:rsid w:val="00CF2172"/>
    <w:rsid w:val="00CF25F6"/>
    <w:rsid w:val="00CF2BBB"/>
    <w:rsid w:val="00CF366B"/>
    <w:rsid w:val="00CF3B6C"/>
    <w:rsid w:val="00CF4074"/>
    <w:rsid w:val="00CF4810"/>
    <w:rsid w:val="00CF4D38"/>
    <w:rsid w:val="00CF4F1F"/>
    <w:rsid w:val="00CF4F47"/>
    <w:rsid w:val="00CF5030"/>
    <w:rsid w:val="00CF6A40"/>
    <w:rsid w:val="00CF6E9D"/>
    <w:rsid w:val="00CF6ED0"/>
    <w:rsid w:val="00CF7193"/>
    <w:rsid w:val="00CF76A0"/>
    <w:rsid w:val="00CF78CE"/>
    <w:rsid w:val="00D0026D"/>
    <w:rsid w:val="00D005B4"/>
    <w:rsid w:val="00D00784"/>
    <w:rsid w:val="00D00BC5"/>
    <w:rsid w:val="00D019EA"/>
    <w:rsid w:val="00D01AD1"/>
    <w:rsid w:val="00D02277"/>
    <w:rsid w:val="00D022F4"/>
    <w:rsid w:val="00D02BB4"/>
    <w:rsid w:val="00D03128"/>
    <w:rsid w:val="00D03153"/>
    <w:rsid w:val="00D033C8"/>
    <w:rsid w:val="00D03957"/>
    <w:rsid w:val="00D03B43"/>
    <w:rsid w:val="00D03C14"/>
    <w:rsid w:val="00D046B2"/>
    <w:rsid w:val="00D04B2D"/>
    <w:rsid w:val="00D04C84"/>
    <w:rsid w:val="00D052B0"/>
    <w:rsid w:val="00D058FD"/>
    <w:rsid w:val="00D05F86"/>
    <w:rsid w:val="00D06433"/>
    <w:rsid w:val="00D06652"/>
    <w:rsid w:val="00D07169"/>
    <w:rsid w:val="00D07583"/>
    <w:rsid w:val="00D0769F"/>
    <w:rsid w:val="00D07C40"/>
    <w:rsid w:val="00D102A5"/>
    <w:rsid w:val="00D10517"/>
    <w:rsid w:val="00D109FA"/>
    <w:rsid w:val="00D11712"/>
    <w:rsid w:val="00D11EC0"/>
    <w:rsid w:val="00D120D2"/>
    <w:rsid w:val="00D1301C"/>
    <w:rsid w:val="00D131D1"/>
    <w:rsid w:val="00D13294"/>
    <w:rsid w:val="00D13666"/>
    <w:rsid w:val="00D13CB3"/>
    <w:rsid w:val="00D14D12"/>
    <w:rsid w:val="00D14EF2"/>
    <w:rsid w:val="00D15411"/>
    <w:rsid w:val="00D16B43"/>
    <w:rsid w:val="00D171C8"/>
    <w:rsid w:val="00D17C55"/>
    <w:rsid w:val="00D20137"/>
    <w:rsid w:val="00D202AF"/>
    <w:rsid w:val="00D208E6"/>
    <w:rsid w:val="00D20B09"/>
    <w:rsid w:val="00D21A55"/>
    <w:rsid w:val="00D223FB"/>
    <w:rsid w:val="00D224AD"/>
    <w:rsid w:val="00D22651"/>
    <w:rsid w:val="00D23AD0"/>
    <w:rsid w:val="00D23B0A"/>
    <w:rsid w:val="00D24239"/>
    <w:rsid w:val="00D24BAF"/>
    <w:rsid w:val="00D24C26"/>
    <w:rsid w:val="00D255C6"/>
    <w:rsid w:val="00D2620A"/>
    <w:rsid w:val="00D27091"/>
    <w:rsid w:val="00D277EE"/>
    <w:rsid w:val="00D309DD"/>
    <w:rsid w:val="00D30C66"/>
    <w:rsid w:val="00D31163"/>
    <w:rsid w:val="00D31AAB"/>
    <w:rsid w:val="00D31D60"/>
    <w:rsid w:val="00D3238A"/>
    <w:rsid w:val="00D32590"/>
    <w:rsid w:val="00D3330C"/>
    <w:rsid w:val="00D3330E"/>
    <w:rsid w:val="00D3349D"/>
    <w:rsid w:val="00D33682"/>
    <w:rsid w:val="00D339B4"/>
    <w:rsid w:val="00D34598"/>
    <w:rsid w:val="00D34B22"/>
    <w:rsid w:val="00D3511A"/>
    <w:rsid w:val="00D35F28"/>
    <w:rsid w:val="00D3672A"/>
    <w:rsid w:val="00D368A2"/>
    <w:rsid w:val="00D368FF"/>
    <w:rsid w:val="00D36D8E"/>
    <w:rsid w:val="00D37142"/>
    <w:rsid w:val="00D372A0"/>
    <w:rsid w:val="00D374D1"/>
    <w:rsid w:val="00D37596"/>
    <w:rsid w:val="00D37899"/>
    <w:rsid w:val="00D37FCE"/>
    <w:rsid w:val="00D40238"/>
    <w:rsid w:val="00D40D79"/>
    <w:rsid w:val="00D4117C"/>
    <w:rsid w:val="00D41258"/>
    <w:rsid w:val="00D432D3"/>
    <w:rsid w:val="00D43430"/>
    <w:rsid w:val="00D43441"/>
    <w:rsid w:val="00D439C3"/>
    <w:rsid w:val="00D43F3D"/>
    <w:rsid w:val="00D449C6"/>
    <w:rsid w:val="00D44A3B"/>
    <w:rsid w:val="00D451A0"/>
    <w:rsid w:val="00D451C2"/>
    <w:rsid w:val="00D45385"/>
    <w:rsid w:val="00D45546"/>
    <w:rsid w:val="00D45663"/>
    <w:rsid w:val="00D45C34"/>
    <w:rsid w:val="00D4777F"/>
    <w:rsid w:val="00D478D3"/>
    <w:rsid w:val="00D47C07"/>
    <w:rsid w:val="00D5062B"/>
    <w:rsid w:val="00D50975"/>
    <w:rsid w:val="00D50B46"/>
    <w:rsid w:val="00D50B72"/>
    <w:rsid w:val="00D51867"/>
    <w:rsid w:val="00D51AC9"/>
    <w:rsid w:val="00D51AD4"/>
    <w:rsid w:val="00D52DBB"/>
    <w:rsid w:val="00D52E53"/>
    <w:rsid w:val="00D531B6"/>
    <w:rsid w:val="00D53530"/>
    <w:rsid w:val="00D5418D"/>
    <w:rsid w:val="00D541EF"/>
    <w:rsid w:val="00D54B76"/>
    <w:rsid w:val="00D54E08"/>
    <w:rsid w:val="00D5508A"/>
    <w:rsid w:val="00D55828"/>
    <w:rsid w:val="00D55C1D"/>
    <w:rsid w:val="00D55FD4"/>
    <w:rsid w:val="00D56305"/>
    <w:rsid w:val="00D566F1"/>
    <w:rsid w:val="00D56FC0"/>
    <w:rsid w:val="00D57388"/>
    <w:rsid w:val="00D5765B"/>
    <w:rsid w:val="00D601FE"/>
    <w:rsid w:val="00D61A0D"/>
    <w:rsid w:val="00D6372C"/>
    <w:rsid w:val="00D63F0E"/>
    <w:rsid w:val="00D63F45"/>
    <w:rsid w:val="00D64048"/>
    <w:rsid w:val="00D645A6"/>
    <w:rsid w:val="00D64E9D"/>
    <w:rsid w:val="00D65A11"/>
    <w:rsid w:val="00D65B91"/>
    <w:rsid w:val="00D66659"/>
    <w:rsid w:val="00D66CD5"/>
    <w:rsid w:val="00D6707F"/>
    <w:rsid w:val="00D67145"/>
    <w:rsid w:val="00D70C1D"/>
    <w:rsid w:val="00D70FF2"/>
    <w:rsid w:val="00D7160F"/>
    <w:rsid w:val="00D7197E"/>
    <w:rsid w:val="00D71EB9"/>
    <w:rsid w:val="00D726FD"/>
    <w:rsid w:val="00D72C26"/>
    <w:rsid w:val="00D73288"/>
    <w:rsid w:val="00D73686"/>
    <w:rsid w:val="00D7371E"/>
    <w:rsid w:val="00D73EF2"/>
    <w:rsid w:val="00D741DB"/>
    <w:rsid w:val="00D742A0"/>
    <w:rsid w:val="00D74E88"/>
    <w:rsid w:val="00D75216"/>
    <w:rsid w:val="00D756A7"/>
    <w:rsid w:val="00D75D33"/>
    <w:rsid w:val="00D75E56"/>
    <w:rsid w:val="00D763AE"/>
    <w:rsid w:val="00D76CD8"/>
    <w:rsid w:val="00D77919"/>
    <w:rsid w:val="00D779D4"/>
    <w:rsid w:val="00D80830"/>
    <w:rsid w:val="00D8135D"/>
    <w:rsid w:val="00D8158C"/>
    <w:rsid w:val="00D81ED6"/>
    <w:rsid w:val="00D82533"/>
    <w:rsid w:val="00D834FC"/>
    <w:rsid w:val="00D8359E"/>
    <w:rsid w:val="00D8512B"/>
    <w:rsid w:val="00D852FD"/>
    <w:rsid w:val="00D853D6"/>
    <w:rsid w:val="00D857FE"/>
    <w:rsid w:val="00D859D8"/>
    <w:rsid w:val="00D8686B"/>
    <w:rsid w:val="00D86F69"/>
    <w:rsid w:val="00D86F82"/>
    <w:rsid w:val="00D87458"/>
    <w:rsid w:val="00D87A74"/>
    <w:rsid w:val="00D901F7"/>
    <w:rsid w:val="00D90311"/>
    <w:rsid w:val="00D907F2"/>
    <w:rsid w:val="00D910E2"/>
    <w:rsid w:val="00D913F3"/>
    <w:rsid w:val="00D915FF"/>
    <w:rsid w:val="00D91CC6"/>
    <w:rsid w:val="00D92BBF"/>
    <w:rsid w:val="00D933F6"/>
    <w:rsid w:val="00D9398B"/>
    <w:rsid w:val="00D93F68"/>
    <w:rsid w:val="00D94010"/>
    <w:rsid w:val="00D948C4"/>
    <w:rsid w:val="00D94A97"/>
    <w:rsid w:val="00D94E85"/>
    <w:rsid w:val="00D95178"/>
    <w:rsid w:val="00D962CF"/>
    <w:rsid w:val="00D9652E"/>
    <w:rsid w:val="00D96531"/>
    <w:rsid w:val="00DA0A11"/>
    <w:rsid w:val="00DA130C"/>
    <w:rsid w:val="00DA26B3"/>
    <w:rsid w:val="00DA2FCF"/>
    <w:rsid w:val="00DA3113"/>
    <w:rsid w:val="00DA3199"/>
    <w:rsid w:val="00DA38EC"/>
    <w:rsid w:val="00DA3AAC"/>
    <w:rsid w:val="00DA43EB"/>
    <w:rsid w:val="00DA445E"/>
    <w:rsid w:val="00DA465F"/>
    <w:rsid w:val="00DA4823"/>
    <w:rsid w:val="00DA4E2E"/>
    <w:rsid w:val="00DA4E74"/>
    <w:rsid w:val="00DA518C"/>
    <w:rsid w:val="00DA542C"/>
    <w:rsid w:val="00DA5A21"/>
    <w:rsid w:val="00DA5B16"/>
    <w:rsid w:val="00DA602B"/>
    <w:rsid w:val="00DA6B9A"/>
    <w:rsid w:val="00DA6CF1"/>
    <w:rsid w:val="00DA77DE"/>
    <w:rsid w:val="00DB0366"/>
    <w:rsid w:val="00DB099F"/>
    <w:rsid w:val="00DB1672"/>
    <w:rsid w:val="00DB2AEF"/>
    <w:rsid w:val="00DB2B51"/>
    <w:rsid w:val="00DB341C"/>
    <w:rsid w:val="00DB34C9"/>
    <w:rsid w:val="00DB382B"/>
    <w:rsid w:val="00DB40CF"/>
    <w:rsid w:val="00DB4525"/>
    <w:rsid w:val="00DB47A5"/>
    <w:rsid w:val="00DB4BD3"/>
    <w:rsid w:val="00DB4D17"/>
    <w:rsid w:val="00DB5175"/>
    <w:rsid w:val="00DB614A"/>
    <w:rsid w:val="00DB6DD3"/>
    <w:rsid w:val="00DB7408"/>
    <w:rsid w:val="00DB79CB"/>
    <w:rsid w:val="00DB7CED"/>
    <w:rsid w:val="00DC09FC"/>
    <w:rsid w:val="00DC102C"/>
    <w:rsid w:val="00DC1E1B"/>
    <w:rsid w:val="00DC1EC8"/>
    <w:rsid w:val="00DC23B2"/>
    <w:rsid w:val="00DC2E18"/>
    <w:rsid w:val="00DC30FE"/>
    <w:rsid w:val="00DC3512"/>
    <w:rsid w:val="00DC3583"/>
    <w:rsid w:val="00DC385E"/>
    <w:rsid w:val="00DC3EC8"/>
    <w:rsid w:val="00DC4068"/>
    <w:rsid w:val="00DC4145"/>
    <w:rsid w:val="00DC493B"/>
    <w:rsid w:val="00DC6E62"/>
    <w:rsid w:val="00DC759F"/>
    <w:rsid w:val="00DD0B51"/>
    <w:rsid w:val="00DD0BE6"/>
    <w:rsid w:val="00DD1707"/>
    <w:rsid w:val="00DD1963"/>
    <w:rsid w:val="00DD1C59"/>
    <w:rsid w:val="00DD263C"/>
    <w:rsid w:val="00DD3074"/>
    <w:rsid w:val="00DD3272"/>
    <w:rsid w:val="00DD3467"/>
    <w:rsid w:val="00DD45B5"/>
    <w:rsid w:val="00DD474F"/>
    <w:rsid w:val="00DD4834"/>
    <w:rsid w:val="00DD4A1A"/>
    <w:rsid w:val="00DD4A2B"/>
    <w:rsid w:val="00DD4E75"/>
    <w:rsid w:val="00DD52FC"/>
    <w:rsid w:val="00DD5C3A"/>
    <w:rsid w:val="00DD5C56"/>
    <w:rsid w:val="00DD5D05"/>
    <w:rsid w:val="00DD64C8"/>
    <w:rsid w:val="00DD674D"/>
    <w:rsid w:val="00DD701C"/>
    <w:rsid w:val="00DD7DA4"/>
    <w:rsid w:val="00DE0CC3"/>
    <w:rsid w:val="00DE0F83"/>
    <w:rsid w:val="00DE2C73"/>
    <w:rsid w:val="00DE3136"/>
    <w:rsid w:val="00DE39F4"/>
    <w:rsid w:val="00DE3A27"/>
    <w:rsid w:val="00DE3E54"/>
    <w:rsid w:val="00DE481E"/>
    <w:rsid w:val="00DE4EA8"/>
    <w:rsid w:val="00DE50FD"/>
    <w:rsid w:val="00DE587D"/>
    <w:rsid w:val="00DE6805"/>
    <w:rsid w:val="00DE7807"/>
    <w:rsid w:val="00DF0D0A"/>
    <w:rsid w:val="00DF1211"/>
    <w:rsid w:val="00DF1385"/>
    <w:rsid w:val="00DF1FB9"/>
    <w:rsid w:val="00DF2469"/>
    <w:rsid w:val="00DF2EB3"/>
    <w:rsid w:val="00DF316E"/>
    <w:rsid w:val="00DF38F4"/>
    <w:rsid w:val="00DF41FB"/>
    <w:rsid w:val="00DF44E2"/>
    <w:rsid w:val="00DF465A"/>
    <w:rsid w:val="00DF58E5"/>
    <w:rsid w:val="00DF5BC6"/>
    <w:rsid w:val="00DF6527"/>
    <w:rsid w:val="00DF79E1"/>
    <w:rsid w:val="00DF7E57"/>
    <w:rsid w:val="00E000D0"/>
    <w:rsid w:val="00E00F2E"/>
    <w:rsid w:val="00E01525"/>
    <w:rsid w:val="00E0160E"/>
    <w:rsid w:val="00E0186E"/>
    <w:rsid w:val="00E01950"/>
    <w:rsid w:val="00E01FE1"/>
    <w:rsid w:val="00E024B2"/>
    <w:rsid w:val="00E025CC"/>
    <w:rsid w:val="00E02F55"/>
    <w:rsid w:val="00E02FCC"/>
    <w:rsid w:val="00E03063"/>
    <w:rsid w:val="00E036B3"/>
    <w:rsid w:val="00E044C5"/>
    <w:rsid w:val="00E051B1"/>
    <w:rsid w:val="00E057EA"/>
    <w:rsid w:val="00E05E00"/>
    <w:rsid w:val="00E06357"/>
    <w:rsid w:val="00E0667E"/>
    <w:rsid w:val="00E06F09"/>
    <w:rsid w:val="00E06FAA"/>
    <w:rsid w:val="00E073FE"/>
    <w:rsid w:val="00E078A6"/>
    <w:rsid w:val="00E07916"/>
    <w:rsid w:val="00E07AA2"/>
    <w:rsid w:val="00E1015B"/>
    <w:rsid w:val="00E106AE"/>
    <w:rsid w:val="00E10723"/>
    <w:rsid w:val="00E11236"/>
    <w:rsid w:val="00E1164D"/>
    <w:rsid w:val="00E11A5C"/>
    <w:rsid w:val="00E11CCB"/>
    <w:rsid w:val="00E1223A"/>
    <w:rsid w:val="00E122A9"/>
    <w:rsid w:val="00E12447"/>
    <w:rsid w:val="00E12ABE"/>
    <w:rsid w:val="00E12E0E"/>
    <w:rsid w:val="00E12FC7"/>
    <w:rsid w:val="00E1415F"/>
    <w:rsid w:val="00E15141"/>
    <w:rsid w:val="00E15683"/>
    <w:rsid w:val="00E1603D"/>
    <w:rsid w:val="00E163D8"/>
    <w:rsid w:val="00E17778"/>
    <w:rsid w:val="00E1784D"/>
    <w:rsid w:val="00E17E95"/>
    <w:rsid w:val="00E20A95"/>
    <w:rsid w:val="00E20E02"/>
    <w:rsid w:val="00E20FC9"/>
    <w:rsid w:val="00E21BD1"/>
    <w:rsid w:val="00E22146"/>
    <w:rsid w:val="00E222DF"/>
    <w:rsid w:val="00E2282E"/>
    <w:rsid w:val="00E2294D"/>
    <w:rsid w:val="00E2297A"/>
    <w:rsid w:val="00E229C1"/>
    <w:rsid w:val="00E22C09"/>
    <w:rsid w:val="00E2339C"/>
    <w:rsid w:val="00E238C8"/>
    <w:rsid w:val="00E239E9"/>
    <w:rsid w:val="00E23DA4"/>
    <w:rsid w:val="00E23FAE"/>
    <w:rsid w:val="00E248F0"/>
    <w:rsid w:val="00E254BE"/>
    <w:rsid w:val="00E25A83"/>
    <w:rsid w:val="00E2796A"/>
    <w:rsid w:val="00E30003"/>
    <w:rsid w:val="00E313CE"/>
    <w:rsid w:val="00E31F09"/>
    <w:rsid w:val="00E320DB"/>
    <w:rsid w:val="00E32340"/>
    <w:rsid w:val="00E32733"/>
    <w:rsid w:val="00E331D5"/>
    <w:rsid w:val="00E33AB2"/>
    <w:rsid w:val="00E33B65"/>
    <w:rsid w:val="00E33E69"/>
    <w:rsid w:val="00E3497F"/>
    <w:rsid w:val="00E34E6A"/>
    <w:rsid w:val="00E34F1E"/>
    <w:rsid w:val="00E35359"/>
    <w:rsid w:val="00E35931"/>
    <w:rsid w:val="00E35D96"/>
    <w:rsid w:val="00E35F0A"/>
    <w:rsid w:val="00E363CF"/>
    <w:rsid w:val="00E36C49"/>
    <w:rsid w:val="00E36D49"/>
    <w:rsid w:val="00E36E02"/>
    <w:rsid w:val="00E36E14"/>
    <w:rsid w:val="00E374A1"/>
    <w:rsid w:val="00E37673"/>
    <w:rsid w:val="00E408E9"/>
    <w:rsid w:val="00E413F2"/>
    <w:rsid w:val="00E418F1"/>
    <w:rsid w:val="00E419DB"/>
    <w:rsid w:val="00E41C29"/>
    <w:rsid w:val="00E41D45"/>
    <w:rsid w:val="00E4238A"/>
    <w:rsid w:val="00E42C17"/>
    <w:rsid w:val="00E4324D"/>
    <w:rsid w:val="00E433F1"/>
    <w:rsid w:val="00E439D8"/>
    <w:rsid w:val="00E4443F"/>
    <w:rsid w:val="00E448DC"/>
    <w:rsid w:val="00E44935"/>
    <w:rsid w:val="00E4496D"/>
    <w:rsid w:val="00E4579A"/>
    <w:rsid w:val="00E46771"/>
    <w:rsid w:val="00E46958"/>
    <w:rsid w:val="00E46C4C"/>
    <w:rsid w:val="00E46E0B"/>
    <w:rsid w:val="00E471ED"/>
    <w:rsid w:val="00E478DA"/>
    <w:rsid w:val="00E479FF"/>
    <w:rsid w:val="00E47A53"/>
    <w:rsid w:val="00E5076A"/>
    <w:rsid w:val="00E50E1F"/>
    <w:rsid w:val="00E5109D"/>
    <w:rsid w:val="00E528AD"/>
    <w:rsid w:val="00E52A22"/>
    <w:rsid w:val="00E53041"/>
    <w:rsid w:val="00E535C2"/>
    <w:rsid w:val="00E53728"/>
    <w:rsid w:val="00E53914"/>
    <w:rsid w:val="00E5399E"/>
    <w:rsid w:val="00E55AA4"/>
    <w:rsid w:val="00E56229"/>
    <w:rsid w:val="00E5696B"/>
    <w:rsid w:val="00E60221"/>
    <w:rsid w:val="00E6098E"/>
    <w:rsid w:val="00E60A5A"/>
    <w:rsid w:val="00E61389"/>
    <w:rsid w:val="00E61780"/>
    <w:rsid w:val="00E62796"/>
    <w:rsid w:val="00E6301A"/>
    <w:rsid w:val="00E6474F"/>
    <w:rsid w:val="00E65663"/>
    <w:rsid w:val="00E661DB"/>
    <w:rsid w:val="00E66781"/>
    <w:rsid w:val="00E66C88"/>
    <w:rsid w:val="00E67D73"/>
    <w:rsid w:val="00E67D7A"/>
    <w:rsid w:val="00E70710"/>
    <w:rsid w:val="00E71086"/>
    <w:rsid w:val="00E71B32"/>
    <w:rsid w:val="00E7391F"/>
    <w:rsid w:val="00E745BB"/>
    <w:rsid w:val="00E76596"/>
    <w:rsid w:val="00E77E32"/>
    <w:rsid w:val="00E809C8"/>
    <w:rsid w:val="00E810FF"/>
    <w:rsid w:val="00E81376"/>
    <w:rsid w:val="00E8173D"/>
    <w:rsid w:val="00E81A7E"/>
    <w:rsid w:val="00E81B11"/>
    <w:rsid w:val="00E82FC8"/>
    <w:rsid w:val="00E83069"/>
    <w:rsid w:val="00E834BF"/>
    <w:rsid w:val="00E83987"/>
    <w:rsid w:val="00E84CC4"/>
    <w:rsid w:val="00E855B1"/>
    <w:rsid w:val="00E85E67"/>
    <w:rsid w:val="00E86621"/>
    <w:rsid w:val="00E86A0D"/>
    <w:rsid w:val="00E87BD5"/>
    <w:rsid w:val="00E87C5D"/>
    <w:rsid w:val="00E87C9B"/>
    <w:rsid w:val="00E90B12"/>
    <w:rsid w:val="00E90D43"/>
    <w:rsid w:val="00E91196"/>
    <w:rsid w:val="00E912B1"/>
    <w:rsid w:val="00E921EF"/>
    <w:rsid w:val="00E927FD"/>
    <w:rsid w:val="00E92BF5"/>
    <w:rsid w:val="00E94E0B"/>
    <w:rsid w:val="00E94FD2"/>
    <w:rsid w:val="00E95897"/>
    <w:rsid w:val="00E95DDA"/>
    <w:rsid w:val="00E972A2"/>
    <w:rsid w:val="00E97A7D"/>
    <w:rsid w:val="00EA03AA"/>
    <w:rsid w:val="00EA0837"/>
    <w:rsid w:val="00EA12EA"/>
    <w:rsid w:val="00EA141E"/>
    <w:rsid w:val="00EA1B41"/>
    <w:rsid w:val="00EA1DF6"/>
    <w:rsid w:val="00EA2134"/>
    <w:rsid w:val="00EA23AC"/>
    <w:rsid w:val="00EA2B29"/>
    <w:rsid w:val="00EA2BF9"/>
    <w:rsid w:val="00EA2C90"/>
    <w:rsid w:val="00EA35FC"/>
    <w:rsid w:val="00EA376A"/>
    <w:rsid w:val="00EA3942"/>
    <w:rsid w:val="00EA3F5C"/>
    <w:rsid w:val="00EA454B"/>
    <w:rsid w:val="00EA4929"/>
    <w:rsid w:val="00EA4D9C"/>
    <w:rsid w:val="00EA5A78"/>
    <w:rsid w:val="00EA5DE5"/>
    <w:rsid w:val="00EA71D3"/>
    <w:rsid w:val="00EA781C"/>
    <w:rsid w:val="00EB051D"/>
    <w:rsid w:val="00EB1072"/>
    <w:rsid w:val="00EB1A14"/>
    <w:rsid w:val="00EB1ED2"/>
    <w:rsid w:val="00EB2610"/>
    <w:rsid w:val="00EB2D92"/>
    <w:rsid w:val="00EB3229"/>
    <w:rsid w:val="00EB341F"/>
    <w:rsid w:val="00EB36B5"/>
    <w:rsid w:val="00EB43C4"/>
    <w:rsid w:val="00EB5C2A"/>
    <w:rsid w:val="00EB686E"/>
    <w:rsid w:val="00EB6974"/>
    <w:rsid w:val="00EB6D6E"/>
    <w:rsid w:val="00EB7570"/>
    <w:rsid w:val="00EB7649"/>
    <w:rsid w:val="00EB76BD"/>
    <w:rsid w:val="00EC01F6"/>
    <w:rsid w:val="00EC05A9"/>
    <w:rsid w:val="00EC07C5"/>
    <w:rsid w:val="00EC12D9"/>
    <w:rsid w:val="00EC2103"/>
    <w:rsid w:val="00EC27C8"/>
    <w:rsid w:val="00EC284D"/>
    <w:rsid w:val="00EC2BE5"/>
    <w:rsid w:val="00EC2CCA"/>
    <w:rsid w:val="00EC2E57"/>
    <w:rsid w:val="00EC2E71"/>
    <w:rsid w:val="00EC3A46"/>
    <w:rsid w:val="00EC3AA0"/>
    <w:rsid w:val="00EC4158"/>
    <w:rsid w:val="00EC4D53"/>
    <w:rsid w:val="00EC5347"/>
    <w:rsid w:val="00EC54E1"/>
    <w:rsid w:val="00EC70AD"/>
    <w:rsid w:val="00EC7215"/>
    <w:rsid w:val="00EC7371"/>
    <w:rsid w:val="00EC7652"/>
    <w:rsid w:val="00EC766D"/>
    <w:rsid w:val="00EC77DC"/>
    <w:rsid w:val="00EC7835"/>
    <w:rsid w:val="00ED05EB"/>
    <w:rsid w:val="00ED0D53"/>
    <w:rsid w:val="00ED0ED2"/>
    <w:rsid w:val="00ED1938"/>
    <w:rsid w:val="00ED25BD"/>
    <w:rsid w:val="00ED3133"/>
    <w:rsid w:val="00ED3605"/>
    <w:rsid w:val="00ED3C86"/>
    <w:rsid w:val="00ED3CE8"/>
    <w:rsid w:val="00ED47E4"/>
    <w:rsid w:val="00ED4B01"/>
    <w:rsid w:val="00ED5511"/>
    <w:rsid w:val="00ED58AD"/>
    <w:rsid w:val="00ED5E13"/>
    <w:rsid w:val="00ED5E22"/>
    <w:rsid w:val="00ED6A91"/>
    <w:rsid w:val="00ED6C71"/>
    <w:rsid w:val="00ED71AE"/>
    <w:rsid w:val="00ED73A4"/>
    <w:rsid w:val="00ED7D8F"/>
    <w:rsid w:val="00EE07D2"/>
    <w:rsid w:val="00EE0D35"/>
    <w:rsid w:val="00EE1A53"/>
    <w:rsid w:val="00EE1BEE"/>
    <w:rsid w:val="00EE22A7"/>
    <w:rsid w:val="00EE3627"/>
    <w:rsid w:val="00EE39EA"/>
    <w:rsid w:val="00EE4D2B"/>
    <w:rsid w:val="00EE5D97"/>
    <w:rsid w:val="00EE5DE3"/>
    <w:rsid w:val="00EE6288"/>
    <w:rsid w:val="00EE66D4"/>
    <w:rsid w:val="00EE6911"/>
    <w:rsid w:val="00EE6B64"/>
    <w:rsid w:val="00EE6C36"/>
    <w:rsid w:val="00EE6F5D"/>
    <w:rsid w:val="00EE7616"/>
    <w:rsid w:val="00EF00D3"/>
    <w:rsid w:val="00EF0280"/>
    <w:rsid w:val="00EF0F38"/>
    <w:rsid w:val="00EF0F88"/>
    <w:rsid w:val="00EF12CC"/>
    <w:rsid w:val="00EF1613"/>
    <w:rsid w:val="00EF17F2"/>
    <w:rsid w:val="00EF1CA5"/>
    <w:rsid w:val="00EF21B8"/>
    <w:rsid w:val="00EF21F3"/>
    <w:rsid w:val="00EF2355"/>
    <w:rsid w:val="00EF3011"/>
    <w:rsid w:val="00EF3786"/>
    <w:rsid w:val="00EF3BE1"/>
    <w:rsid w:val="00EF4351"/>
    <w:rsid w:val="00EF4927"/>
    <w:rsid w:val="00EF4B23"/>
    <w:rsid w:val="00EF4D8A"/>
    <w:rsid w:val="00EF50AF"/>
    <w:rsid w:val="00EF5363"/>
    <w:rsid w:val="00EF59B1"/>
    <w:rsid w:val="00EF59F2"/>
    <w:rsid w:val="00EF6153"/>
    <w:rsid w:val="00EF6176"/>
    <w:rsid w:val="00EF6E4E"/>
    <w:rsid w:val="00EF713B"/>
    <w:rsid w:val="00EF71AB"/>
    <w:rsid w:val="00EF74E7"/>
    <w:rsid w:val="00EF780A"/>
    <w:rsid w:val="00EF7B3E"/>
    <w:rsid w:val="00F0069B"/>
    <w:rsid w:val="00F01C37"/>
    <w:rsid w:val="00F01D44"/>
    <w:rsid w:val="00F01F24"/>
    <w:rsid w:val="00F020FB"/>
    <w:rsid w:val="00F02BF0"/>
    <w:rsid w:val="00F03C49"/>
    <w:rsid w:val="00F03F33"/>
    <w:rsid w:val="00F0432C"/>
    <w:rsid w:val="00F04516"/>
    <w:rsid w:val="00F06034"/>
    <w:rsid w:val="00F0780D"/>
    <w:rsid w:val="00F07A6D"/>
    <w:rsid w:val="00F100D2"/>
    <w:rsid w:val="00F1097C"/>
    <w:rsid w:val="00F121F0"/>
    <w:rsid w:val="00F123F4"/>
    <w:rsid w:val="00F12DCF"/>
    <w:rsid w:val="00F12DE2"/>
    <w:rsid w:val="00F12F63"/>
    <w:rsid w:val="00F1310D"/>
    <w:rsid w:val="00F133D6"/>
    <w:rsid w:val="00F13971"/>
    <w:rsid w:val="00F13C27"/>
    <w:rsid w:val="00F14133"/>
    <w:rsid w:val="00F144D6"/>
    <w:rsid w:val="00F14C5F"/>
    <w:rsid w:val="00F14FC4"/>
    <w:rsid w:val="00F1511E"/>
    <w:rsid w:val="00F15860"/>
    <w:rsid w:val="00F15A42"/>
    <w:rsid w:val="00F15DA5"/>
    <w:rsid w:val="00F16108"/>
    <w:rsid w:val="00F16136"/>
    <w:rsid w:val="00F16526"/>
    <w:rsid w:val="00F165CB"/>
    <w:rsid w:val="00F16D91"/>
    <w:rsid w:val="00F1705F"/>
    <w:rsid w:val="00F1732C"/>
    <w:rsid w:val="00F1756F"/>
    <w:rsid w:val="00F201FD"/>
    <w:rsid w:val="00F204E4"/>
    <w:rsid w:val="00F2085A"/>
    <w:rsid w:val="00F20E9D"/>
    <w:rsid w:val="00F214B1"/>
    <w:rsid w:val="00F21C7B"/>
    <w:rsid w:val="00F21F7A"/>
    <w:rsid w:val="00F2227C"/>
    <w:rsid w:val="00F23548"/>
    <w:rsid w:val="00F2359A"/>
    <w:rsid w:val="00F2404C"/>
    <w:rsid w:val="00F24202"/>
    <w:rsid w:val="00F2429E"/>
    <w:rsid w:val="00F24782"/>
    <w:rsid w:val="00F25371"/>
    <w:rsid w:val="00F25545"/>
    <w:rsid w:val="00F265B9"/>
    <w:rsid w:val="00F266AA"/>
    <w:rsid w:val="00F2685A"/>
    <w:rsid w:val="00F2701E"/>
    <w:rsid w:val="00F27661"/>
    <w:rsid w:val="00F2796B"/>
    <w:rsid w:val="00F279BD"/>
    <w:rsid w:val="00F27E13"/>
    <w:rsid w:val="00F27F89"/>
    <w:rsid w:val="00F27FFD"/>
    <w:rsid w:val="00F3079C"/>
    <w:rsid w:val="00F3223F"/>
    <w:rsid w:val="00F324B2"/>
    <w:rsid w:val="00F3267F"/>
    <w:rsid w:val="00F32976"/>
    <w:rsid w:val="00F33779"/>
    <w:rsid w:val="00F33B9C"/>
    <w:rsid w:val="00F34050"/>
    <w:rsid w:val="00F340F6"/>
    <w:rsid w:val="00F34129"/>
    <w:rsid w:val="00F3424C"/>
    <w:rsid w:val="00F34397"/>
    <w:rsid w:val="00F354AA"/>
    <w:rsid w:val="00F35F09"/>
    <w:rsid w:val="00F363EA"/>
    <w:rsid w:val="00F37037"/>
    <w:rsid w:val="00F3771F"/>
    <w:rsid w:val="00F37869"/>
    <w:rsid w:val="00F37A08"/>
    <w:rsid w:val="00F37BB9"/>
    <w:rsid w:val="00F40B80"/>
    <w:rsid w:val="00F41721"/>
    <w:rsid w:val="00F41B43"/>
    <w:rsid w:val="00F41B49"/>
    <w:rsid w:val="00F423F0"/>
    <w:rsid w:val="00F42726"/>
    <w:rsid w:val="00F42C78"/>
    <w:rsid w:val="00F43C32"/>
    <w:rsid w:val="00F44601"/>
    <w:rsid w:val="00F453B6"/>
    <w:rsid w:val="00F45496"/>
    <w:rsid w:val="00F45854"/>
    <w:rsid w:val="00F45D0C"/>
    <w:rsid w:val="00F460F1"/>
    <w:rsid w:val="00F464B2"/>
    <w:rsid w:val="00F468F2"/>
    <w:rsid w:val="00F4697F"/>
    <w:rsid w:val="00F46B56"/>
    <w:rsid w:val="00F46C8A"/>
    <w:rsid w:val="00F46D54"/>
    <w:rsid w:val="00F46DBE"/>
    <w:rsid w:val="00F50C86"/>
    <w:rsid w:val="00F50DC4"/>
    <w:rsid w:val="00F524C0"/>
    <w:rsid w:val="00F52A72"/>
    <w:rsid w:val="00F53483"/>
    <w:rsid w:val="00F53548"/>
    <w:rsid w:val="00F540CB"/>
    <w:rsid w:val="00F5423E"/>
    <w:rsid w:val="00F5452D"/>
    <w:rsid w:val="00F548BE"/>
    <w:rsid w:val="00F5528F"/>
    <w:rsid w:val="00F568B3"/>
    <w:rsid w:val="00F568CD"/>
    <w:rsid w:val="00F569C2"/>
    <w:rsid w:val="00F56A10"/>
    <w:rsid w:val="00F56AE4"/>
    <w:rsid w:val="00F56D94"/>
    <w:rsid w:val="00F57C62"/>
    <w:rsid w:val="00F57FC5"/>
    <w:rsid w:val="00F6000C"/>
    <w:rsid w:val="00F61269"/>
    <w:rsid w:val="00F61976"/>
    <w:rsid w:val="00F626CD"/>
    <w:rsid w:val="00F62DFC"/>
    <w:rsid w:val="00F62F58"/>
    <w:rsid w:val="00F63029"/>
    <w:rsid w:val="00F6340C"/>
    <w:rsid w:val="00F6362F"/>
    <w:rsid w:val="00F6381A"/>
    <w:rsid w:val="00F64095"/>
    <w:rsid w:val="00F645A3"/>
    <w:rsid w:val="00F6497A"/>
    <w:rsid w:val="00F65403"/>
    <w:rsid w:val="00F658BB"/>
    <w:rsid w:val="00F6598F"/>
    <w:rsid w:val="00F65E41"/>
    <w:rsid w:val="00F65FF3"/>
    <w:rsid w:val="00F66292"/>
    <w:rsid w:val="00F6694F"/>
    <w:rsid w:val="00F67026"/>
    <w:rsid w:val="00F67D15"/>
    <w:rsid w:val="00F70012"/>
    <w:rsid w:val="00F7014F"/>
    <w:rsid w:val="00F702ED"/>
    <w:rsid w:val="00F7048F"/>
    <w:rsid w:val="00F70A5D"/>
    <w:rsid w:val="00F70D04"/>
    <w:rsid w:val="00F71756"/>
    <w:rsid w:val="00F717ED"/>
    <w:rsid w:val="00F71F64"/>
    <w:rsid w:val="00F722AD"/>
    <w:rsid w:val="00F72370"/>
    <w:rsid w:val="00F724A0"/>
    <w:rsid w:val="00F72ED6"/>
    <w:rsid w:val="00F72EDE"/>
    <w:rsid w:val="00F7426C"/>
    <w:rsid w:val="00F748DB"/>
    <w:rsid w:val="00F7494B"/>
    <w:rsid w:val="00F74B62"/>
    <w:rsid w:val="00F74E67"/>
    <w:rsid w:val="00F75929"/>
    <w:rsid w:val="00F75BD6"/>
    <w:rsid w:val="00F75EED"/>
    <w:rsid w:val="00F76257"/>
    <w:rsid w:val="00F7685E"/>
    <w:rsid w:val="00F76B38"/>
    <w:rsid w:val="00F76DA5"/>
    <w:rsid w:val="00F76F1C"/>
    <w:rsid w:val="00F76FC2"/>
    <w:rsid w:val="00F770EF"/>
    <w:rsid w:val="00F775E1"/>
    <w:rsid w:val="00F7791F"/>
    <w:rsid w:val="00F77BDA"/>
    <w:rsid w:val="00F77EC2"/>
    <w:rsid w:val="00F808A8"/>
    <w:rsid w:val="00F80E09"/>
    <w:rsid w:val="00F8148A"/>
    <w:rsid w:val="00F8151C"/>
    <w:rsid w:val="00F81687"/>
    <w:rsid w:val="00F81CE3"/>
    <w:rsid w:val="00F81D23"/>
    <w:rsid w:val="00F82060"/>
    <w:rsid w:val="00F820BF"/>
    <w:rsid w:val="00F83B27"/>
    <w:rsid w:val="00F83E60"/>
    <w:rsid w:val="00F83FD9"/>
    <w:rsid w:val="00F84289"/>
    <w:rsid w:val="00F84293"/>
    <w:rsid w:val="00F857D6"/>
    <w:rsid w:val="00F87193"/>
    <w:rsid w:val="00F8722D"/>
    <w:rsid w:val="00F8785E"/>
    <w:rsid w:val="00F87F75"/>
    <w:rsid w:val="00F87F99"/>
    <w:rsid w:val="00F87FCA"/>
    <w:rsid w:val="00F902E6"/>
    <w:rsid w:val="00F917E1"/>
    <w:rsid w:val="00F9196A"/>
    <w:rsid w:val="00F920E2"/>
    <w:rsid w:val="00F921E9"/>
    <w:rsid w:val="00F92790"/>
    <w:rsid w:val="00F92920"/>
    <w:rsid w:val="00F92A63"/>
    <w:rsid w:val="00F92ACA"/>
    <w:rsid w:val="00F92C55"/>
    <w:rsid w:val="00F92E7C"/>
    <w:rsid w:val="00F92EAB"/>
    <w:rsid w:val="00F93083"/>
    <w:rsid w:val="00F930D9"/>
    <w:rsid w:val="00F9322C"/>
    <w:rsid w:val="00F93EEE"/>
    <w:rsid w:val="00F9419F"/>
    <w:rsid w:val="00F94A68"/>
    <w:rsid w:val="00F94D5F"/>
    <w:rsid w:val="00F954CA"/>
    <w:rsid w:val="00F95676"/>
    <w:rsid w:val="00F96280"/>
    <w:rsid w:val="00F967BB"/>
    <w:rsid w:val="00F96E84"/>
    <w:rsid w:val="00F97914"/>
    <w:rsid w:val="00F97E2D"/>
    <w:rsid w:val="00FA01D4"/>
    <w:rsid w:val="00FA2A41"/>
    <w:rsid w:val="00FA2BD7"/>
    <w:rsid w:val="00FA3BAD"/>
    <w:rsid w:val="00FA3F06"/>
    <w:rsid w:val="00FA4744"/>
    <w:rsid w:val="00FA53DE"/>
    <w:rsid w:val="00FA67C8"/>
    <w:rsid w:val="00FA6DE6"/>
    <w:rsid w:val="00FA6F37"/>
    <w:rsid w:val="00FA6FA7"/>
    <w:rsid w:val="00FA77CA"/>
    <w:rsid w:val="00FB0862"/>
    <w:rsid w:val="00FB0D8A"/>
    <w:rsid w:val="00FB119A"/>
    <w:rsid w:val="00FB141F"/>
    <w:rsid w:val="00FB1431"/>
    <w:rsid w:val="00FB162D"/>
    <w:rsid w:val="00FB181F"/>
    <w:rsid w:val="00FB1918"/>
    <w:rsid w:val="00FB1AE8"/>
    <w:rsid w:val="00FB1D7A"/>
    <w:rsid w:val="00FB24C0"/>
    <w:rsid w:val="00FB2671"/>
    <w:rsid w:val="00FB286E"/>
    <w:rsid w:val="00FB29B4"/>
    <w:rsid w:val="00FB2A18"/>
    <w:rsid w:val="00FB3D9E"/>
    <w:rsid w:val="00FB3F9C"/>
    <w:rsid w:val="00FB4206"/>
    <w:rsid w:val="00FB526E"/>
    <w:rsid w:val="00FB5CF6"/>
    <w:rsid w:val="00FB60E4"/>
    <w:rsid w:val="00FB6C8D"/>
    <w:rsid w:val="00FB6D76"/>
    <w:rsid w:val="00FB6F8F"/>
    <w:rsid w:val="00FB7450"/>
    <w:rsid w:val="00FB7968"/>
    <w:rsid w:val="00FC0562"/>
    <w:rsid w:val="00FC0EFA"/>
    <w:rsid w:val="00FC1079"/>
    <w:rsid w:val="00FC1327"/>
    <w:rsid w:val="00FC1533"/>
    <w:rsid w:val="00FC1D4B"/>
    <w:rsid w:val="00FC1E54"/>
    <w:rsid w:val="00FC1F81"/>
    <w:rsid w:val="00FC201C"/>
    <w:rsid w:val="00FC2F98"/>
    <w:rsid w:val="00FC314B"/>
    <w:rsid w:val="00FC345D"/>
    <w:rsid w:val="00FC39CA"/>
    <w:rsid w:val="00FC3AE8"/>
    <w:rsid w:val="00FC48DC"/>
    <w:rsid w:val="00FC4A41"/>
    <w:rsid w:val="00FC5608"/>
    <w:rsid w:val="00FC5E6F"/>
    <w:rsid w:val="00FC6408"/>
    <w:rsid w:val="00FC6F86"/>
    <w:rsid w:val="00FC7615"/>
    <w:rsid w:val="00FC7F4D"/>
    <w:rsid w:val="00FD058E"/>
    <w:rsid w:val="00FD05BC"/>
    <w:rsid w:val="00FD0E60"/>
    <w:rsid w:val="00FD1D96"/>
    <w:rsid w:val="00FD2102"/>
    <w:rsid w:val="00FD2718"/>
    <w:rsid w:val="00FD2ADD"/>
    <w:rsid w:val="00FD3889"/>
    <w:rsid w:val="00FD45D6"/>
    <w:rsid w:val="00FD465C"/>
    <w:rsid w:val="00FD562A"/>
    <w:rsid w:val="00FD64EF"/>
    <w:rsid w:val="00FD70C7"/>
    <w:rsid w:val="00FD7771"/>
    <w:rsid w:val="00FE0294"/>
    <w:rsid w:val="00FE18B4"/>
    <w:rsid w:val="00FE1CEF"/>
    <w:rsid w:val="00FE2168"/>
    <w:rsid w:val="00FE21BF"/>
    <w:rsid w:val="00FE2BD6"/>
    <w:rsid w:val="00FE2C5C"/>
    <w:rsid w:val="00FE2F0E"/>
    <w:rsid w:val="00FE2F48"/>
    <w:rsid w:val="00FE37C2"/>
    <w:rsid w:val="00FE4F46"/>
    <w:rsid w:val="00FE5276"/>
    <w:rsid w:val="00FE606C"/>
    <w:rsid w:val="00FE66FB"/>
    <w:rsid w:val="00FE6FAA"/>
    <w:rsid w:val="00FE7053"/>
    <w:rsid w:val="00FE72F9"/>
    <w:rsid w:val="00FE7495"/>
    <w:rsid w:val="00FE76F5"/>
    <w:rsid w:val="00FE7884"/>
    <w:rsid w:val="00FE7D12"/>
    <w:rsid w:val="00FE7EA0"/>
    <w:rsid w:val="00FF07DB"/>
    <w:rsid w:val="00FF1035"/>
    <w:rsid w:val="00FF39B5"/>
    <w:rsid w:val="00FF3DBD"/>
    <w:rsid w:val="00FF4204"/>
    <w:rsid w:val="00FF4314"/>
    <w:rsid w:val="00FF456E"/>
    <w:rsid w:val="00FF4A19"/>
    <w:rsid w:val="00FF4CE2"/>
    <w:rsid w:val="00FF5D14"/>
    <w:rsid w:val="00FF69A3"/>
    <w:rsid w:val="00FF7533"/>
    <w:rsid w:val="012026C3"/>
    <w:rsid w:val="018F4A34"/>
    <w:rsid w:val="01BB2C67"/>
    <w:rsid w:val="01C319BC"/>
    <w:rsid w:val="01F0299B"/>
    <w:rsid w:val="02043D10"/>
    <w:rsid w:val="021C370D"/>
    <w:rsid w:val="026E4F91"/>
    <w:rsid w:val="02BC3862"/>
    <w:rsid w:val="02D45050"/>
    <w:rsid w:val="02FE471F"/>
    <w:rsid w:val="03A36789"/>
    <w:rsid w:val="03F21FDE"/>
    <w:rsid w:val="041D095D"/>
    <w:rsid w:val="0503491D"/>
    <w:rsid w:val="052F5201"/>
    <w:rsid w:val="05C87DB9"/>
    <w:rsid w:val="05ED0292"/>
    <w:rsid w:val="05F14B49"/>
    <w:rsid w:val="060B2A85"/>
    <w:rsid w:val="0616719C"/>
    <w:rsid w:val="06342AE7"/>
    <w:rsid w:val="06BB2E8D"/>
    <w:rsid w:val="06CD781D"/>
    <w:rsid w:val="07FB6BDB"/>
    <w:rsid w:val="088133F4"/>
    <w:rsid w:val="08E519BF"/>
    <w:rsid w:val="093912B9"/>
    <w:rsid w:val="0961739E"/>
    <w:rsid w:val="098B3F8E"/>
    <w:rsid w:val="098E6083"/>
    <w:rsid w:val="09D354E6"/>
    <w:rsid w:val="09E322B9"/>
    <w:rsid w:val="0A2F2C7E"/>
    <w:rsid w:val="0A7049FD"/>
    <w:rsid w:val="0A745A61"/>
    <w:rsid w:val="0AA52573"/>
    <w:rsid w:val="0AAD40F7"/>
    <w:rsid w:val="0B205B2B"/>
    <w:rsid w:val="0B367B4B"/>
    <w:rsid w:val="0B782559"/>
    <w:rsid w:val="0BB30DED"/>
    <w:rsid w:val="0C0E3A6C"/>
    <w:rsid w:val="0C190FD3"/>
    <w:rsid w:val="0C2B1AF3"/>
    <w:rsid w:val="0C886EAB"/>
    <w:rsid w:val="0C9052D8"/>
    <w:rsid w:val="0CCC4C4B"/>
    <w:rsid w:val="0CD8309B"/>
    <w:rsid w:val="0D041C65"/>
    <w:rsid w:val="0D566BC9"/>
    <w:rsid w:val="0D703BC7"/>
    <w:rsid w:val="0D7C1890"/>
    <w:rsid w:val="0DB33E1D"/>
    <w:rsid w:val="0E180322"/>
    <w:rsid w:val="0E3466A0"/>
    <w:rsid w:val="0E3D0FC8"/>
    <w:rsid w:val="0E574E9F"/>
    <w:rsid w:val="0E5928AD"/>
    <w:rsid w:val="0E596F77"/>
    <w:rsid w:val="0E8C4995"/>
    <w:rsid w:val="0EEF4549"/>
    <w:rsid w:val="0EF27BFB"/>
    <w:rsid w:val="0FBC50EF"/>
    <w:rsid w:val="0FD44AE3"/>
    <w:rsid w:val="10027C74"/>
    <w:rsid w:val="10181124"/>
    <w:rsid w:val="101B3B73"/>
    <w:rsid w:val="1025513D"/>
    <w:rsid w:val="10A62334"/>
    <w:rsid w:val="10A962A7"/>
    <w:rsid w:val="10CA682C"/>
    <w:rsid w:val="113373E5"/>
    <w:rsid w:val="115F3FD7"/>
    <w:rsid w:val="11A259DD"/>
    <w:rsid w:val="11F9269A"/>
    <w:rsid w:val="120474A0"/>
    <w:rsid w:val="1222222D"/>
    <w:rsid w:val="12345176"/>
    <w:rsid w:val="127130D1"/>
    <w:rsid w:val="12E616A6"/>
    <w:rsid w:val="13102ABE"/>
    <w:rsid w:val="1352767E"/>
    <w:rsid w:val="13623FB2"/>
    <w:rsid w:val="138E4DA7"/>
    <w:rsid w:val="138E5AB9"/>
    <w:rsid w:val="14EE5155"/>
    <w:rsid w:val="14F50E56"/>
    <w:rsid w:val="14FF1557"/>
    <w:rsid w:val="15315045"/>
    <w:rsid w:val="154A2012"/>
    <w:rsid w:val="156A53A0"/>
    <w:rsid w:val="15747FCD"/>
    <w:rsid w:val="15A56379"/>
    <w:rsid w:val="15AC3C0A"/>
    <w:rsid w:val="167253EC"/>
    <w:rsid w:val="167D280D"/>
    <w:rsid w:val="1690033C"/>
    <w:rsid w:val="16AE477D"/>
    <w:rsid w:val="16CD518D"/>
    <w:rsid w:val="16E05D93"/>
    <w:rsid w:val="16FB10AA"/>
    <w:rsid w:val="17047766"/>
    <w:rsid w:val="172067DB"/>
    <w:rsid w:val="17397B72"/>
    <w:rsid w:val="17930D0B"/>
    <w:rsid w:val="17935895"/>
    <w:rsid w:val="17F52C18"/>
    <w:rsid w:val="18143A1A"/>
    <w:rsid w:val="184530EF"/>
    <w:rsid w:val="18D263C5"/>
    <w:rsid w:val="19156DDF"/>
    <w:rsid w:val="19227A4B"/>
    <w:rsid w:val="192C1074"/>
    <w:rsid w:val="19AD1687"/>
    <w:rsid w:val="1A493480"/>
    <w:rsid w:val="1A4E7B88"/>
    <w:rsid w:val="1A9E7C05"/>
    <w:rsid w:val="1ADD0464"/>
    <w:rsid w:val="1AF3770A"/>
    <w:rsid w:val="1AFA5750"/>
    <w:rsid w:val="1B3E182A"/>
    <w:rsid w:val="1B4B5195"/>
    <w:rsid w:val="1BB6187A"/>
    <w:rsid w:val="1BF14125"/>
    <w:rsid w:val="1C174C6F"/>
    <w:rsid w:val="1C7C020D"/>
    <w:rsid w:val="1C8F78BA"/>
    <w:rsid w:val="1C9B0D84"/>
    <w:rsid w:val="1CCB1F2D"/>
    <w:rsid w:val="1CDD3F3B"/>
    <w:rsid w:val="1CF569F6"/>
    <w:rsid w:val="1D4D6869"/>
    <w:rsid w:val="1E3055A8"/>
    <w:rsid w:val="1F0B19A2"/>
    <w:rsid w:val="1F0B1B8D"/>
    <w:rsid w:val="1F0F4608"/>
    <w:rsid w:val="1F21160A"/>
    <w:rsid w:val="1F391E5A"/>
    <w:rsid w:val="1FA91A0C"/>
    <w:rsid w:val="1FA92F69"/>
    <w:rsid w:val="1FCF64CA"/>
    <w:rsid w:val="1FDC2B07"/>
    <w:rsid w:val="1FDF525D"/>
    <w:rsid w:val="20707345"/>
    <w:rsid w:val="20D24FD3"/>
    <w:rsid w:val="20E129A3"/>
    <w:rsid w:val="21760101"/>
    <w:rsid w:val="22192627"/>
    <w:rsid w:val="22B25284"/>
    <w:rsid w:val="22C07D9F"/>
    <w:rsid w:val="23056CBA"/>
    <w:rsid w:val="230C7400"/>
    <w:rsid w:val="23374189"/>
    <w:rsid w:val="234C1E42"/>
    <w:rsid w:val="23C6059E"/>
    <w:rsid w:val="23C95079"/>
    <w:rsid w:val="23F82FFF"/>
    <w:rsid w:val="24031A53"/>
    <w:rsid w:val="241E1BDC"/>
    <w:rsid w:val="24307C26"/>
    <w:rsid w:val="244712D5"/>
    <w:rsid w:val="246D2BAA"/>
    <w:rsid w:val="248E5D4C"/>
    <w:rsid w:val="24C47897"/>
    <w:rsid w:val="24D521C3"/>
    <w:rsid w:val="24E337F8"/>
    <w:rsid w:val="256F76F4"/>
    <w:rsid w:val="258D3B57"/>
    <w:rsid w:val="25961F0A"/>
    <w:rsid w:val="25A25740"/>
    <w:rsid w:val="262336EE"/>
    <w:rsid w:val="269E4C0C"/>
    <w:rsid w:val="26A37FAB"/>
    <w:rsid w:val="27024D1A"/>
    <w:rsid w:val="276F6846"/>
    <w:rsid w:val="27800A53"/>
    <w:rsid w:val="27DD36A0"/>
    <w:rsid w:val="28086CCC"/>
    <w:rsid w:val="281F5BF1"/>
    <w:rsid w:val="286D547B"/>
    <w:rsid w:val="287421DD"/>
    <w:rsid w:val="28F416F8"/>
    <w:rsid w:val="291476A5"/>
    <w:rsid w:val="292D0DE8"/>
    <w:rsid w:val="292E69BA"/>
    <w:rsid w:val="297D2321"/>
    <w:rsid w:val="29915199"/>
    <w:rsid w:val="29A71E86"/>
    <w:rsid w:val="29AC2F7D"/>
    <w:rsid w:val="2A5F2BA2"/>
    <w:rsid w:val="2A6C27C6"/>
    <w:rsid w:val="2AAB5D0F"/>
    <w:rsid w:val="2AD85037"/>
    <w:rsid w:val="2AFA4BE0"/>
    <w:rsid w:val="2BC52ED8"/>
    <w:rsid w:val="2BD0253B"/>
    <w:rsid w:val="2C165923"/>
    <w:rsid w:val="2C444480"/>
    <w:rsid w:val="2C564DC3"/>
    <w:rsid w:val="2C6F0E8D"/>
    <w:rsid w:val="2C737E59"/>
    <w:rsid w:val="2CBD2B99"/>
    <w:rsid w:val="2CE90E48"/>
    <w:rsid w:val="2D3070C6"/>
    <w:rsid w:val="2D5934CE"/>
    <w:rsid w:val="2D5F0C1B"/>
    <w:rsid w:val="2D6C141D"/>
    <w:rsid w:val="2D753181"/>
    <w:rsid w:val="2E1F56D0"/>
    <w:rsid w:val="2E480521"/>
    <w:rsid w:val="2E6A75E3"/>
    <w:rsid w:val="2E980D64"/>
    <w:rsid w:val="2EB64B4B"/>
    <w:rsid w:val="2EDB590A"/>
    <w:rsid w:val="2F0A29E3"/>
    <w:rsid w:val="2F38535A"/>
    <w:rsid w:val="2FBB6580"/>
    <w:rsid w:val="2FC516F9"/>
    <w:rsid w:val="2FCD4446"/>
    <w:rsid w:val="30281C36"/>
    <w:rsid w:val="304E5B92"/>
    <w:rsid w:val="30817D6A"/>
    <w:rsid w:val="308F7EB1"/>
    <w:rsid w:val="30A143BF"/>
    <w:rsid w:val="30A6777C"/>
    <w:rsid w:val="310237EC"/>
    <w:rsid w:val="311741D6"/>
    <w:rsid w:val="3157114E"/>
    <w:rsid w:val="319B0341"/>
    <w:rsid w:val="319E11FF"/>
    <w:rsid w:val="31A3351A"/>
    <w:rsid w:val="31A51496"/>
    <w:rsid w:val="31CD1F2A"/>
    <w:rsid w:val="31F2037F"/>
    <w:rsid w:val="322E1C21"/>
    <w:rsid w:val="32525EC0"/>
    <w:rsid w:val="329B11F6"/>
    <w:rsid w:val="32AE62E3"/>
    <w:rsid w:val="32C954FC"/>
    <w:rsid w:val="32D7526C"/>
    <w:rsid w:val="32F1246D"/>
    <w:rsid w:val="33231000"/>
    <w:rsid w:val="335F4669"/>
    <w:rsid w:val="33612F82"/>
    <w:rsid w:val="336E087E"/>
    <w:rsid w:val="33A85DA6"/>
    <w:rsid w:val="33C3087D"/>
    <w:rsid w:val="33D8202F"/>
    <w:rsid w:val="345679FC"/>
    <w:rsid w:val="34BF3CC9"/>
    <w:rsid w:val="34CB4C7E"/>
    <w:rsid w:val="34D90277"/>
    <w:rsid w:val="350326A6"/>
    <w:rsid w:val="35961B12"/>
    <w:rsid w:val="364523AD"/>
    <w:rsid w:val="36481B0D"/>
    <w:rsid w:val="36700D38"/>
    <w:rsid w:val="36C4673D"/>
    <w:rsid w:val="36E93D4B"/>
    <w:rsid w:val="370B0A7F"/>
    <w:rsid w:val="370F2136"/>
    <w:rsid w:val="37491D7B"/>
    <w:rsid w:val="37696AEB"/>
    <w:rsid w:val="37995F73"/>
    <w:rsid w:val="37A4371A"/>
    <w:rsid w:val="37A778DB"/>
    <w:rsid w:val="37B10B63"/>
    <w:rsid w:val="37D17C49"/>
    <w:rsid w:val="37EA2644"/>
    <w:rsid w:val="38093D48"/>
    <w:rsid w:val="382E3A8B"/>
    <w:rsid w:val="38673A72"/>
    <w:rsid w:val="387B67A4"/>
    <w:rsid w:val="38903BC9"/>
    <w:rsid w:val="38950836"/>
    <w:rsid w:val="38D12C06"/>
    <w:rsid w:val="38EC7F72"/>
    <w:rsid w:val="390721D7"/>
    <w:rsid w:val="393B510C"/>
    <w:rsid w:val="393F4767"/>
    <w:rsid w:val="39A97E97"/>
    <w:rsid w:val="39E456B8"/>
    <w:rsid w:val="39FD37FA"/>
    <w:rsid w:val="3A260C29"/>
    <w:rsid w:val="3A6C5EBD"/>
    <w:rsid w:val="3B2876C0"/>
    <w:rsid w:val="3B57268D"/>
    <w:rsid w:val="3B6176CE"/>
    <w:rsid w:val="3B6363FD"/>
    <w:rsid w:val="3B6E5925"/>
    <w:rsid w:val="3B793B48"/>
    <w:rsid w:val="3B7D6120"/>
    <w:rsid w:val="3B9474EE"/>
    <w:rsid w:val="3BA83ACD"/>
    <w:rsid w:val="3BB46916"/>
    <w:rsid w:val="3BF9504C"/>
    <w:rsid w:val="3C362B77"/>
    <w:rsid w:val="3C3B1DCE"/>
    <w:rsid w:val="3C462E23"/>
    <w:rsid w:val="3C8870FC"/>
    <w:rsid w:val="3CEE1E45"/>
    <w:rsid w:val="3CF11603"/>
    <w:rsid w:val="3D0A5360"/>
    <w:rsid w:val="3D7507FB"/>
    <w:rsid w:val="3D9207F2"/>
    <w:rsid w:val="3DCF64BA"/>
    <w:rsid w:val="3EB5127A"/>
    <w:rsid w:val="3EEB0A50"/>
    <w:rsid w:val="3EED4037"/>
    <w:rsid w:val="3F222A2F"/>
    <w:rsid w:val="3F503E5E"/>
    <w:rsid w:val="3F5E56C6"/>
    <w:rsid w:val="3F682AF9"/>
    <w:rsid w:val="3F7A2D79"/>
    <w:rsid w:val="3FB06686"/>
    <w:rsid w:val="3FBA1A84"/>
    <w:rsid w:val="3FC16214"/>
    <w:rsid w:val="4050625E"/>
    <w:rsid w:val="41576FF8"/>
    <w:rsid w:val="41723229"/>
    <w:rsid w:val="41D9164E"/>
    <w:rsid w:val="41DD521D"/>
    <w:rsid w:val="423B7022"/>
    <w:rsid w:val="427239E6"/>
    <w:rsid w:val="42A87124"/>
    <w:rsid w:val="42D71A17"/>
    <w:rsid w:val="43147135"/>
    <w:rsid w:val="433575D3"/>
    <w:rsid w:val="4389060E"/>
    <w:rsid w:val="43A03ED9"/>
    <w:rsid w:val="43C62693"/>
    <w:rsid w:val="43C8028A"/>
    <w:rsid w:val="43D51667"/>
    <w:rsid w:val="43FB0D44"/>
    <w:rsid w:val="443B2C25"/>
    <w:rsid w:val="448421F1"/>
    <w:rsid w:val="44DE52DF"/>
    <w:rsid w:val="452C0C83"/>
    <w:rsid w:val="453A7C38"/>
    <w:rsid w:val="45D37D9B"/>
    <w:rsid w:val="46453DE7"/>
    <w:rsid w:val="465F1938"/>
    <w:rsid w:val="46C32D67"/>
    <w:rsid w:val="46CD537F"/>
    <w:rsid w:val="473966C9"/>
    <w:rsid w:val="47B95B8F"/>
    <w:rsid w:val="47E80223"/>
    <w:rsid w:val="48194FD5"/>
    <w:rsid w:val="484514CB"/>
    <w:rsid w:val="48A06614"/>
    <w:rsid w:val="48A26803"/>
    <w:rsid w:val="48B91840"/>
    <w:rsid w:val="48C86EE1"/>
    <w:rsid w:val="494E6D72"/>
    <w:rsid w:val="49616273"/>
    <w:rsid w:val="49AB7DDB"/>
    <w:rsid w:val="49BE7DC6"/>
    <w:rsid w:val="49FA6EF8"/>
    <w:rsid w:val="4A6242BC"/>
    <w:rsid w:val="4A784961"/>
    <w:rsid w:val="4ACF3A3C"/>
    <w:rsid w:val="4B1700DF"/>
    <w:rsid w:val="4B3E5FF3"/>
    <w:rsid w:val="4B8B5CEB"/>
    <w:rsid w:val="4BE3793F"/>
    <w:rsid w:val="4BEF050E"/>
    <w:rsid w:val="4C2D0EBF"/>
    <w:rsid w:val="4C6D1377"/>
    <w:rsid w:val="4CAC3FCC"/>
    <w:rsid w:val="4D6E42B8"/>
    <w:rsid w:val="4D8E7176"/>
    <w:rsid w:val="4E565B2A"/>
    <w:rsid w:val="4EE22B6C"/>
    <w:rsid w:val="4F0F6A19"/>
    <w:rsid w:val="4FBC6834"/>
    <w:rsid w:val="5076691A"/>
    <w:rsid w:val="50CB636E"/>
    <w:rsid w:val="50FA6E95"/>
    <w:rsid w:val="50FF6A03"/>
    <w:rsid w:val="511664CD"/>
    <w:rsid w:val="51A56335"/>
    <w:rsid w:val="51D10A66"/>
    <w:rsid w:val="51D34CEE"/>
    <w:rsid w:val="51EC470F"/>
    <w:rsid w:val="51F45E66"/>
    <w:rsid w:val="52077265"/>
    <w:rsid w:val="52187ABA"/>
    <w:rsid w:val="524D3559"/>
    <w:rsid w:val="526074A8"/>
    <w:rsid w:val="52634F48"/>
    <w:rsid w:val="528A390F"/>
    <w:rsid w:val="528C6991"/>
    <w:rsid w:val="52B60483"/>
    <w:rsid w:val="52C3297B"/>
    <w:rsid w:val="530E479C"/>
    <w:rsid w:val="53385A8B"/>
    <w:rsid w:val="53DE10BA"/>
    <w:rsid w:val="54054633"/>
    <w:rsid w:val="540605E4"/>
    <w:rsid w:val="544B3BC9"/>
    <w:rsid w:val="546877D5"/>
    <w:rsid w:val="547F0032"/>
    <w:rsid w:val="548E38C1"/>
    <w:rsid w:val="54A02A20"/>
    <w:rsid w:val="550A09A5"/>
    <w:rsid w:val="5580354E"/>
    <w:rsid w:val="55850317"/>
    <w:rsid w:val="55C87B3E"/>
    <w:rsid w:val="55CA6C09"/>
    <w:rsid w:val="55F80CF2"/>
    <w:rsid w:val="563017C4"/>
    <w:rsid w:val="56364BA4"/>
    <w:rsid w:val="578735EF"/>
    <w:rsid w:val="57885612"/>
    <w:rsid w:val="578F011E"/>
    <w:rsid w:val="5826757B"/>
    <w:rsid w:val="583A6878"/>
    <w:rsid w:val="58D67D8C"/>
    <w:rsid w:val="58DF383B"/>
    <w:rsid w:val="58E10577"/>
    <w:rsid w:val="59165EF7"/>
    <w:rsid w:val="592778A3"/>
    <w:rsid w:val="59291DA1"/>
    <w:rsid w:val="5952168B"/>
    <w:rsid w:val="59630E88"/>
    <w:rsid w:val="59702A12"/>
    <w:rsid w:val="59C141A2"/>
    <w:rsid w:val="59E113CE"/>
    <w:rsid w:val="5AB265D5"/>
    <w:rsid w:val="5AB75AE4"/>
    <w:rsid w:val="5ACB37B8"/>
    <w:rsid w:val="5AED2A9C"/>
    <w:rsid w:val="5B1909C7"/>
    <w:rsid w:val="5B227DF7"/>
    <w:rsid w:val="5B900E33"/>
    <w:rsid w:val="5B902A45"/>
    <w:rsid w:val="5BC746C9"/>
    <w:rsid w:val="5BDE6392"/>
    <w:rsid w:val="5C0E0752"/>
    <w:rsid w:val="5C171701"/>
    <w:rsid w:val="5C4001D5"/>
    <w:rsid w:val="5CC61F72"/>
    <w:rsid w:val="5CD9545D"/>
    <w:rsid w:val="5CF206F7"/>
    <w:rsid w:val="5CF618DC"/>
    <w:rsid w:val="5E21572B"/>
    <w:rsid w:val="5E584B3F"/>
    <w:rsid w:val="5EA0340D"/>
    <w:rsid w:val="5EAC0BFA"/>
    <w:rsid w:val="5EB97B7E"/>
    <w:rsid w:val="5ED63F12"/>
    <w:rsid w:val="5ED66C3C"/>
    <w:rsid w:val="5EEB1E51"/>
    <w:rsid w:val="5F6A348F"/>
    <w:rsid w:val="5FDA464D"/>
    <w:rsid w:val="5FDD643B"/>
    <w:rsid w:val="607249AE"/>
    <w:rsid w:val="60B42680"/>
    <w:rsid w:val="60BA3E42"/>
    <w:rsid w:val="60C5514D"/>
    <w:rsid w:val="60D87CF7"/>
    <w:rsid w:val="611A522F"/>
    <w:rsid w:val="613424ED"/>
    <w:rsid w:val="6194383B"/>
    <w:rsid w:val="619856E4"/>
    <w:rsid w:val="61CB5375"/>
    <w:rsid w:val="61F728EC"/>
    <w:rsid w:val="62164440"/>
    <w:rsid w:val="623348CA"/>
    <w:rsid w:val="62BA284A"/>
    <w:rsid w:val="639E4261"/>
    <w:rsid w:val="63D11B11"/>
    <w:rsid w:val="63E01B37"/>
    <w:rsid w:val="64437B92"/>
    <w:rsid w:val="6493306E"/>
    <w:rsid w:val="65306E65"/>
    <w:rsid w:val="65CA685B"/>
    <w:rsid w:val="65CF34A7"/>
    <w:rsid w:val="65F660EF"/>
    <w:rsid w:val="6673798C"/>
    <w:rsid w:val="670A38BA"/>
    <w:rsid w:val="672F41F6"/>
    <w:rsid w:val="673905B6"/>
    <w:rsid w:val="67580865"/>
    <w:rsid w:val="67F91596"/>
    <w:rsid w:val="681C3942"/>
    <w:rsid w:val="68460AAC"/>
    <w:rsid w:val="68533434"/>
    <w:rsid w:val="68AC1CFE"/>
    <w:rsid w:val="68BD6F00"/>
    <w:rsid w:val="68EC626C"/>
    <w:rsid w:val="6905258B"/>
    <w:rsid w:val="690E58E3"/>
    <w:rsid w:val="69935DE8"/>
    <w:rsid w:val="69BE26F9"/>
    <w:rsid w:val="69D62D10"/>
    <w:rsid w:val="6A452CC9"/>
    <w:rsid w:val="6A9A4F55"/>
    <w:rsid w:val="6AEC10B1"/>
    <w:rsid w:val="6AED37F2"/>
    <w:rsid w:val="6B064DC4"/>
    <w:rsid w:val="6B2F536D"/>
    <w:rsid w:val="6B597951"/>
    <w:rsid w:val="6BCD1DE6"/>
    <w:rsid w:val="6C0E79A8"/>
    <w:rsid w:val="6C505023"/>
    <w:rsid w:val="6C765754"/>
    <w:rsid w:val="6D14299F"/>
    <w:rsid w:val="6D672A1E"/>
    <w:rsid w:val="6DA85BDA"/>
    <w:rsid w:val="6DC237D1"/>
    <w:rsid w:val="6DE263B0"/>
    <w:rsid w:val="6EEF69CC"/>
    <w:rsid w:val="6F40725E"/>
    <w:rsid w:val="6F4C2770"/>
    <w:rsid w:val="6F745D74"/>
    <w:rsid w:val="7011005C"/>
    <w:rsid w:val="70893417"/>
    <w:rsid w:val="70A96529"/>
    <w:rsid w:val="70DD3466"/>
    <w:rsid w:val="711172CF"/>
    <w:rsid w:val="719A0162"/>
    <w:rsid w:val="719B22C0"/>
    <w:rsid w:val="71E32E83"/>
    <w:rsid w:val="71FD54DD"/>
    <w:rsid w:val="72083DA1"/>
    <w:rsid w:val="722E2E56"/>
    <w:rsid w:val="724D6E70"/>
    <w:rsid w:val="735F166D"/>
    <w:rsid w:val="73914F94"/>
    <w:rsid w:val="739A7F5B"/>
    <w:rsid w:val="73A845CB"/>
    <w:rsid w:val="73B30AAB"/>
    <w:rsid w:val="740F7783"/>
    <w:rsid w:val="7410294D"/>
    <w:rsid w:val="742161E7"/>
    <w:rsid w:val="748B3AB5"/>
    <w:rsid w:val="74FD6E2E"/>
    <w:rsid w:val="757F6868"/>
    <w:rsid w:val="75894BBC"/>
    <w:rsid w:val="76531FF6"/>
    <w:rsid w:val="76722F5B"/>
    <w:rsid w:val="76A37ACD"/>
    <w:rsid w:val="76A45C45"/>
    <w:rsid w:val="76B23657"/>
    <w:rsid w:val="76D71644"/>
    <w:rsid w:val="76D87E61"/>
    <w:rsid w:val="776C2FB6"/>
    <w:rsid w:val="77802F5F"/>
    <w:rsid w:val="780956E1"/>
    <w:rsid w:val="784B4DB2"/>
    <w:rsid w:val="78EE2034"/>
    <w:rsid w:val="7969358A"/>
    <w:rsid w:val="79982284"/>
    <w:rsid w:val="7998662D"/>
    <w:rsid w:val="7A48677B"/>
    <w:rsid w:val="7A634E92"/>
    <w:rsid w:val="7A635387"/>
    <w:rsid w:val="7A8C5878"/>
    <w:rsid w:val="7B0408F4"/>
    <w:rsid w:val="7B471854"/>
    <w:rsid w:val="7BA17211"/>
    <w:rsid w:val="7BF72207"/>
    <w:rsid w:val="7C0E12D8"/>
    <w:rsid w:val="7C2A1BA9"/>
    <w:rsid w:val="7C552333"/>
    <w:rsid w:val="7C771966"/>
    <w:rsid w:val="7CA86C55"/>
    <w:rsid w:val="7CC41C20"/>
    <w:rsid w:val="7CF019C1"/>
    <w:rsid w:val="7CF92895"/>
    <w:rsid w:val="7D232DF7"/>
    <w:rsid w:val="7D461CAD"/>
    <w:rsid w:val="7D4D2EFE"/>
    <w:rsid w:val="7D665AE1"/>
    <w:rsid w:val="7D991134"/>
    <w:rsid w:val="7E124078"/>
    <w:rsid w:val="7E28286A"/>
    <w:rsid w:val="7E4515FE"/>
    <w:rsid w:val="7E8F3533"/>
    <w:rsid w:val="7EAD59B2"/>
    <w:rsid w:val="7ED473D0"/>
    <w:rsid w:val="7EDE320A"/>
    <w:rsid w:val="7F274CF4"/>
    <w:rsid w:val="7F91273C"/>
    <w:rsid w:val="7FB556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qFormat="1" w:unhideWhenUsed="0" w:uiPriority="0" w:semiHidden="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61"/>
    <w:qFormat/>
    <w:uiPriority w:val="0"/>
    <w:pPr>
      <w:spacing w:before="340" w:after="330" w:line="360" w:lineRule="auto"/>
    </w:pPr>
    <w:rPr>
      <w:rFonts w:eastAsia="宋体"/>
      <w:bCs w:val="0"/>
      <w:kern w:val="44"/>
      <w:sz w:val="44"/>
      <w:szCs w:val="28"/>
    </w:rPr>
  </w:style>
  <w:style w:type="paragraph" w:styleId="2">
    <w:name w:val="heading 2"/>
    <w:basedOn w:val="1"/>
    <w:next w:val="1"/>
    <w:link w:val="59"/>
    <w:qFormat/>
    <w:uiPriority w:val="0"/>
    <w:pPr>
      <w:keepNext/>
      <w:keepLines/>
      <w:spacing w:before="260" w:after="260" w:line="416" w:lineRule="auto"/>
      <w:jc w:val="center"/>
      <w:outlineLvl w:val="1"/>
    </w:pPr>
    <w:rPr>
      <w:rFonts w:ascii="Arial" w:hAnsi="Arial"/>
      <w:b/>
      <w:bCs/>
      <w:sz w:val="28"/>
      <w:szCs w:val="32"/>
    </w:rPr>
  </w:style>
  <w:style w:type="paragraph" w:styleId="5">
    <w:name w:val="heading 3"/>
    <w:basedOn w:val="1"/>
    <w:next w:val="1"/>
    <w:link w:val="62"/>
    <w:qFormat/>
    <w:uiPriority w:val="0"/>
    <w:pPr>
      <w:keepNext/>
      <w:keepLines/>
      <w:spacing w:before="260" w:after="260" w:line="416" w:lineRule="auto"/>
      <w:jc w:val="left"/>
      <w:outlineLvl w:val="2"/>
    </w:pPr>
    <w:rPr>
      <w:b/>
      <w:bCs/>
      <w:sz w:val="24"/>
      <w:szCs w:val="32"/>
    </w:rPr>
  </w:style>
  <w:style w:type="paragraph" w:styleId="6">
    <w:name w:val="heading 4"/>
    <w:basedOn w:val="1"/>
    <w:next w:val="1"/>
    <w:link w:val="63"/>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64"/>
    <w:qFormat/>
    <w:uiPriority w:val="0"/>
    <w:pPr>
      <w:keepNext/>
      <w:keepLines/>
      <w:numPr>
        <w:ilvl w:val="4"/>
        <w:numId w:val="1"/>
      </w:numPr>
      <w:tabs>
        <w:tab w:val="left" w:pos="371"/>
      </w:tabs>
      <w:spacing w:before="280" w:after="290" w:line="374" w:lineRule="auto"/>
      <w:outlineLvl w:val="4"/>
    </w:pPr>
    <w:rPr>
      <w:b/>
      <w:sz w:val="28"/>
    </w:rPr>
  </w:style>
  <w:style w:type="paragraph" w:styleId="9">
    <w:name w:val="heading 6"/>
    <w:basedOn w:val="1"/>
    <w:next w:val="8"/>
    <w:link w:val="66"/>
    <w:qFormat/>
    <w:uiPriority w:val="9"/>
    <w:pPr>
      <w:keepNext/>
      <w:keepLines/>
      <w:numPr>
        <w:ilvl w:val="5"/>
        <w:numId w:val="1"/>
      </w:numPr>
      <w:spacing w:before="240" w:after="64" w:line="319" w:lineRule="auto"/>
      <w:outlineLvl w:val="5"/>
    </w:pPr>
    <w:rPr>
      <w:rFonts w:ascii="Arial" w:hAnsi="Arial" w:eastAsia="黑体"/>
      <w:b/>
      <w:sz w:val="24"/>
    </w:rPr>
  </w:style>
  <w:style w:type="paragraph" w:styleId="10">
    <w:name w:val="heading 7"/>
    <w:basedOn w:val="1"/>
    <w:next w:val="8"/>
    <w:link w:val="67"/>
    <w:qFormat/>
    <w:uiPriority w:val="9"/>
    <w:pPr>
      <w:keepNext/>
      <w:keepLines/>
      <w:numPr>
        <w:ilvl w:val="6"/>
        <w:numId w:val="1"/>
      </w:numPr>
      <w:spacing w:before="240" w:after="64" w:line="319" w:lineRule="auto"/>
      <w:outlineLvl w:val="6"/>
    </w:pPr>
    <w:rPr>
      <w:b/>
      <w:sz w:val="24"/>
    </w:rPr>
  </w:style>
  <w:style w:type="paragraph" w:styleId="11">
    <w:name w:val="heading 8"/>
    <w:basedOn w:val="1"/>
    <w:next w:val="8"/>
    <w:link w:val="68"/>
    <w:qFormat/>
    <w:uiPriority w:val="9"/>
    <w:pPr>
      <w:keepNext/>
      <w:keepLines/>
      <w:numPr>
        <w:ilvl w:val="7"/>
        <w:numId w:val="1"/>
      </w:numPr>
      <w:spacing w:before="240" w:after="64" w:line="319" w:lineRule="auto"/>
      <w:outlineLvl w:val="7"/>
    </w:pPr>
    <w:rPr>
      <w:rFonts w:ascii="Arial" w:hAnsi="Arial" w:eastAsia="黑体"/>
      <w:sz w:val="24"/>
    </w:rPr>
  </w:style>
  <w:style w:type="paragraph" w:styleId="12">
    <w:name w:val="heading 9"/>
    <w:basedOn w:val="1"/>
    <w:next w:val="8"/>
    <w:link w:val="69"/>
    <w:qFormat/>
    <w:uiPriority w:val="0"/>
    <w:pPr>
      <w:keepNext/>
      <w:keepLines/>
      <w:numPr>
        <w:ilvl w:val="8"/>
        <w:numId w:val="1"/>
      </w:numPr>
      <w:spacing w:before="240" w:after="64" w:line="319" w:lineRule="auto"/>
      <w:outlineLvl w:val="8"/>
    </w:pPr>
    <w:rPr>
      <w:rFonts w:ascii="Arial" w:hAnsi="Arial" w:eastAsia="黑体"/>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4">
    <w:name w:val="Title"/>
    <w:basedOn w:val="1"/>
    <w:link w:val="60"/>
    <w:qFormat/>
    <w:uiPriority w:val="0"/>
    <w:pPr>
      <w:spacing w:before="240" w:after="60"/>
      <w:jc w:val="center"/>
      <w:outlineLvl w:val="0"/>
    </w:pPr>
    <w:rPr>
      <w:rFonts w:ascii="Arial" w:hAnsi="Arial" w:eastAsia="隶书"/>
      <w:b/>
      <w:bCs/>
      <w:sz w:val="32"/>
      <w:szCs w:val="32"/>
    </w:rPr>
  </w:style>
  <w:style w:type="paragraph" w:styleId="8">
    <w:name w:val="Normal Indent"/>
    <w:basedOn w:val="1"/>
    <w:link w:val="65"/>
    <w:qFormat/>
    <w:uiPriority w:val="0"/>
    <w:pPr>
      <w:ind w:firstLine="420" w:firstLineChars="200"/>
    </w:pPr>
  </w:style>
  <w:style w:type="paragraph" w:styleId="13">
    <w:name w:val="toc 7"/>
    <w:basedOn w:val="1"/>
    <w:next w:val="1"/>
    <w:qFormat/>
    <w:uiPriority w:val="0"/>
    <w:pPr>
      <w:ind w:left="1260"/>
      <w:jc w:val="left"/>
    </w:pPr>
    <w:rPr>
      <w:szCs w:val="21"/>
    </w:rPr>
  </w:style>
  <w:style w:type="paragraph" w:styleId="14">
    <w:name w:val="List Number 2"/>
    <w:basedOn w:val="1"/>
    <w:qFormat/>
    <w:uiPriority w:val="0"/>
    <w:pPr>
      <w:tabs>
        <w:tab w:val="left" w:pos="780"/>
      </w:tabs>
      <w:ind w:left="780" w:hanging="360"/>
    </w:pPr>
    <w:rPr>
      <w:szCs w:val="20"/>
    </w:rPr>
  </w:style>
  <w:style w:type="paragraph" w:styleId="15">
    <w:name w:val="List Bullet 4"/>
    <w:basedOn w:val="1"/>
    <w:qFormat/>
    <w:uiPriority w:val="0"/>
    <w:pPr>
      <w:tabs>
        <w:tab w:val="left" w:pos="425"/>
        <w:tab w:val="left" w:pos="1620"/>
      </w:tabs>
      <w:ind w:left="425" w:hanging="425"/>
    </w:pPr>
    <w:rPr>
      <w:szCs w:val="20"/>
    </w:rPr>
  </w:style>
  <w:style w:type="paragraph" w:styleId="16">
    <w:name w:val="caption"/>
    <w:basedOn w:val="1"/>
    <w:next w:val="1"/>
    <w:link w:val="70"/>
    <w:qFormat/>
    <w:uiPriority w:val="0"/>
    <w:rPr>
      <w:rFonts w:ascii="Cambria" w:hAnsi="Cambria" w:eastAsia="黑体"/>
    </w:rPr>
  </w:style>
  <w:style w:type="paragraph" w:styleId="17">
    <w:name w:val="List Bullet"/>
    <w:basedOn w:val="1"/>
    <w:qFormat/>
    <w:uiPriority w:val="0"/>
    <w:pPr>
      <w:numPr>
        <w:ilvl w:val="0"/>
        <w:numId w:val="1"/>
      </w:numPr>
      <w:tabs>
        <w:tab w:val="left" w:pos="360"/>
        <w:tab w:val="clear" w:pos="371"/>
      </w:tabs>
    </w:pPr>
    <w:rPr>
      <w:szCs w:val="20"/>
    </w:rPr>
  </w:style>
  <w:style w:type="paragraph" w:styleId="18">
    <w:name w:val="Document Map"/>
    <w:basedOn w:val="1"/>
    <w:link w:val="71"/>
    <w:qFormat/>
    <w:uiPriority w:val="0"/>
    <w:pPr>
      <w:shd w:val="clear" w:color="auto" w:fill="000080"/>
    </w:pPr>
  </w:style>
  <w:style w:type="paragraph" w:styleId="19">
    <w:name w:val="annotation text"/>
    <w:basedOn w:val="1"/>
    <w:link w:val="72"/>
    <w:qFormat/>
    <w:uiPriority w:val="0"/>
    <w:pPr>
      <w:jc w:val="left"/>
    </w:pPr>
  </w:style>
  <w:style w:type="paragraph" w:styleId="20">
    <w:name w:val="Body Text 3"/>
    <w:basedOn w:val="1"/>
    <w:link w:val="73"/>
    <w:unhideWhenUsed/>
    <w:qFormat/>
    <w:uiPriority w:val="0"/>
    <w:pPr>
      <w:spacing w:after="120"/>
    </w:pPr>
    <w:rPr>
      <w:sz w:val="16"/>
      <w:szCs w:val="16"/>
    </w:rPr>
  </w:style>
  <w:style w:type="paragraph" w:styleId="21">
    <w:name w:val="Body Text"/>
    <w:basedOn w:val="1"/>
    <w:next w:val="1"/>
    <w:link w:val="74"/>
    <w:qFormat/>
    <w:uiPriority w:val="0"/>
    <w:pPr>
      <w:spacing w:after="120"/>
    </w:pPr>
  </w:style>
  <w:style w:type="paragraph" w:styleId="22">
    <w:name w:val="Body Text Indent"/>
    <w:basedOn w:val="1"/>
    <w:link w:val="75"/>
    <w:qFormat/>
    <w:uiPriority w:val="0"/>
    <w:pPr>
      <w:spacing w:after="120"/>
      <w:ind w:left="420" w:leftChars="200"/>
    </w:pPr>
  </w:style>
  <w:style w:type="paragraph" w:styleId="23">
    <w:name w:val="Block Text"/>
    <w:basedOn w:val="1"/>
    <w:qFormat/>
    <w:uiPriority w:val="0"/>
    <w:pPr>
      <w:spacing w:after="120"/>
      <w:ind w:left="1440" w:leftChars="700" w:right="1440" w:rightChars="700"/>
    </w:pPr>
  </w:style>
  <w:style w:type="paragraph" w:styleId="24">
    <w:name w:val="List Bullet 2"/>
    <w:basedOn w:val="1"/>
    <w:qFormat/>
    <w:uiPriority w:val="0"/>
    <w:pPr>
      <w:numPr>
        <w:ilvl w:val="0"/>
        <w:numId w:val="2"/>
      </w:numPr>
      <w:tabs>
        <w:tab w:val="left" w:pos="780"/>
      </w:tabs>
    </w:pPr>
    <w:rPr>
      <w:szCs w:val="20"/>
    </w:rPr>
  </w:style>
  <w:style w:type="paragraph" w:styleId="25">
    <w:name w:val="toc 5"/>
    <w:basedOn w:val="1"/>
    <w:next w:val="1"/>
    <w:qFormat/>
    <w:uiPriority w:val="0"/>
    <w:pPr>
      <w:ind w:left="840"/>
      <w:jc w:val="left"/>
    </w:pPr>
    <w:rPr>
      <w:szCs w:val="21"/>
    </w:rPr>
  </w:style>
  <w:style w:type="paragraph" w:styleId="26">
    <w:name w:val="toc 3"/>
    <w:basedOn w:val="1"/>
    <w:next w:val="1"/>
    <w:qFormat/>
    <w:uiPriority w:val="39"/>
    <w:pPr>
      <w:ind w:left="420"/>
      <w:jc w:val="left"/>
    </w:pPr>
    <w:rPr>
      <w:iCs/>
    </w:rPr>
  </w:style>
  <w:style w:type="paragraph" w:styleId="27">
    <w:name w:val="Plain Text"/>
    <w:basedOn w:val="1"/>
    <w:link w:val="76"/>
    <w:qFormat/>
    <w:uiPriority w:val="0"/>
    <w:rPr>
      <w:rFonts w:ascii="宋体" w:hAnsi="Courier New"/>
      <w:szCs w:val="20"/>
    </w:rPr>
  </w:style>
  <w:style w:type="paragraph" w:styleId="28">
    <w:name w:val="toc 8"/>
    <w:basedOn w:val="1"/>
    <w:next w:val="1"/>
    <w:qFormat/>
    <w:uiPriority w:val="0"/>
    <w:pPr>
      <w:ind w:left="1470"/>
      <w:jc w:val="left"/>
    </w:pPr>
    <w:rPr>
      <w:szCs w:val="21"/>
    </w:rPr>
  </w:style>
  <w:style w:type="paragraph" w:styleId="29">
    <w:name w:val="Date"/>
    <w:basedOn w:val="1"/>
    <w:next w:val="1"/>
    <w:link w:val="77"/>
    <w:qFormat/>
    <w:uiPriority w:val="0"/>
    <w:pPr>
      <w:widowControl/>
      <w:tabs>
        <w:tab w:val="left" w:pos="600"/>
        <w:tab w:val="left" w:pos="960"/>
        <w:tab w:val="left" w:pos="1080"/>
      </w:tabs>
      <w:overflowPunct w:val="0"/>
      <w:spacing w:after="260" w:line="220" w:lineRule="atLeast"/>
      <w:ind w:left="835" w:right="28" w:firstLine="480"/>
      <w:jc w:val="right"/>
    </w:pPr>
    <w:rPr>
      <w:rFonts w:ascii="宋体" w:hAnsi="宋体"/>
      <w:sz w:val="24"/>
    </w:rPr>
  </w:style>
  <w:style w:type="paragraph" w:styleId="30">
    <w:name w:val="Body Text Indent 2"/>
    <w:basedOn w:val="1"/>
    <w:link w:val="78"/>
    <w:qFormat/>
    <w:uiPriority w:val="0"/>
    <w:pPr>
      <w:spacing w:after="120" w:line="480" w:lineRule="auto"/>
      <w:ind w:left="420" w:leftChars="200"/>
    </w:pPr>
  </w:style>
  <w:style w:type="paragraph" w:styleId="31">
    <w:name w:val="Balloon Text"/>
    <w:basedOn w:val="1"/>
    <w:link w:val="79"/>
    <w:qFormat/>
    <w:uiPriority w:val="0"/>
    <w:rPr>
      <w:sz w:val="18"/>
      <w:szCs w:val="18"/>
    </w:rPr>
  </w:style>
  <w:style w:type="paragraph" w:styleId="32">
    <w:name w:val="footer"/>
    <w:basedOn w:val="1"/>
    <w:link w:val="80"/>
    <w:qFormat/>
    <w:uiPriority w:val="99"/>
    <w:pPr>
      <w:tabs>
        <w:tab w:val="center" w:pos="4153"/>
        <w:tab w:val="right" w:pos="8306"/>
      </w:tabs>
      <w:snapToGrid w:val="0"/>
      <w:jc w:val="left"/>
    </w:pPr>
    <w:rPr>
      <w:sz w:val="18"/>
      <w:szCs w:val="18"/>
    </w:rPr>
  </w:style>
  <w:style w:type="paragraph" w:styleId="33">
    <w:name w:val="header"/>
    <w:basedOn w:val="1"/>
    <w:link w:val="81"/>
    <w:qFormat/>
    <w:uiPriority w:val="99"/>
    <w:pPr>
      <w:pBdr>
        <w:bottom w:val="single" w:color="auto" w:sz="6" w:space="1"/>
      </w:pBdr>
      <w:tabs>
        <w:tab w:val="center" w:pos="4153"/>
        <w:tab w:val="right" w:pos="8306"/>
      </w:tabs>
      <w:snapToGrid w:val="0"/>
      <w:jc w:val="center"/>
    </w:pPr>
    <w:rPr>
      <w:sz w:val="18"/>
      <w:szCs w:val="18"/>
    </w:rPr>
  </w:style>
  <w:style w:type="paragraph" w:styleId="34">
    <w:name w:val="Signature"/>
    <w:basedOn w:val="1"/>
    <w:link w:val="82"/>
    <w:qFormat/>
    <w:uiPriority w:val="0"/>
    <w:pPr>
      <w:ind w:left="4320"/>
    </w:pPr>
    <w:rPr>
      <w:rFonts w:eastAsia="楷体_GB2312"/>
      <w:szCs w:val="20"/>
    </w:rPr>
  </w:style>
  <w:style w:type="paragraph" w:styleId="35">
    <w:name w:val="toc 1"/>
    <w:basedOn w:val="1"/>
    <w:next w:val="1"/>
    <w:qFormat/>
    <w:uiPriority w:val="39"/>
    <w:pPr>
      <w:spacing w:before="120" w:after="120"/>
      <w:jc w:val="left"/>
    </w:pPr>
    <w:rPr>
      <w:b/>
      <w:bCs/>
      <w:caps/>
    </w:rPr>
  </w:style>
  <w:style w:type="paragraph" w:styleId="36">
    <w:name w:val="toc 4"/>
    <w:basedOn w:val="1"/>
    <w:next w:val="1"/>
    <w:qFormat/>
    <w:uiPriority w:val="0"/>
    <w:pPr>
      <w:ind w:left="630"/>
      <w:jc w:val="left"/>
    </w:pPr>
    <w:rPr>
      <w:szCs w:val="21"/>
    </w:rPr>
  </w:style>
  <w:style w:type="paragraph" w:styleId="37">
    <w:name w:val="index heading"/>
    <w:basedOn w:val="1"/>
    <w:next w:val="38"/>
    <w:qFormat/>
    <w:uiPriority w:val="0"/>
    <w:rPr>
      <w:szCs w:val="20"/>
    </w:rPr>
  </w:style>
  <w:style w:type="paragraph" w:styleId="38">
    <w:name w:val="index 1"/>
    <w:basedOn w:val="1"/>
    <w:next w:val="1"/>
    <w:qFormat/>
    <w:uiPriority w:val="0"/>
  </w:style>
  <w:style w:type="paragraph" w:styleId="39">
    <w:name w:val="footnote text"/>
    <w:basedOn w:val="1"/>
    <w:link w:val="83"/>
    <w:qFormat/>
    <w:uiPriority w:val="0"/>
    <w:pPr>
      <w:snapToGrid w:val="0"/>
      <w:jc w:val="left"/>
    </w:pPr>
    <w:rPr>
      <w:sz w:val="18"/>
      <w:szCs w:val="18"/>
    </w:rPr>
  </w:style>
  <w:style w:type="paragraph" w:styleId="40">
    <w:name w:val="toc 6"/>
    <w:basedOn w:val="1"/>
    <w:next w:val="1"/>
    <w:qFormat/>
    <w:uiPriority w:val="0"/>
    <w:pPr>
      <w:ind w:left="1050"/>
      <w:jc w:val="left"/>
    </w:pPr>
    <w:rPr>
      <w:szCs w:val="21"/>
    </w:rPr>
  </w:style>
  <w:style w:type="paragraph" w:styleId="41">
    <w:name w:val="Body Text Indent 3"/>
    <w:basedOn w:val="1"/>
    <w:link w:val="84"/>
    <w:qFormat/>
    <w:uiPriority w:val="0"/>
    <w:pPr>
      <w:ind w:firstLine="426"/>
    </w:pPr>
    <w:rPr>
      <w:szCs w:val="20"/>
    </w:rPr>
  </w:style>
  <w:style w:type="paragraph" w:styleId="42">
    <w:name w:val="toc 2"/>
    <w:basedOn w:val="1"/>
    <w:next w:val="1"/>
    <w:qFormat/>
    <w:uiPriority w:val="39"/>
    <w:pPr>
      <w:ind w:left="210"/>
      <w:jc w:val="left"/>
    </w:pPr>
    <w:rPr>
      <w:smallCaps/>
    </w:rPr>
  </w:style>
  <w:style w:type="paragraph" w:styleId="43">
    <w:name w:val="toc 9"/>
    <w:basedOn w:val="1"/>
    <w:next w:val="1"/>
    <w:qFormat/>
    <w:uiPriority w:val="0"/>
    <w:pPr>
      <w:ind w:left="1680"/>
      <w:jc w:val="left"/>
    </w:pPr>
    <w:rPr>
      <w:szCs w:val="21"/>
    </w:rPr>
  </w:style>
  <w:style w:type="paragraph" w:styleId="44">
    <w:name w:val="Body Text 2"/>
    <w:basedOn w:val="1"/>
    <w:link w:val="85"/>
    <w:qFormat/>
    <w:uiPriority w:val="0"/>
    <w:rPr>
      <w:sz w:val="28"/>
      <w:szCs w:val="20"/>
    </w:rPr>
  </w:style>
  <w:style w:type="paragraph" w:styleId="45">
    <w:name w:val="HTML Preformatted"/>
    <w:basedOn w:val="1"/>
    <w:link w:val="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6">
    <w:name w:val="Normal (Web)"/>
    <w:basedOn w:val="1"/>
    <w:qFormat/>
    <w:uiPriority w:val="99"/>
    <w:pPr>
      <w:widowControl/>
      <w:spacing w:before="100" w:beforeAutospacing="1" w:after="100" w:afterAutospacing="1"/>
      <w:jc w:val="left"/>
    </w:pPr>
    <w:rPr>
      <w:kern w:val="0"/>
      <w:sz w:val="24"/>
    </w:rPr>
  </w:style>
  <w:style w:type="paragraph" w:styleId="47">
    <w:name w:val="annotation subject"/>
    <w:basedOn w:val="19"/>
    <w:next w:val="19"/>
    <w:link w:val="87"/>
    <w:qFormat/>
    <w:uiPriority w:val="0"/>
    <w:rPr>
      <w:b/>
      <w:bCs/>
    </w:rPr>
  </w:style>
  <w:style w:type="paragraph" w:styleId="48">
    <w:name w:val="Body Text First Indent"/>
    <w:basedOn w:val="21"/>
    <w:link w:val="88"/>
    <w:qFormat/>
    <w:uiPriority w:val="0"/>
    <w:pPr>
      <w:ind w:firstLine="420" w:firstLineChars="100"/>
    </w:pPr>
  </w:style>
  <w:style w:type="paragraph" w:styleId="49">
    <w:name w:val="Body Text First Indent 2"/>
    <w:basedOn w:val="22"/>
    <w:link w:val="89"/>
    <w:qFormat/>
    <w:uiPriority w:val="0"/>
    <w:pPr>
      <w:spacing w:after="160" w:line="360" w:lineRule="auto"/>
      <w:ind w:firstLine="480" w:firstLineChars="200"/>
    </w:pPr>
    <w:rPr>
      <w:kern w:val="0"/>
      <w:sz w:val="24"/>
    </w:rPr>
  </w:style>
  <w:style w:type="table" w:styleId="51">
    <w:name w:val="Table Grid"/>
    <w:basedOn w:val="5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qFormat/>
    <w:uiPriority w:val="22"/>
    <w:rPr>
      <w:b/>
      <w:bCs/>
    </w:rPr>
  </w:style>
  <w:style w:type="character" w:styleId="54">
    <w:name w:val="page number"/>
    <w:basedOn w:val="52"/>
    <w:qFormat/>
    <w:uiPriority w:val="0"/>
  </w:style>
  <w:style w:type="character" w:styleId="55">
    <w:name w:val="FollowedHyperlink"/>
    <w:basedOn w:val="52"/>
    <w:unhideWhenUsed/>
    <w:qFormat/>
    <w:uiPriority w:val="0"/>
    <w:rPr>
      <w:color w:val="800080"/>
      <w:u w:val="single"/>
    </w:rPr>
  </w:style>
  <w:style w:type="character" w:styleId="56">
    <w:name w:val="Emphasis"/>
    <w:qFormat/>
    <w:uiPriority w:val="20"/>
    <w:rPr>
      <w:i/>
      <w:iCs/>
    </w:rPr>
  </w:style>
  <w:style w:type="character" w:styleId="57">
    <w:name w:val="Hyperlink"/>
    <w:qFormat/>
    <w:uiPriority w:val="99"/>
    <w:rPr>
      <w:color w:val="0000FF"/>
      <w:u w:val="single"/>
    </w:rPr>
  </w:style>
  <w:style w:type="character" w:styleId="58">
    <w:name w:val="annotation reference"/>
    <w:qFormat/>
    <w:uiPriority w:val="99"/>
    <w:rPr>
      <w:sz w:val="21"/>
      <w:szCs w:val="21"/>
    </w:rPr>
  </w:style>
  <w:style w:type="character" w:customStyle="1" w:styleId="59">
    <w:name w:val="标题 2 Char"/>
    <w:basedOn w:val="52"/>
    <w:link w:val="2"/>
    <w:qFormat/>
    <w:uiPriority w:val="0"/>
    <w:rPr>
      <w:rFonts w:ascii="Arial" w:hAnsi="Arial" w:eastAsia="宋体"/>
      <w:b/>
      <w:bCs/>
      <w:kern w:val="2"/>
      <w:sz w:val="28"/>
      <w:szCs w:val="32"/>
    </w:rPr>
  </w:style>
  <w:style w:type="character" w:customStyle="1" w:styleId="60">
    <w:name w:val="标题 Char"/>
    <w:link w:val="4"/>
    <w:qFormat/>
    <w:uiPriority w:val="0"/>
    <w:rPr>
      <w:rFonts w:ascii="Arial" w:hAnsi="Arial" w:eastAsia="隶书" w:cs="Arial"/>
      <w:b/>
      <w:bCs/>
      <w:kern w:val="2"/>
      <w:sz w:val="32"/>
      <w:szCs w:val="32"/>
    </w:rPr>
  </w:style>
  <w:style w:type="character" w:customStyle="1" w:styleId="61">
    <w:name w:val="标题 1 Char"/>
    <w:basedOn w:val="52"/>
    <w:link w:val="3"/>
    <w:qFormat/>
    <w:uiPriority w:val="0"/>
    <w:rPr>
      <w:rFonts w:eastAsia="宋体"/>
      <w:b/>
      <w:kern w:val="44"/>
      <w:sz w:val="44"/>
      <w:szCs w:val="28"/>
    </w:rPr>
  </w:style>
  <w:style w:type="character" w:customStyle="1" w:styleId="62">
    <w:name w:val="标题 3 Char"/>
    <w:basedOn w:val="52"/>
    <w:link w:val="5"/>
    <w:qFormat/>
    <w:uiPriority w:val="0"/>
    <w:rPr>
      <w:b/>
      <w:bCs/>
      <w:kern w:val="2"/>
      <w:sz w:val="24"/>
      <w:szCs w:val="32"/>
    </w:rPr>
  </w:style>
  <w:style w:type="character" w:customStyle="1" w:styleId="63">
    <w:name w:val="标题 4 Char1"/>
    <w:basedOn w:val="52"/>
    <w:link w:val="6"/>
    <w:qFormat/>
    <w:uiPriority w:val="99"/>
    <w:rPr>
      <w:rFonts w:ascii="Arial" w:hAnsi="Arial" w:eastAsia="黑体"/>
      <w:b/>
      <w:bCs/>
      <w:kern w:val="2"/>
      <w:sz w:val="28"/>
      <w:szCs w:val="28"/>
    </w:rPr>
  </w:style>
  <w:style w:type="character" w:customStyle="1" w:styleId="64">
    <w:name w:val="标题 5 Char1"/>
    <w:basedOn w:val="52"/>
    <w:link w:val="7"/>
    <w:qFormat/>
    <w:uiPriority w:val="0"/>
    <w:rPr>
      <w:b/>
      <w:kern w:val="2"/>
      <w:sz w:val="28"/>
      <w:szCs w:val="24"/>
    </w:rPr>
  </w:style>
  <w:style w:type="character" w:customStyle="1" w:styleId="65">
    <w:name w:val="正文缩进 Char"/>
    <w:link w:val="8"/>
    <w:qFormat/>
    <w:uiPriority w:val="0"/>
    <w:rPr>
      <w:rFonts w:eastAsia="宋体"/>
      <w:kern w:val="2"/>
      <w:sz w:val="21"/>
      <w:szCs w:val="24"/>
      <w:lang w:val="en-US" w:eastAsia="zh-CN" w:bidi="ar-SA"/>
    </w:rPr>
  </w:style>
  <w:style w:type="character" w:customStyle="1" w:styleId="66">
    <w:name w:val="标题 6 Char1"/>
    <w:basedOn w:val="52"/>
    <w:link w:val="9"/>
    <w:qFormat/>
    <w:uiPriority w:val="9"/>
    <w:rPr>
      <w:rFonts w:ascii="Arial" w:hAnsi="Arial" w:eastAsia="黑体"/>
      <w:b/>
      <w:kern w:val="2"/>
      <w:sz w:val="24"/>
      <w:szCs w:val="24"/>
    </w:rPr>
  </w:style>
  <w:style w:type="character" w:customStyle="1" w:styleId="67">
    <w:name w:val="标题 7 Char1"/>
    <w:basedOn w:val="52"/>
    <w:link w:val="10"/>
    <w:qFormat/>
    <w:uiPriority w:val="9"/>
    <w:rPr>
      <w:b/>
      <w:kern w:val="2"/>
      <w:sz w:val="24"/>
      <w:szCs w:val="24"/>
    </w:rPr>
  </w:style>
  <w:style w:type="character" w:customStyle="1" w:styleId="68">
    <w:name w:val="标题 8 Char1"/>
    <w:basedOn w:val="52"/>
    <w:link w:val="11"/>
    <w:qFormat/>
    <w:uiPriority w:val="9"/>
    <w:rPr>
      <w:rFonts w:ascii="Arial" w:hAnsi="Arial" w:eastAsia="黑体"/>
      <w:kern w:val="2"/>
      <w:sz w:val="24"/>
      <w:szCs w:val="24"/>
    </w:rPr>
  </w:style>
  <w:style w:type="character" w:customStyle="1" w:styleId="69">
    <w:name w:val="标题 9 Char1"/>
    <w:basedOn w:val="52"/>
    <w:link w:val="12"/>
    <w:qFormat/>
    <w:uiPriority w:val="0"/>
    <w:rPr>
      <w:rFonts w:ascii="Arial" w:hAnsi="Arial" w:eastAsia="黑体"/>
      <w:kern w:val="2"/>
      <w:sz w:val="21"/>
      <w:szCs w:val="24"/>
    </w:rPr>
  </w:style>
  <w:style w:type="character" w:customStyle="1" w:styleId="70">
    <w:name w:val="题注 Char1"/>
    <w:link w:val="16"/>
    <w:qFormat/>
    <w:uiPriority w:val="0"/>
    <w:rPr>
      <w:rFonts w:ascii="Cambria" w:hAnsi="Cambria" w:eastAsia="黑体"/>
      <w:kern w:val="2"/>
      <w:sz w:val="21"/>
      <w:szCs w:val="24"/>
    </w:rPr>
  </w:style>
  <w:style w:type="character" w:customStyle="1" w:styleId="71">
    <w:name w:val="文档结构图 Char"/>
    <w:basedOn w:val="52"/>
    <w:link w:val="18"/>
    <w:qFormat/>
    <w:uiPriority w:val="0"/>
    <w:rPr>
      <w:kern w:val="2"/>
      <w:sz w:val="21"/>
      <w:szCs w:val="24"/>
      <w:shd w:val="clear" w:color="auto" w:fill="000080"/>
    </w:rPr>
  </w:style>
  <w:style w:type="character" w:customStyle="1" w:styleId="72">
    <w:name w:val="批注文字 Char"/>
    <w:link w:val="19"/>
    <w:qFormat/>
    <w:uiPriority w:val="0"/>
    <w:rPr>
      <w:kern w:val="2"/>
      <w:sz w:val="21"/>
      <w:szCs w:val="24"/>
    </w:rPr>
  </w:style>
  <w:style w:type="character" w:customStyle="1" w:styleId="73">
    <w:name w:val="正文文本 3 Char"/>
    <w:basedOn w:val="52"/>
    <w:link w:val="20"/>
    <w:qFormat/>
    <w:uiPriority w:val="0"/>
    <w:rPr>
      <w:kern w:val="2"/>
      <w:sz w:val="16"/>
      <w:szCs w:val="16"/>
    </w:rPr>
  </w:style>
  <w:style w:type="character" w:customStyle="1" w:styleId="74">
    <w:name w:val="正文文本 Char"/>
    <w:basedOn w:val="52"/>
    <w:link w:val="21"/>
    <w:qFormat/>
    <w:uiPriority w:val="0"/>
    <w:rPr>
      <w:kern w:val="2"/>
      <w:sz w:val="21"/>
      <w:szCs w:val="24"/>
    </w:rPr>
  </w:style>
  <w:style w:type="character" w:customStyle="1" w:styleId="75">
    <w:name w:val="正文文本缩进 Char1"/>
    <w:basedOn w:val="52"/>
    <w:link w:val="22"/>
    <w:qFormat/>
    <w:uiPriority w:val="0"/>
    <w:rPr>
      <w:kern w:val="2"/>
      <w:sz w:val="21"/>
      <w:szCs w:val="24"/>
    </w:rPr>
  </w:style>
  <w:style w:type="character" w:customStyle="1" w:styleId="76">
    <w:name w:val="纯文本 Char"/>
    <w:link w:val="27"/>
    <w:qFormat/>
    <w:uiPriority w:val="0"/>
    <w:rPr>
      <w:rFonts w:ascii="宋体" w:hAnsi="Courier New" w:eastAsia="宋体"/>
      <w:kern w:val="2"/>
      <w:sz w:val="21"/>
      <w:lang w:val="en-US" w:eastAsia="zh-CN" w:bidi="ar-SA"/>
    </w:rPr>
  </w:style>
  <w:style w:type="character" w:customStyle="1" w:styleId="77">
    <w:name w:val="日期 Char1"/>
    <w:link w:val="29"/>
    <w:qFormat/>
    <w:uiPriority w:val="0"/>
    <w:rPr>
      <w:rFonts w:ascii="宋体" w:hAnsi="宋体"/>
      <w:kern w:val="2"/>
      <w:sz w:val="24"/>
      <w:szCs w:val="24"/>
    </w:rPr>
  </w:style>
  <w:style w:type="character" w:customStyle="1" w:styleId="78">
    <w:name w:val="正文文本缩进 2 Char1"/>
    <w:link w:val="30"/>
    <w:qFormat/>
    <w:uiPriority w:val="0"/>
    <w:rPr>
      <w:kern w:val="2"/>
      <w:sz w:val="21"/>
      <w:szCs w:val="24"/>
    </w:rPr>
  </w:style>
  <w:style w:type="character" w:customStyle="1" w:styleId="79">
    <w:name w:val="批注框文本 Char"/>
    <w:basedOn w:val="52"/>
    <w:link w:val="31"/>
    <w:qFormat/>
    <w:uiPriority w:val="99"/>
    <w:rPr>
      <w:kern w:val="2"/>
      <w:sz w:val="18"/>
      <w:szCs w:val="18"/>
    </w:rPr>
  </w:style>
  <w:style w:type="character" w:customStyle="1" w:styleId="80">
    <w:name w:val="页脚 Char"/>
    <w:basedOn w:val="52"/>
    <w:link w:val="32"/>
    <w:qFormat/>
    <w:uiPriority w:val="99"/>
    <w:rPr>
      <w:kern w:val="2"/>
      <w:sz w:val="18"/>
      <w:szCs w:val="18"/>
    </w:rPr>
  </w:style>
  <w:style w:type="character" w:customStyle="1" w:styleId="81">
    <w:name w:val="页眉 Char"/>
    <w:link w:val="33"/>
    <w:qFormat/>
    <w:uiPriority w:val="99"/>
    <w:rPr>
      <w:kern w:val="2"/>
      <w:sz w:val="18"/>
      <w:szCs w:val="18"/>
    </w:rPr>
  </w:style>
  <w:style w:type="character" w:customStyle="1" w:styleId="82">
    <w:name w:val="签名 Char1"/>
    <w:link w:val="34"/>
    <w:qFormat/>
    <w:uiPriority w:val="0"/>
    <w:rPr>
      <w:rFonts w:eastAsia="楷体_GB2312"/>
      <w:kern w:val="2"/>
      <w:sz w:val="21"/>
    </w:rPr>
  </w:style>
  <w:style w:type="character" w:customStyle="1" w:styleId="83">
    <w:name w:val="脚注文本 Char2"/>
    <w:basedOn w:val="52"/>
    <w:link w:val="39"/>
    <w:semiHidden/>
    <w:qFormat/>
    <w:uiPriority w:val="0"/>
    <w:rPr>
      <w:kern w:val="2"/>
      <w:sz w:val="18"/>
      <w:szCs w:val="18"/>
    </w:rPr>
  </w:style>
  <w:style w:type="character" w:customStyle="1" w:styleId="84">
    <w:name w:val="正文文本缩进 3 Char1"/>
    <w:link w:val="41"/>
    <w:qFormat/>
    <w:uiPriority w:val="0"/>
    <w:rPr>
      <w:kern w:val="2"/>
      <w:sz w:val="21"/>
    </w:rPr>
  </w:style>
  <w:style w:type="character" w:customStyle="1" w:styleId="85">
    <w:name w:val="正文文本 2 Char1"/>
    <w:link w:val="44"/>
    <w:qFormat/>
    <w:uiPriority w:val="0"/>
    <w:rPr>
      <w:kern w:val="2"/>
      <w:sz w:val="28"/>
    </w:rPr>
  </w:style>
  <w:style w:type="character" w:customStyle="1" w:styleId="86">
    <w:name w:val="HTML 预设格式 Char1"/>
    <w:link w:val="45"/>
    <w:qFormat/>
    <w:uiPriority w:val="0"/>
    <w:rPr>
      <w:rFonts w:ascii="宋体" w:hAnsi="宋体" w:cs="宋体"/>
      <w:sz w:val="24"/>
      <w:szCs w:val="24"/>
    </w:rPr>
  </w:style>
  <w:style w:type="character" w:customStyle="1" w:styleId="87">
    <w:name w:val="批注主题 Char"/>
    <w:basedOn w:val="72"/>
    <w:link w:val="47"/>
    <w:qFormat/>
    <w:uiPriority w:val="0"/>
    <w:rPr>
      <w:b/>
      <w:bCs/>
      <w:kern w:val="2"/>
      <w:sz w:val="21"/>
      <w:szCs w:val="24"/>
    </w:rPr>
  </w:style>
  <w:style w:type="character" w:customStyle="1" w:styleId="88">
    <w:name w:val="正文首行缩进 Char"/>
    <w:link w:val="48"/>
    <w:qFormat/>
    <w:uiPriority w:val="0"/>
    <w:rPr>
      <w:rFonts w:eastAsia="宋体"/>
      <w:kern w:val="2"/>
      <w:sz w:val="21"/>
      <w:szCs w:val="24"/>
      <w:lang w:val="en-US" w:eastAsia="zh-CN" w:bidi="ar-SA"/>
    </w:rPr>
  </w:style>
  <w:style w:type="character" w:customStyle="1" w:styleId="89">
    <w:name w:val="正文首行缩进 2 Char"/>
    <w:link w:val="49"/>
    <w:qFormat/>
    <w:uiPriority w:val="0"/>
    <w:rPr>
      <w:sz w:val="24"/>
      <w:szCs w:val="24"/>
    </w:rPr>
  </w:style>
  <w:style w:type="paragraph" w:customStyle="1" w:styleId="90">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1">
    <w:name w:val="样式1 Char Char"/>
    <w:basedOn w:val="1"/>
    <w:next w:val="1"/>
    <w:link w:val="92"/>
    <w:qFormat/>
    <w:uiPriority w:val="0"/>
    <w:pPr>
      <w:spacing w:line="360" w:lineRule="auto"/>
      <w:ind w:firstLine="516" w:firstLineChars="215"/>
    </w:pPr>
    <w:rPr>
      <w:sz w:val="24"/>
      <w:szCs w:val="20"/>
    </w:rPr>
  </w:style>
  <w:style w:type="character" w:customStyle="1" w:styleId="92">
    <w:name w:val="样式1 Char Char Char"/>
    <w:link w:val="91"/>
    <w:qFormat/>
    <w:uiPriority w:val="0"/>
    <w:rPr>
      <w:rFonts w:eastAsia="宋体"/>
      <w:kern w:val="2"/>
      <w:sz w:val="24"/>
      <w:lang w:val="en-US" w:eastAsia="zh-CN" w:bidi="ar-SA"/>
    </w:rPr>
  </w:style>
  <w:style w:type="paragraph" w:customStyle="1" w:styleId="93">
    <w:name w:val="样式1"/>
    <w:basedOn w:val="4"/>
    <w:link w:val="94"/>
    <w:qFormat/>
    <w:uiPriority w:val="0"/>
    <w:pPr>
      <w:spacing w:before="120" w:after="120"/>
    </w:pPr>
    <w:rPr>
      <w:rFonts w:eastAsia="黑体" w:cs="Arial"/>
      <w:b w:val="0"/>
      <w:sz w:val="30"/>
      <w:szCs w:val="21"/>
    </w:rPr>
  </w:style>
  <w:style w:type="character" w:customStyle="1" w:styleId="94">
    <w:name w:val="样式1 Char"/>
    <w:link w:val="93"/>
    <w:qFormat/>
    <w:uiPriority w:val="0"/>
    <w:rPr>
      <w:rFonts w:ascii="Arial" w:hAnsi="Arial" w:eastAsia="黑体" w:cs="Arial"/>
      <w:bCs/>
      <w:kern w:val="2"/>
      <w:sz w:val="30"/>
      <w:szCs w:val="21"/>
      <w:lang w:val="en-US" w:eastAsia="zh-CN" w:bidi="ar-SA"/>
    </w:rPr>
  </w:style>
  <w:style w:type="paragraph" w:customStyle="1" w:styleId="95">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7">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98">
    <w:name w:val="Char1"/>
    <w:basedOn w:val="1"/>
    <w:qFormat/>
    <w:uiPriority w:val="0"/>
    <w:rPr>
      <w:rFonts w:ascii="仿宋_GB2312" w:eastAsia="仿宋_GB2312"/>
      <w:b/>
      <w:sz w:val="32"/>
      <w:szCs w:val="32"/>
    </w:rPr>
  </w:style>
  <w:style w:type="character" w:customStyle="1" w:styleId="99">
    <w:name w:val="tpc_title1"/>
    <w:qFormat/>
    <w:uiPriority w:val="0"/>
    <w:rPr>
      <w:b/>
      <w:bCs/>
      <w:sz w:val="18"/>
      <w:szCs w:val="18"/>
    </w:rPr>
  </w:style>
  <w:style w:type="character" w:customStyle="1" w:styleId="100">
    <w:name w:val="tpc_content1"/>
    <w:qFormat/>
    <w:uiPriority w:val="0"/>
    <w:rPr>
      <w:sz w:val="20"/>
      <w:szCs w:val="20"/>
    </w:rPr>
  </w:style>
  <w:style w:type="paragraph" w:customStyle="1" w:styleId="101">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102">
    <w:name w:val="列出段落1"/>
    <w:basedOn w:val="1"/>
    <w:link w:val="103"/>
    <w:qFormat/>
    <w:uiPriority w:val="0"/>
    <w:pPr>
      <w:ind w:firstLine="420" w:firstLineChars="200"/>
    </w:pPr>
  </w:style>
  <w:style w:type="character" w:customStyle="1" w:styleId="103">
    <w:name w:val="列表段落 字符"/>
    <w:link w:val="102"/>
    <w:qFormat/>
    <w:uiPriority w:val="0"/>
    <w:rPr>
      <w:kern w:val="2"/>
      <w:sz w:val="21"/>
      <w:szCs w:val="24"/>
    </w:rPr>
  </w:style>
  <w:style w:type="paragraph" w:customStyle="1" w:styleId="104">
    <w:name w:val="正文1"/>
    <w:basedOn w:val="1"/>
    <w:qFormat/>
    <w:uiPriority w:val="0"/>
    <w:pPr>
      <w:tabs>
        <w:tab w:val="left" w:pos="4"/>
      </w:tabs>
      <w:spacing w:line="360" w:lineRule="auto"/>
      <w:ind w:left="-2" w:firstLine="482"/>
    </w:pPr>
    <w:rPr>
      <w:rFonts w:ascii="宋体" w:hAnsi="宋体"/>
      <w:sz w:val="24"/>
    </w:rPr>
  </w:style>
  <w:style w:type="paragraph" w:customStyle="1" w:styleId="105">
    <w:name w:val="Char2 Char Char Char Char Char Char Char Char Char Char Char Char"/>
    <w:basedOn w:val="1"/>
    <w:qFormat/>
    <w:uiPriority w:val="0"/>
    <w:pPr>
      <w:spacing w:line="360" w:lineRule="auto"/>
      <w:ind w:firstLine="200" w:firstLineChars="200"/>
    </w:pPr>
    <w:rPr>
      <w:rFonts w:ascii="Tahoma" w:hAnsi="Tahoma"/>
      <w:sz w:val="24"/>
    </w:rPr>
  </w:style>
  <w:style w:type="paragraph" w:customStyle="1" w:styleId="106">
    <w:name w:val="缩进正文"/>
    <w:basedOn w:val="1"/>
    <w:link w:val="107"/>
    <w:qFormat/>
    <w:uiPriority w:val="0"/>
    <w:pPr>
      <w:ind w:firstLine="560" w:firstLineChars="200"/>
    </w:pPr>
    <w:rPr>
      <w:rFonts w:eastAsia="仿宋_GB2312" w:cs="宋体"/>
      <w:sz w:val="28"/>
      <w:szCs w:val="20"/>
    </w:rPr>
  </w:style>
  <w:style w:type="character" w:customStyle="1" w:styleId="107">
    <w:name w:val="缩进正文 Char"/>
    <w:link w:val="106"/>
    <w:qFormat/>
    <w:uiPriority w:val="0"/>
    <w:rPr>
      <w:rFonts w:eastAsia="仿宋_GB2312" w:cs="宋体"/>
      <w:kern w:val="2"/>
      <w:sz w:val="28"/>
      <w:lang w:val="en-US" w:eastAsia="zh-CN" w:bidi="ar-SA"/>
    </w:rPr>
  </w:style>
  <w:style w:type="character" w:customStyle="1" w:styleId="108">
    <w:name w:val="访问过的超链接1"/>
    <w:qFormat/>
    <w:uiPriority w:val="0"/>
    <w:rPr>
      <w:color w:val="800080"/>
      <w:u w:val="single"/>
    </w:rPr>
  </w:style>
  <w:style w:type="paragraph" w:customStyle="1" w:styleId="109">
    <w:name w:val="Char Char Char Char Char Char Char"/>
    <w:basedOn w:val="1"/>
    <w:qFormat/>
    <w:uiPriority w:val="0"/>
    <w:pPr>
      <w:widowControl/>
      <w:adjustRightInd w:val="0"/>
      <w:spacing w:after="160" w:line="240" w:lineRule="exact"/>
      <w:jc w:val="left"/>
      <w:textAlignment w:val="baseline"/>
    </w:pPr>
  </w:style>
  <w:style w:type="character" w:customStyle="1" w:styleId="110">
    <w:name w:val="正文缩进 Char1"/>
    <w:qFormat/>
    <w:uiPriority w:val="0"/>
    <w:rPr>
      <w:rFonts w:eastAsia="宋体"/>
      <w:kern w:val="2"/>
      <w:sz w:val="21"/>
      <w:lang w:val="en-US" w:eastAsia="zh-CN" w:bidi="ar-SA"/>
    </w:rPr>
  </w:style>
  <w:style w:type="paragraph" w:customStyle="1" w:styleId="111">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12">
    <w:name w:val="列出段落11"/>
    <w:basedOn w:val="1"/>
    <w:unhideWhenUsed/>
    <w:qFormat/>
    <w:uiPriority w:val="34"/>
    <w:pPr>
      <w:ind w:firstLine="420" w:firstLineChars="200"/>
    </w:pPr>
  </w:style>
  <w:style w:type="paragraph" w:customStyle="1" w:styleId="113">
    <w:name w:val="Table Paragraph"/>
    <w:basedOn w:val="1"/>
    <w:qFormat/>
    <w:uiPriority w:val="0"/>
    <w:pPr>
      <w:autoSpaceDE w:val="0"/>
      <w:autoSpaceDN w:val="0"/>
      <w:adjustRightInd w:val="0"/>
      <w:jc w:val="left"/>
    </w:pPr>
    <w:rPr>
      <w:rFonts w:ascii="宋体" w:hAnsi="宋体" w:cs="宋体"/>
      <w:kern w:val="0"/>
      <w:sz w:val="24"/>
    </w:rPr>
  </w:style>
  <w:style w:type="character" w:customStyle="1" w:styleId="114">
    <w:name w:val="font11"/>
    <w:basedOn w:val="52"/>
    <w:qFormat/>
    <w:uiPriority w:val="0"/>
    <w:rPr>
      <w:rFonts w:hint="eastAsia" w:ascii="宋体" w:hAnsi="宋体" w:eastAsia="宋体" w:cs="宋体"/>
      <w:b/>
      <w:color w:val="000000"/>
      <w:sz w:val="21"/>
      <w:szCs w:val="21"/>
      <w:u w:val="none"/>
    </w:rPr>
  </w:style>
  <w:style w:type="character" w:customStyle="1" w:styleId="115">
    <w:name w:val="批注文字 Char1"/>
    <w:qFormat/>
    <w:locked/>
    <w:uiPriority w:val="0"/>
    <w:rPr>
      <w:rFonts w:ascii="Calibri" w:hAnsi="Calibri" w:eastAsia="宋体" w:cs="Calibri"/>
      <w:szCs w:val="21"/>
    </w:rPr>
  </w:style>
  <w:style w:type="character" w:customStyle="1" w:styleId="116">
    <w:name w:val="title1"/>
    <w:qFormat/>
    <w:uiPriority w:val="0"/>
    <w:rPr>
      <w:rFonts w:hint="eastAsia" w:ascii="微软雅黑" w:hAnsi="微软雅黑" w:eastAsia="微软雅黑"/>
      <w:sz w:val="21"/>
      <w:szCs w:val="21"/>
    </w:rPr>
  </w:style>
  <w:style w:type="character" w:customStyle="1" w:styleId="117">
    <w:name w:val="sect2title1"/>
    <w:qFormat/>
    <w:uiPriority w:val="0"/>
    <w:rPr>
      <w:rFonts w:hint="eastAsia" w:ascii="微软雅黑" w:hAnsi="微软雅黑" w:eastAsia="微软雅黑"/>
      <w:b/>
      <w:bCs/>
      <w:sz w:val="21"/>
      <w:szCs w:val="21"/>
    </w:rPr>
  </w:style>
  <w:style w:type="paragraph" w:customStyle="1" w:styleId="118">
    <w:name w:val="标题1"/>
    <w:basedOn w:val="1"/>
    <w:qFormat/>
    <w:uiPriority w:val="0"/>
    <w:pPr>
      <w:widowControl/>
      <w:spacing w:before="100" w:beforeAutospacing="1" w:after="100" w:afterAutospacing="1"/>
      <w:ind w:firstLine="480"/>
      <w:jc w:val="left"/>
    </w:pPr>
    <w:rPr>
      <w:rFonts w:ascii="微软雅黑" w:hAnsi="微软雅黑" w:eastAsia="微软雅黑" w:cs="宋体"/>
      <w:kern w:val="0"/>
      <w:szCs w:val="21"/>
    </w:rPr>
  </w:style>
  <w:style w:type="character" w:customStyle="1" w:styleId="119">
    <w:name w:val="font01"/>
    <w:basedOn w:val="52"/>
    <w:qFormat/>
    <w:uiPriority w:val="0"/>
    <w:rPr>
      <w:rFonts w:ascii="Tahoma" w:hAnsi="Tahoma" w:eastAsia="Tahoma" w:cs="Tahoma"/>
      <w:color w:val="000000"/>
      <w:sz w:val="20"/>
      <w:szCs w:val="20"/>
      <w:u w:val="none"/>
    </w:rPr>
  </w:style>
  <w:style w:type="paragraph" w:customStyle="1" w:styleId="120">
    <w:name w:val="font5"/>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21">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2">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3">
    <w:name w:val="font8"/>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24">
    <w:name w:val="font9"/>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25">
    <w:name w:val="xl72"/>
    <w:basedOn w:val="1"/>
    <w:qFormat/>
    <w:uiPriority w:val="0"/>
    <w:pPr>
      <w:widowControl/>
      <w:spacing w:before="100" w:beforeAutospacing="1" w:after="100" w:afterAutospacing="1"/>
      <w:jc w:val="left"/>
    </w:pPr>
    <w:rPr>
      <w:rFonts w:ascii="新宋体" w:hAnsi="新宋体" w:eastAsia="新宋体" w:cs="宋体"/>
      <w:kern w:val="0"/>
      <w:sz w:val="28"/>
      <w:szCs w:val="28"/>
    </w:rPr>
  </w:style>
  <w:style w:type="paragraph" w:customStyle="1" w:styleId="126">
    <w:name w:val="xl73"/>
    <w:basedOn w:val="1"/>
    <w:qFormat/>
    <w:uiPriority w:val="0"/>
    <w:pPr>
      <w:widowControl/>
      <w:spacing w:before="100" w:beforeAutospacing="1" w:after="100" w:afterAutospacing="1"/>
      <w:jc w:val="center"/>
      <w:textAlignment w:val="center"/>
    </w:pPr>
    <w:rPr>
      <w:rFonts w:ascii="新宋体" w:hAnsi="新宋体" w:eastAsia="新宋体" w:cs="宋体"/>
      <w:kern w:val="0"/>
      <w:sz w:val="30"/>
      <w:szCs w:val="30"/>
    </w:rPr>
  </w:style>
  <w:style w:type="paragraph" w:customStyle="1" w:styleId="127">
    <w:name w:val="xl74"/>
    <w:basedOn w:val="1"/>
    <w:qFormat/>
    <w:uiPriority w:val="0"/>
    <w:pPr>
      <w:widowControl/>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8">
    <w:name w:val="xl75"/>
    <w:basedOn w:val="1"/>
    <w:qFormat/>
    <w:uiPriority w:val="0"/>
    <w:pPr>
      <w:widowControl/>
      <w:spacing w:before="100" w:beforeAutospacing="1" w:after="100" w:afterAutospacing="1"/>
      <w:jc w:val="center"/>
      <w:textAlignment w:val="center"/>
    </w:pPr>
    <w:rPr>
      <w:rFonts w:ascii="新宋体" w:hAnsi="新宋体" w:eastAsia="新宋体" w:cs="宋体"/>
      <w:kern w:val="0"/>
      <w:sz w:val="24"/>
    </w:rPr>
  </w:style>
  <w:style w:type="paragraph" w:customStyle="1" w:styleId="129">
    <w:name w:val="xl76"/>
    <w:basedOn w:val="1"/>
    <w:qFormat/>
    <w:uiPriority w:val="0"/>
    <w:pPr>
      <w:widowControl/>
      <w:spacing w:before="100" w:beforeAutospacing="1" w:after="100" w:afterAutospacing="1"/>
      <w:jc w:val="center"/>
    </w:pPr>
    <w:rPr>
      <w:rFonts w:ascii="新宋体" w:hAnsi="新宋体" w:eastAsia="新宋体" w:cs="宋体"/>
      <w:kern w:val="0"/>
      <w:sz w:val="24"/>
    </w:rPr>
  </w:style>
  <w:style w:type="paragraph" w:customStyle="1" w:styleId="130">
    <w:name w:val="xl77"/>
    <w:basedOn w:val="1"/>
    <w:qFormat/>
    <w:uiPriority w:val="0"/>
    <w:pPr>
      <w:widowControl/>
      <w:spacing w:before="100" w:beforeAutospacing="1" w:after="100" w:afterAutospacing="1"/>
      <w:jc w:val="left"/>
    </w:pPr>
    <w:rPr>
      <w:rFonts w:ascii="新宋体" w:hAnsi="新宋体" w:eastAsia="新宋体" w:cs="宋体"/>
      <w:kern w:val="0"/>
      <w:sz w:val="24"/>
    </w:rPr>
  </w:style>
  <w:style w:type="paragraph" w:customStyle="1" w:styleId="13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3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32"/>
      <w:szCs w:val="32"/>
    </w:rPr>
  </w:style>
  <w:style w:type="paragraph" w:customStyle="1" w:styleId="13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kern w:val="0"/>
      <w:sz w:val="32"/>
      <w:szCs w:val="32"/>
    </w:rPr>
  </w:style>
  <w:style w:type="paragraph" w:customStyle="1" w:styleId="134">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3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3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37">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3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b/>
      <w:bCs/>
      <w:kern w:val="0"/>
      <w:sz w:val="32"/>
      <w:szCs w:val="32"/>
    </w:rPr>
  </w:style>
  <w:style w:type="paragraph" w:customStyle="1" w:styleId="139">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40">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41">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color w:val="000000"/>
      <w:kern w:val="0"/>
      <w:sz w:val="32"/>
      <w:szCs w:val="32"/>
    </w:rPr>
  </w:style>
  <w:style w:type="paragraph" w:customStyle="1" w:styleId="142">
    <w:name w:val="xl89"/>
    <w:basedOn w:val="1"/>
    <w:qFormat/>
    <w:uiPriority w:val="0"/>
    <w:pPr>
      <w:widowControl/>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43">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32"/>
      <w:szCs w:val="32"/>
    </w:rPr>
  </w:style>
  <w:style w:type="paragraph" w:customStyle="1" w:styleId="144">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45">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46">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24"/>
    </w:rPr>
  </w:style>
  <w:style w:type="paragraph" w:customStyle="1" w:styleId="147">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48">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49">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0">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51">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52">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53">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54">
    <w:name w:val="xl10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55">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56">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57">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59">
    <w:name w:val="xl10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60">
    <w:name w:val="xl10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61">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62">
    <w:name w:val="xl10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63">
    <w:name w:val="xl11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64">
    <w:name w:val="xl11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65">
    <w:name w:val="xl11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66">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7">
    <w:name w:val="xl114"/>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8">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9">
    <w:name w:val="xl11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70">
    <w:name w:val="xl11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71">
    <w:name w:val="xl118"/>
    <w:basedOn w:val="1"/>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72">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73">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36"/>
      <w:szCs w:val="36"/>
    </w:rPr>
  </w:style>
  <w:style w:type="character" w:customStyle="1" w:styleId="174">
    <w:name w:val="font41"/>
    <w:basedOn w:val="52"/>
    <w:qFormat/>
    <w:uiPriority w:val="0"/>
    <w:rPr>
      <w:rFonts w:hint="eastAsia" w:ascii="仿宋_GB2312" w:eastAsia="仿宋_GB2312" w:cs="仿宋_GB2312"/>
      <w:color w:val="000000"/>
      <w:sz w:val="20"/>
      <w:szCs w:val="20"/>
      <w:u w:val="none"/>
    </w:rPr>
  </w:style>
  <w:style w:type="character" w:customStyle="1" w:styleId="175">
    <w:name w:val="font31"/>
    <w:basedOn w:val="52"/>
    <w:qFormat/>
    <w:uiPriority w:val="0"/>
    <w:rPr>
      <w:rFonts w:hint="default" w:ascii="Symbol" w:hAnsi="Symbol" w:cs="Symbol"/>
      <w:color w:val="000000"/>
      <w:sz w:val="20"/>
      <w:szCs w:val="20"/>
      <w:u w:val="none"/>
    </w:rPr>
  </w:style>
  <w:style w:type="character" w:customStyle="1" w:styleId="176">
    <w:name w:val="font71"/>
    <w:basedOn w:val="52"/>
    <w:qFormat/>
    <w:uiPriority w:val="0"/>
    <w:rPr>
      <w:rFonts w:ascii="Arial" w:hAnsi="Arial" w:cs="Arial"/>
      <w:color w:val="000000"/>
      <w:sz w:val="20"/>
      <w:szCs w:val="20"/>
      <w:u w:val="none"/>
    </w:rPr>
  </w:style>
  <w:style w:type="character" w:customStyle="1" w:styleId="177">
    <w:name w:val="font21"/>
    <w:basedOn w:val="52"/>
    <w:qFormat/>
    <w:uiPriority w:val="0"/>
    <w:rPr>
      <w:rFonts w:hint="default" w:ascii="Symbol" w:hAnsi="Symbol" w:cs="Symbol"/>
      <w:color w:val="000000"/>
      <w:sz w:val="20"/>
      <w:szCs w:val="20"/>
      <w:u w:val="none"/>
    </w:rPr>
  </w:style>
  <w:style w:type="character" w:customStyle="1" w:styleId="178">
    <w:name w:val="font91"/>
    <w:basedOn w:val="52"/>
    <w:qFormat/>
    <w:uiPriority w:val="0"/>
    <w:rPr>
      <w:rFonts w:ascii="Arial" w:hAnsi="Arial" w:cs="Arial"/>
      <w:color w:val="000000"/>
      <w:sz w:val="20"/>
      <w:szCs w:val="20"/>
      <w:u w:val="none"/>
    </w:rPr>
  </w:style>
  <w:style w:type="character" w:customStyle="1" w:styleId="179">
    <w:name w:val="font51"/>
    <w:basedOn w:val="52"/>
    <w:qFormat/>
    <w:uiPriority w:val="0"/>
    <w:rPr>
      <w:rFonts w:ascii="仿宋" w:hAnsi="仿宋" w:eastAsia="仿宋" w:cs="仿宋"/>
      <w:color w:val="000000"/>
      <w:sz w:val="21"/>
      <w:szCs w:val="21"/>
      <w:u w:val="none"/>
    </w:rPr>
  </w:style>
  <w:style w:type="character" w:customStyle="1" w:styleId="180">
    <w:name w:val="font101"/>
    <w:basedOn w:val="52"/>
    <w:qFormat/>
    <w:uiPriority w:val="0"/>
    <w:rPr>
      <w:rFonts w:hint="eastAsia" w:ascii="仿宋_GB2312" w:eastAsia="仿宋_GB2312" w:cs="仿宋_GB2312"/>
      <w:color w:val="000000"/>
      <w:sz w:val="20"/>
      <w:szCs w:val="20"/>
      <w:u w:val="none"/>
    </w:rPr>
  </w:style>
  <w:style w:type="character" w:customStyle="1" w:styleId="181">
    <w:name w:val="font61"/>
    <w:basedOn w:val="52"/>
    <w:qFormat/>
    <w:uiPriority w:val="0"/>
    <w:rPr>
      <w:rFonts w:hint="eastAsia" w:ascii="宋体" w:hAnsi="宋体" w:eastAsia="宋体" w:cs="宋体"/>
      <w:color w:val="000000"/>
      <w:sz w:val="20"/>
      <w:szCs w:val="20"/>
      <w:u w:val="none"/>
    </w:rPr>
  </w:style>
  <w:style w:type="character" w:customStyle="1" w:styleId="182">
    <w:name w:val="font81"/>
    <w:basedOn w:val="52"/>
    <w:qFormat/>
    <w:uiPriority w:val="0"/>
    <w:rPr>
      <w:rFonts w:hint="eastAsia" w:ascii="仿宋" w:hAnsi="仿宋" w:eastAsia="仿宋" w:cs="仿宋"/>
      <w:color w:val="000000"/>
      <w:sz w:val="21"/>
      <w:szCs w:val="21"/>
      <w:u w:val="none"/>
    </w:rPr>
  </w:style>
  <w:style w:type="character" w:customStyle="1" w:styleId="183">
    <w:name w:val="font111"/>
    <w:basedOn w:val="52"/>
    <w:qFormat/>
    <w:uiPriority w:val="0"/>
    <w:rPr>
      <w:rFonts w:hint="eastAsia" w:ascii="仿宋_GB2312" w:eastAsia="仿宋_GB2312" w:cs="仿宋_GB2312"/>
      <w:color w:val="000000"/>
      <w:sz w:val="21"/>
      <w:szCs w:val="21"/>
      <w:u w:val="none"/>
    </w:rPr>
  </w:style>
  <w:style w:type="character" w:customStyle="1" w:styleId="184">
    <w:name w:val="font121"/>
    <w:basedOn w:val="52"/>
    <w:qFormat/>
    <w:uiPriority w:val="0"/>
    <w:rPr>
      <w:rFonts w:ascii="Arial" w:hAnsi="Arial" w:cs="Arial"/>
      <w:color w:val="000000"/>
      <w:sz w:val="20"/>
      <w:szCs w:val="20"/>
      <w:u w:val="none"/>
    </w:rPr>
  </w:style>
  <w:style w:type="character" w:customStyle="1" w:styleId="185">
    <w:name w:val="font112"/>
    <w:basedOn w:val="52"/>
    <w:qFormat/>
    <w:uiPriority w:val="0"/>
    <w:rPr>
      <w:rFonts w:hint="eastAsia" w:ascii="仿宋_GB2312" w:eastAsia="仿宋_GB2312" w:cs="仿宋_GB2312"/>
      <w:color w:val="000000"/>
      <w:sz w:val="21"/>
      <w:szCs w:val="21"/>
      <w:u w:val="none"/>
    </w:rPr>
  </w:style>
  <w:style w:type="paragraph" w:customStyle="1" w:styleId="186">
    <w:name w:val="xl29164"/>
    <w:basedOn w:val="1"/>
    <w:qFormat/>
    <w:uiPriority w:val="0"/>
    <w:pPr>
      <w:widowControl/>
      <w:spacing w:before="100" w:beforeAutospacing="1" w:after="100" w:afterAutospacing="1"/>
      <w:jc w:val="center"/>
    </w:pPr>
    <w:rPr>
      <w:rFonts w:ascii="宋体" w:hAnsi="宋体" w:cs="宋体"/>
      <w:color w:val="000000"/>
      <w:kern w:val="0"/>
      <w:sz w:val="22"/>
      <w:szCs w:val="22"/>
    </w:rPr>
  </w:style>
  <w:style w:type="paragraph" w:customStyle="1" w:styleId="187">
    <w:name w:val="xl291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88">
    <w:name w:val="xl29166"/>
    <w:basedOn w:val="1"/>
    <w:qFormat/>
    <w:uiPriority w:val="0"/>
    <w:pPr>
      <w:widowControl/>
      <w:spacing w:before="100" w:beforeAutospacing="1" w:after="100" w:afterAutospacing="1"/>
      <w:jc w:val="left"/>
    </w:pPr>
    <w:rPr>
      <w:rFonts w:ascii="宋体" w:hAnsi="宋体" w:cs="宋体"/>
      <w:kern w:val="0"/>
      <w:sz w:val="24"/>
    </w:rPr>
  </w:style>
  <w:style w:type="paragraph" w:customStyle="1" w:styleId="189">
    <w:name w:val="xl29167"/>
    <w:basedOn w:val="1"/>
    <w:qFormat/>
    <w:uiPriority w:val="0"/>
    <w:pPr>
      <w:widowControl/>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190">
    <w:name w:val="xl29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91">
    <w:name w:val="xl291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2">
    <w:name w:val="xl29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93">
    <w:name w:val="xl291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4">
    <w:name w:val="xl291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95">
    <w:name w:val="xl291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6">
    <w:name w:val="xl291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7">
    <w:name w:val="xl291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8">
    <w:name w:val="xl291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9">
    <w:name w:val="xl291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00">
    <w:name w:val="xl291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01">
    <w:name w:val="xl291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02">
    <w:name w:val="xl291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03">
    <w:name w:val="xl291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04">
    <w:name w:val="xl291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05">
    <w:name w:val="xl29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2"/>
      <w:szCs w:val="22"/>
    </w:rPr>
  </w:style>
  <w:style w:type="paragraph" w:customStyle="1" w:styleId="206">
    <w:name w:val="xl29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7">
    <w:name w:val="xl291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08">
    <w:name w:val="xl29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9">
    <w:name w:val="xl29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10">
    <w:name w:val="xl29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1">
    <w:name w:val="xl29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12">
    <w:name w:val="xl29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13">
    <w:name w:val="xl29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14">
    <w:name w:val="xl291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15">
    <w:name w:val="xl29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16">
    <w:name w:val="xl291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17">
    <w:name w:val="xl2919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8">
    <w:name w:val="xl29196"/>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9">
    <w:name w:val="xl2919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20">
    <w:name w:val="xl2919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21">
    <w:name w:val="xl29199"/>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22">
    <w:name w:val="xl2920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23">
    <w:name w:val="xl292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4">
    <w:name w:val="xl292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25">
    <w:name w:val="xl292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6">
    <w:name w:val="xl303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27">
    <w:name w:val="xl303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8">
    <w:name w:val="xl303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9">
    <w:name w:val="xl30307"/>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230">
    <w:name w:val="xl303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31">
    <w:name w:val="xl303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32">
    <w:name w:val="xl3031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3">
    <w:name w:val="xl30311"/>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4">
    <w:name w:val="xl3031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5">
    <w:name w:val="xl303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6">
    <w:name w:val="xl303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37">
    <w:name w:val="xl303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8">
    <w:name w:val="xl303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39">
    <w:name w:val="xl303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40">
    <w:name w:val="xl303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241">
    <w:name w:val="xl303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2">
    <w:name w:val="xl303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3">
    <w:name w:val="xl303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244">
    <w:name w:val="xl303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45">
    <w:name w:val="xl30323"/>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6">
    <w:name w:val="xl30324"/>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7">
    <w:name w:val="xl30325"/>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8">
    <w:name w:val="xl303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9">
    <w:name w:val="xl303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0">
    <w:name w:val="xl303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51">
    <w:name w:val="xl303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52">
    <w:name w:val="xl303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253">
    <w:name w:val="xl303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54">
    <w:name w:val="xl303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5">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56">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7">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8">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5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60">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61">
    <w:name w:val="xl7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正文"/>
    <w:basedOn w:val="1"/>
    <w:qFormat/>
    <w:uiPriority w:val="0"/>
    <w:pPr>
      <w:spacing w:beforeLines="50"/>
      <w:ind w:firstLine="200" w:firstLineChars="200"/>
    </w:pPr>
    <w:rPr>
      <w:rFonts w:ascii="Calibri" w:hAnsi="Calibri" w:eastAsia="华文仿宋"/>
      <w:szCs w:val="22"/>
    </w:rPr>
  </w:style>
  <w:style w:type="paragraph" w:customStyle="1" w:styleId="264">
    <w:name w:val="正文A缩进"/>
    <w:basedOn w:val="1"/>
    <w:qFormat/>
    <w:uiPriority w:val="0"/>
    <w:pPr>
      <w:spacing w:line="360" w:lineRule="auto"/>
      <w:ind w:firstLine="200" w:firstLineChars="200"/>
    </w:pPr>
    <w:rPr>
      <w:kern w:val="0"/>
      <w:sz w:val="28"/>
      <w:szCs w:val="20"/>
    </w:rPr>
  </w:style>
  <w:style w:type="paragraph" w:customStyle="1" w:styleId="265">
    <w:name w:val="_Style 1"/>
    <w:qFormat/>
    <w:uiPriority w:val="0"/>
    <w:pPr>
      <w:adjustRightInd w:val="0"/>
      <w:snapToGrid w:val="0"/>
      <w:jc w:val="center"/>
    </w:pPr>
    <w:rPr>
      <w:rFonts w:ascii="Tahoma" w:hAnsi="Tahoma" w:eastAsia="宋体" w:cs="Times New Roman"/>
      <w:b/>
      <w:sz w:val="52"/>
      <w:szCs w:val="22"/>
      <w:lang w:val="en-US" w:eastAsia="zh-CN" w:bidi="ar-SA"/>
    </w:rPr>
  </w:style>
  <w:style w:type="character" w:customStyle="1" w:styleId="266">
    <w:name w:val="标题 5 Char"/>
    <w:basedOn w:val="52"/>
    <w:qFormat/>
    <w:uiPriority w:val="0"/>
    <w:rPr>
      <w:b/>
      <w:bCs/>
      <w:kern w:val="2"/>
      <w:sz w:val="28"/>
      <w:szCs w:val="28"/>
    </w:rPr>
  </w:style>
  <w:style w:type="character" w:customStyle="1" w:styleId="267">
    <w:name w:val="标题 6 Char"/>
    <w:basedOn w:val="52"/>
    <w:qFormat/>
    <w:uiPriority w:val="9"/>
    <w:rPr>
      <w:rFonts w:ascii="Cambria" w:hAnsi="Cambria" w:eastAsia="宋体" w:cs="Times New Roman"/>
      <w:b/>
      <w:bCs/>
      <w:kern w:val="2"/>
      <w:sz w:val="24"/>
      <w:szCs w:val="24"/>
    </w:rPr>
  </w:style>
  <w:style w:type="character" w:customStyle="1" w:styleId="268">
    <w:name w:val="标题 7 Char"/>
    <w:basedOn w:val="52"/>
    <w:qFormat/>
    <w:uiPriority w:val="9"/>
    <w:rPr>
      <w:b/>
      <w:bCs/>
      <w:kern w:val="2"/>
      <w:sz w:val="24"/>
      <w:szCs w:val="24"/>
    </w:rPr>
  </w:style>
  <w:style w:type="character" w:customStyle="1" w:styleId="269">
    <w:name w:val="标题 8 Char"/>
    <w:basedOn w:val="52"/>
    <w:qFormat/>
    <w:uiPriority w:val="9"/>
    <w:rPr>
      <w:rFonts w:ascii="Cambria" w:hAnsi="Cambria" w:eastAsia="宋体" w:cs="Times New Roman"/>
      <w:kern w:val="2"/>
      <w:sz w:val="24"/>
      <w:szCs w:val="24"/>
    </w:rPr>
  </w:style>
  <w:style w:type="character" w:customStyle="1" w:styleId="270">
    <w:name w:val="标题 9 Char"/>
    <w:basedOn w:val="52"/>
    <w:qFormat/>
    <w:uiPriority w:val="0"/>
    <w:rPr>
      <w:rFonts w:ascii="Cambria" w:hAnsi="Cambria" w:eastAsia="宋体" w:cs="Times New Roman"/>
      <w:kern w:val="2"/>
      <w:sz w:val="21"/>
      <w:szCs w:val="21"/>
    </w:rPr>
  </w:style>
  <w:style w:type="paragraph" w:customStyle="1" w:styleId="271">
    <w:name w:val="！表格内容"/>
    <w:basedOn w:val="1"/>
    <w:qFormat/>
    <w:uiPriority w:val="0"/>
    <w:pPr>
      <w:spacing w:line="320" w:lineRule="atLeast"/>
    </w:pPr>
  </w:style>
  <w:style w:type="character" w:customStyle="1" w:styleId="272">
    <w:name w:val="页眉 Char2"/>
    <w:basedOn w:val="52"/>
    <w:qFormat/>
    <w:uiPriority w:val="99"/>
    <w:rPr>
      <w:rFonts w:ascii="Times New Roman" w:hAnsi="Times New Roman" w:eastAsia="宋体" w:cs="Times New Roman"/>
      <w:sz w:val="18"/>
      <w:szCs w:val="18"/>
    </w:rPr>
  </w:style>
  <w:style w:type="character" w:customStyle="1" w:styleId="273">
    <w:name w:val="页脚 Char1"/>
    <w:basedOn w:val="52"/>
    <w:qFormat/>
    <w:uiPriority w:val="99"/>
    <w:rPr>
      <w:rFonts w:ascii="Times New Roman" w:hAnsi="Times New Roman" w:eastAsia="宋体" w:cs="Times New Roman"/>
      <w:sz w:val="18"/>
      <w:szCs w:val="18"/>
    </w:rPr>
  </w:style>
  <w:style w:type="paragraph" w:customStyle="1" w:styleId="274">
    <w:name w:val="Ｒ03－xoL"/>
    <w:next w:val="1"/>
    <w:qFormat/>
    <w:uiPriority w:val="0"/>
    <w:pPr>
      <w:spacing w:line="360" w:lineRule="auto"/>
      <w:ind w:firstLine="560" w:firstLineChars="200"/>
      <w:outlineLvl w:val="2"/>
    </w:pPr>
    <w:rPr>
      <w:rFonts w:ascii="黑体" w:hAnsi="华文细黑" w:eastAsia="黑体" w:cs="Arial"/>
      <w:bCs/>
      <w:snapToGrid w:val="0"/>
      <w:sz w:val="28"/>
      <w:szCs w:val="28"/>
      <w:lang w:val="en-US" w:eastAsia="zh-CN" w:bidi="ar-SA"/>
    </w:rPr>
  </w:style>
  <w:style w:type="character" w:customStyle="1" w:styleId="275">
    <w:name w:val="批注文字 字符"/>
    <w:basedOn w:val="52"/>
    <w:qFormat/>
    <w:uiPriority w:val="99"/>
    <w:rPr>
      <w:rFonts w:ascii="Times New Roman" w:hAnsi="Times New Roman" w:eastAsia="宋体" w:cs="Times New Roman"/>
      <w:szCs w:val="24"/>
    </w:rPr>
  </w:style>
  <w:style w:type="character" w:customStyle="1" w:styleId="276">
    <w:name w:val="文档结构图 Char1"/>
    <w:basedOn w:val="52"/>
    <w:qFormat/>
    <w:uiPriority w:val="0"/>
    <w:rPr>
      <w:rFonts w:ascii="宋体" w:hAnsi="Times New Roman" w:eastAsia="宋体" w:cs="Times New Roman"/>
      <w:sz w:val="18"/>
      <w:szCs w:val="18"/>
    </w:rPr>
  </w:style>
  <w:style w:type="character" w:customStyle="1" w:styleId="277">
    <w:name w:val="批注主题 Char1"/>
    <w:basedOn w:val="115"/>
    <w:qFormat/>
    <w:uiPriority w:val="0"/>
    <w:rPr>
      <w:rFonts w:ascii="Times New Roman" w:hAnsi="Times New Roman" w:eastAsia="宋体" w:cs="Times New Roman"/>
      <w:b/>
      <w:bCs/>
      <w:szCs w:val="24"/>
    </w:rPr>
  </w:style>
  <w:style w:type="character" w:customStyle="1" w:styleId="278">
    <w:name w:val="批注框文本 Char1"/>
    <w:basedOn w:val="52"/>
    <w:qFormat/>
    <w:uiPriority w:val="0"/>
    <w:rPr>
      <w:rFonts w:ascii="Times New Roman" w:hAnsi="Times New Roman" w:eastAsia="宋体" w:cs="Times New Roman"/>
      <w:sz w:val="18"/>
      <w:szCs w:val="18"/>
    </w:rPr>
  </w:style>
  <w:style w:type="character" w:customStyle="1" w:styleId="279">
    <w:name w:val="标题 1 Char1"/>
    <w:basedOn w:val="52"/>
    <w:qFormat/>
    <w:uiPriority w:val="0"/>
    <w:rPr>
      <w:b/>
      <w:bCs/>
      <w:kern w:val="44"/>
      <w:sz w:val="44"/>
      <w:szCs w:val="44"/>
    </w:rPr>
  </w:style>
  <w:style w:type="character" w:customStyle="1" w:styleId="280">
    <w:name w:val="标题 2 Char1"/>
    <w:basedOn w:val="52"/>
    <w:qFormat/>
    <w:uiPriority w:val="0"/>
    <w:rPr>
      <w:rFonts w:ascii="Cambria" w:hAnsi="Cambria" w:eastAsia="宋体" w:cs="Times New Roman"/>
      <w:b/>
      <w:bCs/>
      <w:kern w:val="2"/>
      <w:sz w:val="32"/>
      <w:szCs w:val="32"/>
    </w:rPr>
  </w:style>
  <w:style w:type="character" w:customStyle="1" w:styleId="281">
    <w:name w:val="标题 3 Char1"/>
    <w:basedOn w:val="52"/>
    <w:qFormat/>
    <w:uiPriority w:val="99"/>
    <w:rPr>
      <w:rFonts w:ascii="宋体" w:hAnsi="Arial"/>
      <w:b/>
      <w:kern w:val="2"/>
      <w:sz w:val="28"/>
    </w:rPr>
  </w:style>
  <w:style w:type="character" w:customStyle="1" w:styleId="282">
    <w:name w:val="Char Char3"/>
    <w:qFormat/>
    <w:uiPriority w:val="0"/>
    <w:rPr>
      <w:rFonts w:hint="eastAsia" w:ascii="宋体" w:hAnsi="宋体" w:eastAsia="宋体"/>
      <w:kern w:val="2"/>
      <w:sz w:val="21"/>
      <w:szCs w:val="24"/>
      <w:lang w:val="en-US" w:eastAsia="zh-CN" w:bidi="ar-SA"/>
    </w:rPr>
  </w:style>
  <w:style w:type="character" w:customStyle="1" w:styleId="283">
    <w:name w:val="正文－段落 Char Char"/>
    <w:link w:val="284"/>
    <w:qFormat/>
    <w:uiPriority w:val="0"/>
    <w:rPr>
      <w:rFonts w:eastAsia="Times New Roman"/>
      <w:sz w:val="24"/>
      <w:szCs w:val="24"/>
      <w:lang w:val="en-US" w:eastAsia="zh-CN" w:bidi="ar-SA"/>
    </w:rPr>
  </w:style>
  <w:style w:type="paragraph" w:customStyle="1" w:styleId="284">
    <w:name w:val="正文－段落"/>
    <w:link w:val="283"/>
    <w:qFormat/>
    <w:uiPriority w:val="0"/>
    <w:pPr>
      <w:spacing w:line="360" w:lineRule="auto"/>
      <w:ind w:firstLine="480" w:firstLineChars="200"/>
    </w:pPr>
    <w:rPr>
      <w:rFonts w:ascii="Times New Roman" w:hAnsi="Times New Roman" w:eastAsia="Times New Roman" w:cs="Times New Roman"/>
      <w:sz w:val="24"/>
      <w:szCs w:val="24"/>
      <w:lang w:val="en-US" w:eastAsia="zh-CN" w:bidi="ar-SA"/>
    </w:rPr>
  </w:style>
  <w:style w:type="character" w:customStyle="1" w:styleId="285">
    <w:name w:val="纯文本 Char1"/>
    <w:qFormat/>
    <w:uiPriority w:val="0"/>
    <w:rPr>
      <w:rFonts w:ascii="宋体" w:hAnsi="Courier New"/>
      <w:spacing w:val="-8"/>
      <w:kern w:val="2"/>
      <w:sz w:val="24"/>
    </w:rPr>
  </w:style>
  <w:style w:type="character" w:customStyle="1" w:styleId="286">
    <w:name w:val="日期 Char"/>
    <w:qFormat/>
    <w:uiPriority w:val="0"/>
    <w:rPr>
      <w:rFonts w:ascii="宋体" w:hAnsi="宋体"/>
      <w:sz w:val="24"/>
    </w:rPr>
  </w:style>
  <w:style w:type="character" w:customStyle="1" w:styleId="287">
    <w:name w:val="Char Char9"/>
    <w:qFormat/>
    <w:uiPriority w:val="0"/>
    <w:rPr>
      <w:rFonts w:hint="default" w:ascii="Calibri" w:hAnsi="Calibri" w:eastAsia="宋体"/>
      <w:sz w:val="18"/>
      <w:szCs w:val="18"/>
      <w:lang w:bidi="ar-SA"/>
    </w:rPr>
  </w:style>
  <w:style w:type="character" w:customStyle="1" w:styleId="288">
    <w:name w:val="Char Char17"/>
    <w:qFormat/>
    <w:uiPriority w:val="0"/>
    <w:rPr>
      <w:rFonts w:hint="eastAsia" w:ascii="仿宋_GB2312" w:hAnsi="Calibri" w:eastAsia="仿宋_GB2312"/>
      <w:b/>
      <w:bCs/>
      <w:color w:val="000000"/>
      <w:kern w:val="2"/>
      <w:sz w:val="32"/>
      <w:szCs w:val="32"/>
      <w:lang w:bidi="ar-SA"/>
    </w:rPr>
  </w:style>
  <w:style w:type="character" w:customStyle="1" w:styleId="289">
    <w:name w:val="HTML 预设格式 Char"/>
    <w:qFormat/>
    <w:uiPriority w:val="0"/>
    <w:rPr>
      <w:rFonts w:ascii="黑体" w:hAnsi="Courier New" w:eastAsia="黑体" w:cs="Courier New"/>
    </w:rPr>
  </w:style>
  <w:style w:type="character" w:customStyle="1" w:styleId="290">
    <w:name w:val="1.5倍行距 Char Char"/>
    <w:link w:val="291"/>
    <w:qFormat/>
    <w:uiPriority w:val="0"/>
    <w:rPr>
      <w:kern w:val="2"/>
      <w:sz w:val="21"/>
      <w:szCs w:val="24"/>
    </w:rPr>
  </w:style>
  <w:style w:type="paragraph" w:customStyle="1" w:styleId="291">
    <w:name w:val="1.5倍行距"/>
    <w:basedOn w:val="1"/>
    <w:link w:val="290"/>
    <w:qFormat/>
    <w:uiPriority w:val="0"/>
    <w:pPr>
      <w:spacing w:line="360" w:lineRule="auto"/>
      <w:ind w:firstLine="420"/>
    </w:pPr>
  </w:style>
  <w:style w:type="character" w:customStyle="1" w:styleId="292">
    <w:name w:val="H2 Char1"/>
    <w:qFormat/>
    <w:uiPriority w:val="0"/>
    <w:rPr>
      <w:rFonts w:ascii="Cambria" w:hAnsi="Cambria"/>
      <w:b/>
      <w:bCs/>
      <w:sz w:val="32"/>
      <w:szCs w:val="32"/>
    </w:rPr>
  </w:style>
  <w:style w:type="character" w:customStyle="1" w:styleId="293">
    <w:name w:val="Char Char4"/>
    <w:qFormat/>
    <w:uiPriority w:val="0"/>
    <w:rPr>
      <w:rFonts w:hint="default" w:ascii="Calibri" w:hAnsi="Calibri" w:eastAsia="宋体"/>
      <w:kern w:val="2"/>
      <w:sz w:val="21"/>
      <w:szCs w:val="22"/>
      <w:lang w:val="en-US" w:eastAsia="zh-CN" w:bidi="ar-SA"/>
    </w:rPr>
  </w:style>
  <w:style w:type="character" w:customStyle="1" w:styleId="294">
    <w:name w:val="正文文本缩进 2 Char"/>
    <w:qFormat/>
    <w:uiPriority w:val="0"/>
    <w:rPr>
      <w:kern w:val="2"/>
      <w:sz w:val="21"/>
    </w:rPr>
  </w:style>
  <w:style w:type="character" w:customStyle="1" w:styleId="295">
    <w:name w:val="标题2 Char"/>
    <w:link w:val="296"/>
    <w:qFormat/>
    <w:uiPriority w:val="0"/>
    <w:rPr>
      <w:rFonts w:ascii="仿宋" w:hAnsi="仿宋" w:eastAsia="仿宋"/>
      <w:b/>
      <w:bCs/>
      <w:color w:val="000000"/>
      <w:kern w:val="2"/>
      <w:sz w:val="24"/>
      <w:szCs w:val="24"/>
    </w:rPr>
  </w:style>
  <w:style w:type="paragraph" w:customStyle="1" w:styleId="296">
    <w:name w:val="标题2"/>
    <w:basedOn w:val="297"/>
    <w:link w:val="295"/>
    <w:qFormat/>
    <w:uiPriority w:val="0"/>
    <w:pPr>
      <w:tabs>
        <w:tab w:val="left" w:pos="425"/>
        <w:tab w:val="left" w:pos="709"/>
        <w:tab w:val="left" w:pos="851"/>
        <w:tab w:val="left" w:pos="1419"/>
      </w:tabs>
    </w:pPr>
    <w:rPr>
      <w:sz w:val="24"/>
      <w:szCs w:val="24"/>
    </w:rPr>
  </w:style>
  <w:style w:type="paragraph" w:customStyle="1" w:styleId="297">
    <w:name w:val="三级"/>
    <w:basedOn w:val="5"/>
    <w:link w:val="298"/>
    <w:qFormat/>
    <w:uiPriority w:val="0"/>
    <w:pPr>
      <w:tabs>
        <w:tab w:val="left" w:pos="425"/>
        <w:tab w:val="left" w:pos="709"/>
        <w:tab w:val="left" w:pos="851"/>
      </w:tabs>
      <w:spacing w:before="240" w:after="240" w:line="360" w:lineRule="auto"/>
      <w:ind w:left="425" w:hanging="425"/>
    </w:pPr>
    <w:rPr>
      <w:rFonts w:ascii="仿宋" w:hAnsi="仿宋" w:eastAsia="仿宋"/>
      <w:color w:val="000000"/>
      <w:sz w:val="32"/>
    </w:rPr>
  </w:style>
  <w:style w:type="character" w:customStyle="1" w:styleId="298">
    <w:name w:val="三级 Char"/>
    <w:link w:val="297"/>
    <w:qFormat/>
    <w:uiPriority w:val="0"/>
    <w:rPr>
      <w:rFonts w:ascii="仿宋" w:hAnsi="仿宋" w:eastAsia="仿宋"/>
      <w:b/>
      <w:bCs/>
      <w:color w:val="000000"/>
      <w:kern w:val="2"/>
      <w:sz w:val="32"/>
      <w:szCs w:val="32"/>
    </w:rPr>
  </w:style>
  <w:style w:type="character" w:customStyle="1" w:styleId="299">
    <w:name w:val="正文首行缩进 Char Char Char1"/>
    <w:qFormat/>
    <w:uiPriority w:val="0"/>
    <w:rPr>
      <w:rFonts w:ascii="Times New Roman" w:hAnsi="Times New Roman"/>
      <w:kern w:val="2"/>
      <w:sz w:val="24"/>
      <w:szCs w:val="24"/>
    </w:rPr>
  </w:style>
  <w:style w:type="character" w:customStyle="1" w:styleId="300">
    <w:name w:val="标题 Char1"/>
    <w:qFormat/>
    <w:uiPriority w:val="0"/>
    <w:rPr>
      <w:rFonts w:ascii="Arial" w:hAnsi="Arial"/>
      <w:b/>
      <w:kern w:val="2"/>
      <w:sz w:val="36"/>
      <w:szCs w:val="24"/>
    </w:rPr>
  </w:style>
  <w:style w:type="character" w:customStyle="1" w:styleId="301">
    <w:name w:val="正文文本 字符"/>
    <w:qFormat/>
    <w:uiPriority w:val="0"/>
    <w:rPr>
      <w:rFonts w:eastAsia="宋体"/>
      <w:kern w:val="2"/>
      <w:sz w:val="21"/>
      <w:szCs w:val="24"/>
      <w:lang w:bidi="ar-SA"/>
    </w:rPr>
  </w:style>
  <w:style w:type="character" w:customStyle="1" w:styleId="302">
    <w:name w:val="正文文本缩进 Char"/>
    <w:qFormat/>
    <w:uiPriority w:val="0"/>
    <w:rPr>
      <w:kern w:val="2"/>
      <w:sz w:val="24"/>
    </w:rPr>
  </w:style>
  <w:style w:type="character" w:customStyle="1" w:styleId="303">
    <w:name w:val="bt Char1"/>
    <w:qFormat/>
    <w:uiPriority w:val="0"/>
    <w:rPr>
      <w:rFonts w:ascii="Times New Roman" w:hAnsi="Times New Roman"/>
      <w:kern w:val="2"/>
      <w:sz w:val="24"/>
      <w:szCs w:val="24"/>
    </w:rPr>
  </w:style>
  <w:style w:type="character" w:customStyle="1" w:styleId="304">
    <w:name w:val="Char Char18"/>
    <w:qFormat/>
    <w:uiPriority w:val="0"/>
    <w:rPr>
      <w:rFonts w:hint="default" w:ascii="Cambria" w:hAnsi="Cambria" w:eastAsia="宋体"/>
      <w:b/>
      <w:bCs/>
      <w:sz w:val="32"/>
      <w:szCs w:val="32"/>
      <w:lang w:bidi="ar-SA"/>
    </w:rPr>
  </w:style>
  <w:style w:type="character" w:customStyle="1" w:styleId="305">
    <w:name w:val="四级 Char"/>
    <w:link w:val="306"/>
    <w:qFormat/>
    <w:uiPriority w:val="0"/>
    <w:rPr>
      <w:rFonts w:ascii="仿宋" w:hAnsi="仿宋" w:eastAsia="仿宋"/>
      <w:bCs/>
      <w:kern w:val="2"/>
      <w:sz w:val="32"/>
      <w:szCs w:val="32"/>
    </w:rPr>
  </w:style>
  <w:style w:type="paragraph" w:customStyle="1" w:styleId="306">
    <w:name w:val="四级"/>
    <w:basedOn w:val="6"/>
    <w:link w:val="305"/>
    <w:qFormat/>
    <w:uiPriority w:val="0"/>
    <w:pPr>
      <w:tabs>
        <w:tab w:val="left" w:pos="425"/>
        <w:tab w:val="left" w:pos="851"/>
      </w:tabs>
      <w:spacing w:before="120" w:after="120" w:line="360" w:lineRule="auto"/>
      <w:ind w:left="425" w:hanging="425"/>
    </w:pPr>
    <w:rPr>
      <w:rFonts w:ascii="仿宋" w:hAnsi="仿宋" w:eastAsia="仿宋"/>
      <w:b w:val="0"/>
      <w:sz w:val="32"/>
      <w:szCs w:val="32"/>
    </w:rPr>
  </w:style>
  <w:style w:type="character" w:customStyle="1" w:styleId="307">
    <w:name w:val="cnfont1"/>
    <w:basedOn w:val="52"/>
    <w:qFormat/>
    <w:uiPriority w:val="0"/>
  </w:style>
  <w:style w:type="character" w:customStyle="1" w:styleId="308">
    <w:name w:val="p141"/>
    <w:qFormat/>
    <w:uiPriority w:val="0"/>
    <w:rPr>
      <w:sz w:val="21"/>
      <w:szCs w:val="21"/>
    </w:rPr>
  </w:style>
  <w:style w:type="character" w:customStyle="1" w:styleId="309">
    <w:name w:val="正文文本缩进 3 Char"/>
    <w:qFormat/>
    <w:uiPriority w:val="0"/>
    <w:rPr>
      <w:kern w:val="2"/>
      <w:sz w:val="21"/>
    </w:rPr>
  </w:style>
  <w:style w:type="character" w:customStyle="1" w:styleId="310">
    <w:name w:val="Char Char13"/>
    <w:qFormat/>
    <w:uiPriority w:val="0"/>
    <w:rPr>
      <w:rFonts w:ascii="Cambria" w:hAnsi="Cambria" w:eastAsia="宋体"/>
      <w:sz w:val="24"/>
      <w:szCs w:val="24"/>
      <w:lang w:bidi="ar-SA"/>
    </w:rPr>
  </w:style>
  <w:style w:type="character" w:customStyle="1" w:styleId="311">
    <w:name w:val="Char Char5"/>
    <w:qFormat/>
    <w:uiPriority w:val="0"/>
    <w:rPr>
      <w:rFonts w:ascii="宋体" w:hAnsi="宋体" w:eastAsia="宋体"/>
      <w:b/>
      <w:bCs/>
      <w:szCs w:val="24"/>
      <w:lang w:bidi="ar-SA"/>
    </w:rPr>
  </w:style>
  <w:style w:type="character" w:customStyle="1" w:styleId="312">
    <w:name w:val="正文文本 2 Char"/>
    <w:qFormat/>
    <w:uiPriority w:val="0"/>
    <w:rPr>
      <w:kern w:val="2"/>
      <w:sz w:val="28"/>
    </w:rPr>
  </w:style>
  <w:style w:type="character" w:customStyle="1" w:styleId="313">
    <w:name w:val="Char Char6"/>
    <w:qFormat/>
    <w:uiPriority w:val="0"/>
    <w:rPr>
      <w:rFonts w:ascii="宋体" w:hAnsi="宋体" w:eastAsia="宋体"/>
      <w:szCs w:val="24"/>
      <w:lang w:bidi="ar-SA"/>
    </w:rPr>
  </w:style>
  <w:style w:type="character" w:customStyle="1" w:styleId="314">
    <w:name w:val="Char Char15"/>
    <w:qFormat/>
    <w:uiPriority w:val="0"/>
    <w:rPr>
      <w:rFonts w:hint="default" w:ascii="Cambria" w:hAnsi="Cambria" w:eastAsia="宋体"/>
      <w:b/>
      <w:bCs/>
      <w:sz w:val="24"/>
      <w:szCs w:val="24"/>
      <w:lang w:bidi="ar-SA"/>
    </w:rPr>
  </w:style>
  <w:style w:type="character" w:customStyle="1" w:styleId="315">
    <w:name w:val="H4 Char"/>
    <w:qFormat/>
    <w:uiPriority w:val="0"/>
    <w:rPr>
      <w:rFonts w:ascii="Cambria" w:hAnsi="Cambria" w:eastAsia="仿宋_GB2312"/>
      <w:b/>
      <w:bCs/>
      <w:sz w:val="32"/>
      <w:szCs w:val="28"/>
    </w:rPr>
  </w:style>
  <w:style w:type="character" w:customStyle="1" w:styleId="316">
    <w:name w:val="Char Char20"/>
    <w:qFormat/>
    <w:uiPriority w:val="0"/>
    <w:rPr>
      <w:rFonts w:eastAsia="宋体"/>
      <w:b/>
      <w:kern w:val="2"/>
      <w:sz w:val="28"/>
      <w:lang w:bidi="ar-SA"/>
    </w:rPr>
  </w:style>
  <w:style w:type="character" w:customStyle="1" w:styleId="317">
    <w:name w:val="Char Char16"/>
    <w:qFormat/>
    <w:uiPriority w:val="0"/>
    <w:rPr>
      <w:rFonts w:hint="eastAsia" w:ascii="仿宋_GB2313" w:hAnsi="仿宋_GB2313" w:eastAsia="仿宋_GB2312"/>
      <w:b/>
      <w:bCs/>
      <w:sz w:val="32"/>
      <w:szCs w:val="28"/>
      <w:lang w:bidi="ar-SA"/>
    </w:rPr>
  </w:style>
  <w:style w:type="character" w:customStyle="1" w:styleId="318">
    <w:name w:val="Char Char7"/>
    <w:qFormat/>
    <w:uiPriority w:val="0"/>
    <w:rPr>
      <w:rFonts w:ascii="宋体" w:hAnsi="宋体" w:eastAsia="宋体"/>
      <w:sz w:val="24"/>
      <w:szCs w:val="24"/>
      <w:lang w:bidi="ar-SA"/>
    </w:rPr>
  </w:style>
  <w:style w:type="character" w:customStyle="1" w:styleId="319">
    <w:name w:val="Char Char12"/>
    <w:qFormat/>
    <w:uiPriority w:val="0"/>
    <w:rPr>
      <w:rFonts w:hint="default" w:ascii="Cambria" w:hAnsi="Cambria" w:eastAsia="宋体"/>
      <w:szCs w:val="21"/>
      <w:lang w:bidi="ar-SA"/>
    </w:rPr>
  </w:style>
  <w:style w:type="character" w:customStyle="1" w:styleId="320">
    <w:name w:val="标题 4 Char"/>
    <w:qFormat/>
    <w:uiPriority w:val="0"/>
    <w:rPr>
      <w:rFonts w:ascii="Arial" w:hAnsi="Arial" w:eastAsia="黑体"/>
      <w:b/>
      <w:kern w:val="2"/>
      <w:sz w:val="24"/>
    </w:rPr>
  </w:style>
  <w:style w:type="character" w:customStyle="1" w:styleId="321">
    <w:name w:val="Char Char2"/>
    <w:qFormat/>
    <w:uiPriority w:val="0"/>
    <w:rPr>
      <w:rFonts w:ascii="宋体" w:hAnsi="宋体" w:eastAsia="宋体"/>
      <w:kern w:val="2"/>
      <w:sz w:val="24"/>
      <w:szCs w:val="24"/>
      <w:lang w:val="en-US" w:eastAsia="zh-CN" w:bidi="ar-SA"/>
    </w:rPr>
  </w:style>
  <w:style w:type="character" w:customStyle="1" w:styleId="322">
    <w:name w:val="*正文 Char"/>
    <w:link w:val="323"/>
    <w:qFormat/>
    <w:uiPriority w:val="0"/>
    <w:rPr>
      <w:rFonts w:ascii="宋体" w:hAnsi="宋体"/>
      <w:sz w:val="24"/>
      <w:szCs w:val="24"/>
    </w:rPr>
  </w:style>
  <w:style w:type="paragraph" w:customStyle="1" w:styleId="323">
    <w:name w:val="*正文"/>
    <w:basedOn w:val="1"/>
    <w:link w:val="322"/>
    <w:qFormat/>
    <w:uiPriority w:val="0"/>
    <w:pPr>
      <w:spacing w:line="360" w:lineRule="auto"/>
      <w:ind w:firstLine="200" w:firstLineChars="200"/>
    </w:pPr>
    <w:rPr>
      <w:rFonts w:ascii="宋体" w:hAnsi="宋体"/>
      <w:kern w:val="0"/>
      <w:sz w:val="24"/>
    </w:rPr>
  </w:style>
  <w:style w:type="character" w:customStyle="1" w:styleId="324">
    <w:name w:val="页脚 字符1"/>
    <w:qFormat/>
    <w:uiPriority w:val="0"/>
    <w:rPr>
      <w:rFonts w:eastAsia="宋体"/>
      <w:kern w:val="2"/>
      <w:sz w:val="18"/>
      <w:lang w:bidi="ar-SA"/>
    </w:rPr>
  </w:style>
  <w:style w:type="character" w:customStyle="1" w:styleId="325">
    <w:name w:val="GP正文[858D7CFB-ED40-4347-BF05-701D383B685F]"/>
    <w:link w:val="326"/>
    <w:qFormat/>
    <w:uiPriority w:val="0"/>
    <w:rPr>
      <w:rFonts w:ascii="宋体" w:hAnsi="宋体"/>
      <w:kern w:val="2"/>
      <w:sz w:val="24"/>
      <w:szCs w:val="24"/>
    </w:rPr>
  </w:style>
  <w:style w:type="paragraph" w:customStyle="1" w:styleId="326">
    <w:name w:val="GP正文"/>
    <w:basedOn w:val="1"/>
    <w:link w:val="325"/>
    <w:qFormat/>
    <w:uiPriority w:val="0"/>
    <w:pPr>
      <w:spacing w:line="360" w:lineRule="auto"/>
      <w:ind w:firstLine="200" w:firstLineChars="200"/>
      <w:jc w:val="left"/>
    </w:pPr>
    <w:rPr>
      <w:rFonts w:ascii="宋体" w:hAnsi="宋体"/>
      <w:sz w:val="24"/>
    </w:rPr>
  </w:style>
  <w:style w:type="character" w:customStyle="1" w:styleId="327">
    <w:name w:val="Char Char14"/>
    <w:qFormat/>
    <w:uiPriority w:val="0"/>
    <w:rPr>
      <w:rFonts w:ascii="Calibri" w:hAnsi="Calibri" w:eastAsia="宋体"/>
      <w:b/>
      <w:bCs/>
      <w:sz w:val="24"/>
      <w:szCs w:val="24"/>
      <w:lang w:bidi="ar-SA"/>
    </w:rPr>
  </w:style>
  <w:style w:type="character" w:customStyle="1" w:styleId="328">
    <w:name w:val="Char Char19"/>
    <w:qFormat/>
    <w:uiPriority w:val="0"/>
    <w:rPr>
      <w:rFonts w:ascii="Arial" w:hAnsi="Arial" w:eastAsia="黑体"/>
      <w:b/>
      <w:kern w:val="2"/>
      <w:sz w:val="24"/>
      <w:lang w:bidi="ar-SA"/>
    </w:rPr>
  </w:style>
  <w:style w:type="character" w:customStyle="1" w:styleId="329">
    <w:name w:val="正文文本 Char1"/>
    <w:qFormat/>
    <w:uiPriority w:val="0"/>
    <w:rPr>
      <w:kern w:val="2"/>
      <w:sz w:val="21"/>
      <w:szCs w:val="24"/>
    </w:rPr>
  </w:style>
  <w:style w:type="character" w:customStyle="1" w:styleId="330">
    <w:name w:val="二级 Char"/>
    <w:link w:val="331"/>
    <w:qFormat/>
    <w:uiPriority w:val="0"/>
    <w:rPr>
      <w:rFonts w:ascii="仿宋" w:hAnsi="仿宋" w:eastAsia="仿宋"/>
      <w:b/>
      <w:bCs/>
      <w:spacing w:val="24"/>
      <w:kern w:val="2"/>
      <w:sz w:val="32"/>
      <w:szCs w:val="32"/>
    </w:rPr>
  </w:style>
  <w:style w:type="paragraph" w:customStyle="1" w:styleId="331">
    <w:name w:val="二级"/>
    <w:basedOn w:val="2"/>
    <w:link w:val="330"/>
    <w:qFormat/>
    <w:uiPriority w:val="0"/>
    <w:pPr>
      <w:tabs>
        <w:tab w:val="left" w:pos="425"/>
        <w:tab w:val="left" w:pos="1419"/>
      </w:tabs>
      <w:spacing w:before="240" w:after="240" w:line="360" w:lineRule="auto"/>
      <w:ind w:left="425" w:hanging="425"/>
    </w:pPr>
    <w:rPr>
      <w:rFonts w:ascii="仿宋" w:hAnsi="仿宋" w:eastAsia="仿宋"/>
      <w:spacing w:val="24"/>
      <w:sz w:val="32"/>
    </w:rPr>
  </w:style>
  <w:style w:type="character" w:customStyle="1" w:styleId="332">
    <w:name w:val="签名 Char"/>
    <w:qFormat/>
    <w:uiPriority w:val="0"/>
    <w:rPr>
      <w:rFonts w:eastAsia="楷体_GB2312"/>
      <w:kern w:val="2"/>
      <w:sz w:val="21"/>
    </w:rPr>
  </w:style>
  <w:style w:type="character" w:customStyle="1" w:styleId="333">
    <w:name w:val="Char Char"/>
    <w:qFormat/>
    <w:uiPriority w:val="0"/>
    <w:rPr>
      <w:rFonts w:hint="eastAsia" w:ascii="宋体" w:hAnsi="Courier New" w:eastAsia="宋体"/>
      <w:spacing w:val="-8"/>
      <w:kern w:val="2"/>
      <w:sz w:val="24"/>
      <w:lang w:val="en-US" w:eastAsia="zh-CN" w:bidi="ar-SA"/>
    </w:rPr>
  </w:style>
  <w:style w:type="character" w:customStyle="1" w:styleId="334">
    <w:name w:val="Char Char11"/>
    <w:qFormat/>
    <w:uiPriority w:val="0"/>
    <w:rPr>
      <w:rFonts w:hint="default" w:ascii="Calibri" w:hAnsi="Calibri" w:eastAsia="宋体"/>
      <w:sz w:val="18"/>
      <w:szCs w:val="18"/>
      <w:lang w:bidi="ar-SA"/>
    </w:rPr>
  </w:style>
  <w:style w:type="character" w:customStyle="1" w:styleId="335">
    <w:name w:val="页眉 字符1"/>
    <w:qFormat/>
    <w:uiPriority w:val="0"/>
    <w:rPr>
      <w:rFonts w:eastAsia="宋体"/>
      <w:kern w:val="2"/>
      <w:sz w:val="18"/>
      <w:szCs w:val="18"/>
      <w:lang w:bidi="ar-SA"/>
    </w:rPr>
  </w:style>
  <w:style w:type="character" w:customStyle="1" w:styleId="336">
    <w:name w:val="正文首行缩进 Char1"/>
    <w:qFormat/>
    <w:uiPriority w:val="0"/>
    <w:rPr>
      <w:kern w:val="2"/>
      <w:sz w:val="21"/>
    </w:rPr>
  </w:style>
  <w:style w:type="character" w:customStyle="1" w:styleId="337">
    <w:name w:val="页眉 Char1"/>
    <w:qFormat/>
    <w:uiPriority w:val="0"/>
    <w:rPr>
      <w:rFonts w:eastAsia="宋体"/>
      <w:kern w:val="2"/>
      <w:sz w:val="18"/>
      <w:szCs w:val="18"/>
      <w:lang w:val="en-US" w:eastAsia="zh-CN" w:bidi="ar-SA"/>
    </w:rPr>
  </w:style>
  <w:style w:type="character" w:customStyle="1" w:styleId="338">
    <w:name w:val="题注 Char"/>
    <w:qFormat/>
    <w:uiPriority w:val="0"/>
    <w:rPr>
      <w:rFonts w:ascii="Cambria" w:hAnsi="Cambria" w:eastAsia="黑体"/>
      <w:kern w:val="2"/>
      <w:lang w:bidi="ar-SA"/>
    </w:rPr>
  </w:style>
  <w:style w:type="character" w:customStyle="1" w:styleId="339">
    <w:name w:val="样式 标题 3 + 小四 Char"/>
    <w:qFormat/>
    <w:uiPriority w:val="0"/>
    <w:rPr>
      <w:rFonts w:ascii="宋体" w:hAnsi="宋体" w:cs="Arial"/>
      <w:b/>
      <w:bCs/>
      <w:smallCaps/>
      <w:sz w:val="24"/>
      <w:lang w:val="en-US" w:eastAsia="zh-CN"/>
    </w:rPr>
  </w:style>
  <w:style w:type="character" w:customStyle="1" w:styleId="340">
    <w:name w:val="unnamed21"/>
    <w:qFormat/>
    <w:uiPriority w:val="0"/>
    <w:rPr>
      <w:color w:val="CC6633"/>
      <w:u w:val="none"/>
    </w:rPr>
  </w:style>
  <w:style w:type="character" w:customStyle="1" w:styleId="341">
    <w:name w:val="16"/>
    <w:qFormat/>
    <w:uiPriority w:val="0"/>
    <w:rPr>
      <w:rFonts w:hint="eastAsia" w:ascii="宋体" w:hAnsi="宋体" w:eastAsia="宋体" w:cs="Arial"/>
      <w:b/>
      <w:bCs/>
      <w:smallCaps/>
      <w:kern w:val="2"/>
      <w:sz w:val="24"/>
      <w:szCs w:val="24"/>
    </w:rPr>
  </w:style>
  <w:style w:type="character" w:customStyle="1" w:styleId="342">
    <w:name w:val="正文文本缩进 字符"/>
    <w:qFormat/>
    <w:uiPriority w:val="0"/>
    <w:rPr>
      <w:rFonts w:eastAsia="宋体"/>
      <w:kern w:val="2"/>
      <w:sz w:val="24"/>
      <w:lang w:bidi="ar-SA"/>
    </w:rPr>
  </w:style>
  <w:style w:type="character" w:customStyle="1" w:styleId="343">
    <w:name w:val="Char Char8"/>
    <w:qFormat/>
    <w:uiPriority w:val="0"/>
    <w:rPr>
      <w:rFonts w:hint="default" w:ascii="Calibri" w:hAnsi="Calibri" w:eastAsia="宋体"/>
      <w:kern w:val="2"/>
      <w:sz w:val="21"/>
      <w:szCs w:val="22"/>
      <w:lang w:val="en-US" w:eastAsia="zh-CN" w:bidi="ar-SA"/>
    </w:rPr>
  </w:style>
  <w:style w:type="character" w:customStyle="1" w:styleId="344">
    <w:name w:val="H3 Char1"/>
    <w:qFormat/>
    <w:uiPriority w:val="0"/>
    <w:rPr>
      <w:rFonts w:ascii="仿宋_GB2312" w:eastAsia="仿宋_GB2312"/>
      <w:b/>
      <w:bCs/>
      <w:color w:val="000000"/>
      <w:kern w:val="2"/>
      <w:sz w:val="32"/>
      <w:szCs w:val="32"/>
    </w:rPr>
  </w:style>
  <w:style w:type="character" w:customStyle="1" w:styleId="345">
    <w:name w:val="Char Char1"/>
    <w:qFormat/>
    <w:uiPriority w:val="0"/>
    <w:rPr>
      <w:rFonts w:hint="eastAsia" w:ascii="宋体" w:hAnsi="宋体" w:eastAsia="宋体"/>
      <w:kern w:val="2"/>
      <w:sz w:val="21"/>
      <w:szCs w:val="24"/>
      <w:lang w:val="en-US" w:eastAsia="zh-CN" w:bidi="ar-SA"/>
    </w:rPr>
  </w:style>
  <w:style w:type="character" w:customStyle="1" w:styleId="346">
    <w:name w:val="Char Char10"/>
    <w:qFormat/>
    <w:uiPriority w:val="0"/>
    <w:rPr>
      <w:rFonts w:eastAsia="宋体"/>
      <w:kern w:val="2"/>
      <w:sz w:val="18"/>
      <w:szCs w:val="18"/>
      <w:lang w:val="en-US" w:eastAsia="zh-CN" w:bidi="ar-SA"/>
    </w:rPr>
  </w:style>
  <w:style w:type="character" w:customStyle="1" w:styleId="347">
    <w:name w:val="文档正文 Char"/>
    <w:link w:val="348"/>
    <w:qFormat/>
    <w:uiPriority w:val="0"/>
    <w:rPr>
      <w:rFonts w:ascii="Arial" w:hAnsi="Arial" w:cs="Arial"/>
      <w:bCs/>
      <w:kern w:val="2"/>
      <w:sz w:val="24"/>
      <w:szCs w:val="24"/>
    </w:rPr>
  </w:style>
  <w:style w:type="paragraph" w:customStyle="1" w:styleId="348">
    <w:name w:val="文档正文"/>
    <w:basedOn w:val="1"/>
    <w:link w:val="347"/>
    <w:qFormat/>
    <w:uiPriority w:val="0"/>
    <w:rPr>
      <w:rFonts w:ascii="Arial" w:hAnsi="Arial"/>
      <w:bCs/>
      <w:sz w:val="24"/>
    </w:rPr>
  </w:style>
  <w:style w:type="character" w:customStyle="1" w:styleId="349">
    <w:name w:val="正文文本 2 Char2"/>
    <w:basedOn w:val="52"/>
    <w:semiHidden/>
    <w:qFormat/>
    <w:uiPriority w:val="0"/>
    <w:rPr>
      <w:kern w:val="2"/>
      <w:sz w:val="21"/>
      <w:szCs w:val="24"/>
    </w:rPr>
  </w:style>
  <w:style w:type="character" w:customStyle="1" w:styleId="350">
    <w:name w:val="标题 字符1"/>
    <w:basedOn w:val="52"/>
    <w:qFormat/>
    <w:uiPriority w:val="10"/>
    <w:rPr>
      <w:rFonts w:ascii="Cambria" w:hAnsi="Cambria" w:eastAsia="宋体" w:cs="Times New Roman"/>
      <w:b/>
      <w:bCs/>
      <w:kern w:val="2"/>
      <w:sz w:val="32"/>
      <w:szCs w:val="32"/>
    </w:rPr>
  </w:style>
  <w:style w:type="character" w:customStyle="1" w:styleId="351">
    <w:name w:val="正文首行缩进 2 Char1"/>
    <w:basedOn w:val="75"/>
    <w:qFormat/>
    <w:uiPriority w:val="0"/>
    <w:rPr>
      <w:kern w:val="2"/>
      <w:sz w:val="21"/>
      <w:szCs w:val="24"/>
    </w:rPr>
  </w:style>
  <w:style w:type="character" w:customStyle="1" w:styleId="352">
    <w:name w:val="签名 Char2"/>
    <w:basedOn w:val="52"/>
    <w:semiHidden/>
    <w:qFormat/>
    <w:uiPriority w:val="0"/>
    <w:rPr>
      <w:kern w:val="2"/>
      <w:sz w:val="21"/>
      <w:szCs w:val="24"/>
    </w:rPr>
  </w:style>
  <w:style w:type="character" w:customStyle="1" w:styleId="353">
    <w:name w:val="正文文本缩进 3 Char2"/>
    <w:basedOn w:val="52"/>
    <w:semiHidden/>
    <w:qFormat/>
    <w:uiPriority w:val="0"/>
    <w:rPr>
      <w:kern w:val="2"/>
      <w:sz w:val="16"/>
      <w:szCs w:val="16"/>
    </w:rPr>
  </w:style>
  <w:style w:type="character" w:customStyle="1" w:styleId="354">
    <w:name w:val="日期 Char2"/>
    <w:basedOn w:val="52"/>
    <w:semiHidden/>
    <w:qFormat/>
    <w:uiPriority w:val="0"/>
    <w:rPr>
      <w:kern w:val="2"/>
      <w:sz w:val="21"/>
      <w:szCs w:val="24"/>
    </w:rPr>
  </w:style>
  <w:style w:type="paragraph" w:customStyle="1" w:styleId="355">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5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5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358">
    <w:name w:val="cnfont"/>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359">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360">
    <w:name w:val="Table Heading"/>
    <w:basedOn w:val="1"/>
    <w:qFormat/>
    <w:uiPriority w:val="0"/>
    <w:pPr>
      <w:widowControl/>
      <w:jc w:val="center"/>
    </w:pPr>
    <w:rPr>
      <w:rFonts w:ascii="Arial" w:hAnsi="Arial"/>
      <w:b/>
      <w:kern w:val="0"/>
      <w:sz w:val="18"/>
      <w:szCs w:val="20"/>
    </w:rPr>
  </w:style>
  <w:style w:type="paragraph" w:customStyle="1" w:styleId="361">
    <w:name w:val="4"/>
    <w:basedOn w:val="1"/>
    <w:next w:val="1"/>
    <w:qFormat/>
    <w:uiPriority w:val="0"/>
  </w:style>
  <w:style w:type="paragraph" w:customStyle="1" w:styleId="36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3">
    <w:name w:val="--规划正文"/>
    <w:basedOn w:val="1"/>
    <w:qFormat/>
    <w:uiPriority w:val="0"/>
    <w:pPr>
      <w:spacing w:line="360" w:lineRule="auto"/>
      <w:ind w:firstLine="200" w:firstLineChars="200"/>
    </w:pPr>
    <w:rPr>
      <w:szCs w:val="20"/>
    </w:rPr>
  </w:style>
  <w:style w:type="paragraph" w:customStyle="1" w:styleId="364">
    <w:name w:val="样式 标题 5H5dashdsddh5PIM 5口一heading 5Titre5Table label...3"/>
    <w:basedOn w:val="7"/>
    <w:qFormat/>
    <w:uiPriority w:val="0"/>
    <w:pPr>
      <w:numPr>
        <w:ilvl w:val="0"/>
        <w:numId w:val="0"/>
      </w:numPr>
      <w:tabs>
        <w:tab w:val="left" w:pos="630"/>
        <w:tab w:val="left" w:pos="798"/>
      </w:tabs>
      <w:spacing w:before="120" w:after="120" w:line="480" w:lineRule="auto"/>
      <w:ind w:left="2526" w:hanging="420"/>
    </w:pPr>
    <w:rPr>
      <w:rFonts w:eastAsia="仿宋_GB2312"/>
      <w:bCs/>
      <w:kern w:val="0"/>
      <w:sz w:val="24"/>
      <w:szCs w:val="28"/>
    </w:rPr>
  </w:style>
  <w:style w:type="paragraph" w:customStyle="1" w:styleId="365">
    <w:name w:val="修订1"/>
    <w:qFormat/>
    <w:uiPriority w:val="99"/>
    <w:rPr>
      <w:rFonts w:ascii="Times New Roman" w:hAnsi="Times New Roman" w:eastAsia="宋体" w:cs="Times New Roman"/>
      <w:kern w:val="2"/>
      <w:sz w:val="21"/>
      <w:szCs w:val="22"/>
      <w:lang w:val="en-US" w:eastAsia="zh-CN" w:bidi="ar-SA"/>
    </w:rPr>
  </w:style>
  <w:style w:type="paragraph" w:customStyle="1" w:styleId="366">
    <w:name w:val="样式2"/>
    <w:basedOn w:val="26"/>
    <w:qFormat/>
    <w:uiPriority w:val="0"/>
    <w:pPr>
      <w:tabs>
        <w:tab w:val="right" w:leader="dot" w:pos="9458"/>
      </w:tabs>
    </w:pPr>
    <w:rPr>
      <w:rFonts w:ascii="Arial" w:cs="Arial"/>
      <w:i/>
    </w:rPr>
  </w:style>
  <w:style w:type="paragraph" w:customStyle="1" w:styleId="367">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8">
    <w:name w:val="l2"/>
    <w:basedOn w:val="1"/>
    <w:qFormat/>
    <w:uiPriority w:val="0"/>
    <w:pPr>
      <w:keepLines/>
      <w:widowControl/>
      <w:spacing w:beforeLines="50" w:afterLines="50" w:line="300" w:lineRule="auto"/>
    </w:pPr>
    <w:rPr>
      <w:rFonts w:ascii="Arial" w:hAnsi="Arial"/>
      <w:bCs/>
    </w:rPr>
  </w:style>
  <w:style w:type="paragraph" w:customStyle="1" w:styleId="369">
    <w:name w:val="样式5"/>
    <w:basedOn w:val="370"/>
    <w:next w:val="370"/>
    <w:qFormat/>
    <w:uiPriority w:val="0"/>
    <w:pPr>
      <w:tabs>
        <w:tab w:val="right" w:leader="dot" w:pos="9458"/>
      </w:tabs>
    </w:pPr>
  </w:style>
  <w:style w:type="paragraph" w:customStyle="1" w:styleId="370">
    <w:name w:val="样式4"/>
    <w:basedOn w:val="35"/>
    <w:qFormat/>
    <w:uiPriority w:val="0"/>
    <w:pPr>
      <w:tabs>
        <w:tab w:val="right" w:leader="dot" w:pos="9458"/>
      </w:tabs>
    </w:pPr>
    <w:rPr>
      <w:b w:val="0"/>
    </w:rPr>
  </w:style>
  <w:style w:type="paragraph" w:customStyle="1" w:styleId="371">
    <w:name w:val="TOC 标题1"/>
    <w:basedOn w:val="3"/>
    <w:next w:val="1"/>
    <w:qFormat/>
    <w:uiPriority w:val="39"/>
    <w:pPr>
      <w:widowControl/>
      <w:spacing w:before="480" w:after="0" w:line="276" w:lineRule="auto"/>
      <w:jc w:val="left"/>
      <w:outlineLvl w:val="9"/>
    </w:pPr>
    <w:rPr>
      <w:rFonts w:ascii="Cambria" w:hAnsi="Cambria"/>
      <w:bCs/>
      <w:color w:val="365F91"/>
      <w:kern w:val="0"/>
    </w:rPr>
  </w:style>
  <w:style w:type="paragraph" w:customStyle="1" w:styleId="37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73">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37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5">
    <w:name w:val="Table Body"/>
    <w:basedOn w:val="1"/>
    <w:qFormat/>
    <w:uiPriority w:val="0"/>
    <w:pPr>
      <w:widowControl/>
      <w:jc w:val="center"/>
    </w:pPr>
    <w:rPr>
      <w:rFonts w:ascii="Arial" w:hAnsi="Arial"/>
      <w:snapToGrid w:val="0"/>
      <w:kern w:val="0"/>
      <w:sz w:val="18"/>
      <w:szCs w:val="20"/>
    </w:rPr>
  </w:style>
  <w:style w:type="paragraph" w:customStyle="1" w:styleId="376">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77">
    <w:name w:val="正文_1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8">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79">
    <w:name w:val="签名 - 公司"/>
    <w:basedOn w:val="34"/>
    <w:next w:val="380"/>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380">
    <w:name w:val="关于"/>
    <w:basedOn w:val="1"/>
    <w:next w:val="1"/>
    <w:qFormat/>
    <w:uiPriority w:val="0"/>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381">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82">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3">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kern w:val="0"/>
      <w:sz w:val="22"/>
      <w:szCs w:val="22"/>
    </w:rPr>
  </w:style>
  <w:style w:type="paragraph" w:customStyle="1" w:styleId="384">
    <w:name w:val="xl33"/>
    <w:basedOn w:val="1"/>
    <w:qFormat/>
    <w:uiPriority w:val="0"/>
    <w:pPr>
      <w:widowControl/>
      <w:spacing w:before="100" w:beforeAutospacing="1" w:after="100" w:afterAutospacing="1"/>
      <w:jc w:val="left"/>
      <w:textAlignment w:val="center"/>
    </w:pPr>
    <w:rPr>
      <w:rFonts w:ascii="宋体" w:hAnsi="宋体"/>
      <w:b/>
      <w:bCs/>
      <w:kern w:val="0"/>
      <w:sz w:val="28"/>
      <w:szCs w:val="28"/>
    </w:rPr>
  </w:style>
  <w:style w:type="paragraph" w:customStyle="1" w:styleId="385">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386">
    <w:name w:val="正文缩进1"/>
    <w:basedOn w:val="1"/>
    <w:qFormat/>
    <w:uiPriority w:val="0"/>
    <w:pPr>
      <w:ind w:firstLine="567"/>
    </w:pPr>
    <w:rPr>
      <w:spacing w:val="20"/>
      <w:sz w:val="24"/>
      <w:szCs w:val="20"/>
    </w:rPr>
  </w:style>
  <w:style w:type="paragraph" w:customStyle="1" w:styleId="387">
    <w:name w:val="_正文"/>
    <w:basedOn w:val="1"/>
    <w:qFormat/>
    <w:uiPriority w:val="99"/>
    <w:pPr>
      <w:spacing w:line="360" w:lineRule="auto"/>
      <w:ind w:firstLine="200" w:firstLineChars="200"/>
    </w:pPr>
    <w:rPr>
      <w:rFonts w:ascii="宋体" w:hAnsi="宋体"/>
      <w:sz w:val="24"/>
    </w:rPr>
  </w:style>
  <w:style w:type="paragraph" w:customStyle="1" w:styleId="388">
    <w:name w:val="xl46"/>
    <w:basedOn w:val="1"/>
    <w:qFormat/>
    <w:uiPriority w:val="0"/>
    <w:pPr>
      <w:widowControl/>
      <w:spacing w:before="100" w:beforeAutospacing="1" w:after="100" w:afterAutospacing="1"/>
      <w:jc w:val="left"/>
      <w:textAlignment w:val="center"/>
    </w:pPr>
    <w:rPr>
      <w:rFonts w:ascii="宋体" w:hAnsi="宋体"/>
      <w:kern w:val="0"/>
      <w:sz w:val="22"/>
      <w:szCs w:val="22"/>
    </w:rPr>
  </w:style>
  <w:style w:type="paragraph" w:customStyle="1" w:styleId="389">
    <w:name w:val="列出段落6"/>
    <w:basedOn w:val="1"/>
    <w:qFormat/>
    <w:uiPriority w:val="0"/>
    <w:pPr>
      <w:ind w:firstLine="420" w:firstLineChars="200"/>
    </w:pPr>
    <w:rPr>
      <w:rFonts w:ascii="仿宋_GB2312" w:eastAsia="仿宋_GB2312" w:cs="宋体"/>
      <w:spacing w:val="6"/>
      <w:sz w:val="30"/>
      <w:szCs w:val="30"/>
    </w:rPr>
  </w:style>
  <w:style w:type="paragraph" w:customStyle="1" w:styleId="390">
    <w:name w:val="_Style 15"/>
    <w:basedOn w:val="1"/>
    <w:qFormat/>
    <w:uiPriority w:val="0"/>
  </w:style>
  <w:style w:type="paragraph" w:customStyle="1" w:styleId="39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92">
    <w:name w:val="xl4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9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94">
    <w:name w:val="样式 标题 4 + 加粗"/>
    <w:basedOn w:val="6"/>
    <w:next w:val="1"/>
    <w:qFormat/>
    <w:uiPriority w:val="0"/>
    <w:pPr>
      <w:widowControl/>
      <w:tabs>
        <w:tab w:val="left" w:pos="360"/>
      </w:tabs>
      <w:spacing w:before="0" w:after="0" w:line="240" w:lineRule="auto"/>
      <w:jc w:val="left"/>
    </w:pPr>
    <w:rPr>
      <w:rFonts w:ascii="微软雅黑" w:hAnsi="微软雅黑" w:eastAsia="微软雅黑"/>
      <w:kern w:val="24"/>
      <w:sz w:val="24"/>
      <w:szCs w:val="24"/>
    </w:rPr>
  </w:style>
  <w:style w:type="paragraph" w:customStyle="1" w:styleId="395">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s="Arial"/>
      <w:kern w:val="0"/>
      <w:szCs w:val="21"/>
    </w:rPr>
  </w:style>
  <w:style w:type="paragraph" w:customStyle="1" w:styleId="396">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9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8">
    <w:name w:val="样式"/>
    <w:basedOn w:val="1"/>
    <w:next w:val="23"/>
    <w:qFormat/>
    <w:uiPriority w:val="0"/>
    <w:pPr>
      <w:ind w:left="572" w:right="32" w:firstLine="478"/>
    </w:pPr>
    <w:rPr>
      <w:szCs w:val="21"/>
    </w:rPr>
  </w:style>
  <w:style w:type="paragraph" w:customStyle="1" w:styleId="399">
    <w:name w:val="Bullet w/Single Space"/>
    <w:basedOn w:val="1"/>
    <w:qFormat/>
    <w:uiPriority w:val="0"/>
    <w:pPr>
      <w:widowControl/>
      <w:numPr>
        <w:ilvl w:val="0"/>
        <w:numId w:val="3"/>
      </w:numPr>
      <w:ind w:left="720"/>
      <w:jc w:val="left"/>
    </w:pPr>
    <w:rPr>
      <w:kern w:val="0"/>
      <w:sz w:val="24"/>
      <w:szCs w:val="20"/>
      <w:lang w:eastAsia="en-US"/>
    </w:rPr>
  </w:style>
  <w:style w:type="paragraph" w:customStyle="1" w:styleId="400">
    <w:name w:val="正文样式"/>
    <w:basedOn w:val="1"/>
    <w:qFormat/>
    <w:uiPriority w:val="0"/>
    <w:pPr>
      <w:tabs>
        <w:tab w:val="left" w:pos="1560"/>
      </w:tabs>
      <w:spacing w:before="163" w:after="163" w:line="300" w:lineRule="auto"/>
      <w:ind w:left="1560" w:hanging="360"/>
    </w:pPr>
    <w:rPr>
      <w:rFonts w:ascii="宋体"/>
      <w:sz w:val="24"/>
    </w:rPr>
  </w:style>
  <w:style w:type="paragraph" w:customStyle="1" w:styleId="401">
    <w:name w:val="图表"/>
    <w:basedOn w:val="1"/>
    <w:qFormat/>
    <w:uiPriority w:val="0"/>
    <w:pPr>
      <w:spacing w:line="360" w:lineRule="auto"/>
      <w:ind w:hanging="420"/>
      <w:jc w:val="center"/>
    </w:pPr>
    <w:rPr>
      <w:sz w:val="24"/>
      <w:szCs w:val="20"/>
    </w:rPr>
  </w:style>
  <w:style w:type="paragraph" w:customStyle="1" w:styleId="402">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03">
    <w:name w:val="正文_0"/>
    <w:basedOn w:val="1"/>
    <w:qFormat/>
    <w:uiPriority w:val="0"/>
  </w:style>
  <w:style w:type="paragraph" w:customStyle="1" w:styleId="404">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405">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406">
    <w:name w:val="简单回函地址"/>
    <w:basedOn w:val="1"/>
    <w:qFormat/>
    <w:uiPriority w:val="0"/>
  </w:style>
  <w:style w:type="paragraph" w:customStyle="1" w:styleId="40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408">
    <w:name w:val="样式3"/>
    <w:basedOn w:val="26"/>
    <w:qFormat/>
    <w:uiPriority w:val="0"/>
    <w:pPr>
      <w:tabs>
        <w:tab w:val="right" w:leader="dot" w:pos="9458"/>
      </w:tabs>
    </w:pPr>
    <w:rPr>
      <w:i/>
    </w:rPr>
  </w:style>
  <w:style w:type="paragraph" w:customStyle="1" w:styleId="409">
    <w:name w:val="msolistparagraph"/>
    <w:basedOn w:val="1"/>
    <w:qFormat/>
    <w:uiPriority w:val="0"/>
    <w:pPr>
      <w:ind w:firstLine="420" w:firstLineChars="200"/>
    </w:pPr>
    <w:rPr>
      <w:rFonts w:ascii="Calibri" w:hAnsi="Calibri"/>
      <w:szCs w:val="22"/>
    </w:rPr>
  </w:style>
  <w:style w:type="paragraph" w:customStyle="1" w:styleId="410">
    <w:name w:val="Char Char16 Char Char"/>
    <w:basedOn w:val="1"/>
    <w:qFormat/>
    <w:uiPriority w:val="0"/>
    <w:rPr>
      <w:rFonts w:ascii="Tahoma" w:hAnsi="Tahoma"/>
      <w:sz w:val="24"/>
      <w:szCs w:val="20"/>
    </w:rPr>
  </w:style>
  <w:style w:type="paragraph" w:customStyle="1" w:styleId="411">
    <w:name w:val="正文内容"/>
    <w:basedOn w:val="1"/>
    <w:qFormat/>
    <w:uiPriority w:val="0"/>
    <w:rPr>
      <w:rFonts w:ascii="Arial" w:hAnsi="Arial"/>
      <w:spacing w:val="-12"/>
      <w:szCs w:val="20"/>
    </w:rPr>
  </w:style>
  <w:style w:type="paragraph" w:customStyle="1" w:styleId="41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3">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14">
    <w:name w:val="WPSOffice手动目录 1"/>
    <w:qFormat/>
    <w:uiPriority w:val="0"/>
    <w:rPr>
      <w:rFonts w:ascii="Times New Roman" w:hAnsi="Times New Roman" w:eastAsia="宋体" w:cs="Times New Roman"/>
      <w:lang w:val="en-US" w:eastAsia="zh-CN" w:bidi="ar-SA"/>
    </w:rPr>
  </w:style>
  <w:style w:type="paragraph" w:customStyle="1" w:styleId="415">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16">
    <w:name w:val="xl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18">
    <w:name w:val="正文(首行缩进)"/>
    <w:qFormat/>
    <w:uiPriority w:val="0"/>
    <w:pPr>
      <w:adjustRightInd w:val="0"/>
      <w:snapToGrid w:val="0"/>
      <w:spacing w:line="360" w:lineRule="auto"/>
      <w:ind w:firstLine="200" w:firstLineChars="200"/>
      <w:jc w:val="both"/>
    </w:pPr>
    <w:rPr>
      <w:rFonts w:ascii="Times New Roman" w:hAnsi="Times New Roman" w:eastAsia="仿宋_GB2312" w:cs="Times New Roman"/>
      <w:spacing w:val="2"/>
      <w:kern w:val="24"/>
      <w:sz w:val="24"/>
      <w:szCs w:val="24"/>
      <w:lang w:val="en-US" w:eastAsia="zh-CN" w:bidi="ar-SA"/>
    </w:rPr>
  </w:style>
  <w:style w:type="paragraph" w:customStyle="1" w:styleId="41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20">
    <w:name w:val="Char1 Char Char Char Char Char Char Char Char"/>
    <w:basedOn w:val="1"/>
    <w:qFormat/>
    <w:uiPriority w:val="0"/>
  </w:style>
  <w:style w:type="paragraph" w:customStyle="1" w:styleId="421">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422">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3">
    <w:name w:val="标题5"/>
    <w:basedOn w:val="1"/>
    <w:qFormat/>
    <w:uiPriority w:val="0"/>
    <w:pPr>
      <w:spacing w:before="120" w:after="120"/>
    </w:pPr>
    <w:rPr>
      <w:rFonts w:ascii="宋体"/>
      <w:b/>
      <w:sz w:val="28"/>
    </w:rPr>
  </w:style>
  <w:style w:type="paragraph" w:customStyle="1" w:styleId="424">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5">
    <w:name w:val="正文-段落"/>
    <w:qFormat/>
    <w:uiPriority w:val="0"/>
    <w:pPr>
      <w:spacing w:line="360" w:lineRule="auto"/>
      <w:ind w:firstLine="200" w:firstLineChars="200"/>
    </w:pPr>
    <w:rPr>
      <w:rFonts w:ascii="Times New Roman" w:hAnsi="Times New Roman" w:eastAsia="宋体" w:cs="Cambria"/>
      <w:sz w:val="24"/>
      <w:szCs w:val="24"/>
      <w:lang w:val="en-GB" w:eastAsia="zh-CN" w:bidi="ar-SA"/>
    </w:rPr>
  </w:style>
  <w:style w:type="paragraph" w:customStyle="1" w:styleId="426">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27">
    <w:name w:val="Char4"/>
    <w:basedOn w:val="1"/>
    <w:qFormat/>
    <w:uiPriority w:val="0"/>
    <w:pPr>
      <w:ind w:left="980" w:hanging="420"/>
    </w:pPr>
    <w:rPr>
      <w:sz w:val="24"/>
    </w:rPr>
  </w:style>
  <w:style w:type="paragraph" w:customStyle="1" w:styleId="428">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9">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430">
    <w:name w:val="样式 首行缩进:  0.85 厘米"/>
    <w:basedOn w:val="1"/>
    <w:qFormat/>
    <w:uiPriority w:val="0"/>
    <w:pPr>
      <w:ind w:firstLine="480" w:firstLineChars="200"/>
    </w:pPr>
    <w:rPr>
      <w:rFonts w:cs="宋体"/>
      <w:szCs w:val="20"/>
    </w:rPr>
  </w:style>
  <w:style w:type="paragraph" w:customStyle="1" w:styleId="431">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3">
    <w:name w:val="font2"/>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434">
    <w:name w:val="font3"/>
    <w:basedOn w:val="1"/>
    <w:qFormat/>
    <w:uiPriority w:val="0"/>
    <w:pPr>
      <w:widowControl/>
      <w:spacing w:before="100" w:beforeAutospacing="1" w:after="100" w:afterAutospacing="1"/>
      <w:jc w:val="left"/>
    </w:pPr>
    <w:rPr>
      <w:color w:val="000000"/>
      <w:kern w:val="0"/>
      <w:sz w:val="14"/>
      <w:szCs w:val="14"/>
    </w:rPr>
  </w:style>
  <w:style w:type="paragraph" w:customStyle="1" w:styleId="435">
    <w:name w:val="et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6">
    <w:name w:val="et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7">
    <w:name w:val="et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8">
    <w:name w:val="et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9">
    <w:name w:val="et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0">
    <w:name w:val="et8"/>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1">
    <w:name w:val="et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2">
    <w:name w:val="et1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3">
    <w:name w:val="et1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4">
    <w:name w:val="et1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5">
    <w:name w:val="et1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6">
    <w:name w:val="et1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7">
    <w:name w:val="et1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8">
    <w:name w:val="et18"/>
    <w:basedOn w:val="1"/>
    <w:qFormat/>
    <w:uiPriority w:val="0"/>
    <w:pPr>
      <w:widowControl/>
      <w:spacing w:before="100" w:beforeAutospacing="1" w:after="100" w:afterAutospacing="1"/>
      <w:jc w:val="left"/>
      <w:textAlignment w:val="center"/>
    </w:pPr>
    <w:rPr>
      <w:rFonts w:ascii="Calibri" w:hAnsi="Calibri" w:cs="宋体"/>
      <w:color w:val="000000"/>
      <w:kern w:val="0"/>
      <w:sz w:val="22"/>
      <w:szCs w:val="22"/>
    </w:rPr>
  </w:style>
  <w:style w:type="paragraph" w:customStyle="1" w:styleId="449">
    <w:name w:val="et1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0">
    <w:name w:val="et20"/>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1">
    <w:name w:val="et2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2">
    <w:name w:val="et2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3">
    <w:name w:val="et23"/>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4">
    <w:name w:val="et2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character" w:customStyle="1" w:styleId="456">
    <w:name w:val="列出段落 Char"/>
    <w:link w:val="457"/>
    <w:qFormat/>
    <w:uiPriority w:val="34"/>
    <w:rPr>
      <w:kern w:val="2"/>
      <w:sz w:val="21"/>
      <w:szCs w:val="24"/>
    </w:rPr>
  </w:style>
  <w:style w:type="paragraph" w:styleId="457">
    <w:name w:val="List Paragraph"/>
    <w:basedOn w:val="1"/>
    <w:link w:val="456"/>
    <w:qFormat/>
    <w:uiPriority w:val="34"/>
    <w:pPr>
      <w:ind w:firstLine="420" w:firstLineChars="200"/>
    </w:pPr>
  </w:style>
  <w:style w:type="paragraph" w:customStyle="1" w:styleId="458">
    <w:name w:val="yiv1649619028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59">
    <w:name w:val="评价"/>
    <w:basedOn w:val="1"/>
    <w:qFormat/>
    <w:uiPriority w:val="0"/>
    <w:pPr>
      <w:spacing w:afterLines="20"/>
      <w:ind w:firstLine="1446" w:firstLineChars="200"/>
    </w:pPr>
    <w:rPr>
      <w:rFonts w:ascii="Calibri" w:hAnsi="Calibri"/>
      <w:sz w:val="24"/>
    </w:rPr>
  </w:style>
  <w:style w:type="character" w:customStyle="1" w:styleId="460">
    <w:name w:val="content"/>
    <w:basedOn w:val="52"/>
    <w:qFormat/>
    <w:uiPriority w:val="0"/>
  </w:style>
  <w:style w:type="character" w:customStyle="1" w:styleId="461">
    <w:name w:val="ca-3"/>
    <w:basedOn w:val="52"/>
    <w:qFormat/>
    <w:uiPriority w:val="0"/>
  </w:style>
  <w:style w:type="character" w:customStyle="1" w:styleId="462">
    <w:name w:val="textcontents1"/>
    <w:qFormat/>
    <w:uiPriority w:val="0"/>
    <w:rPr>
      <w:rFonts w:hint="default" w:ascii="ˎ̥" w:hAnsi="ˎ̥"/>
      <w:sz w:val="21"/>
      <w:szCs w:val="21"/>
    </w:rPr>
  </w:style>
  <w:style w:type="character" w:customStyle="1" w:styleId="463">
    <w:name w:val="脚注文本 Char1"/>
    <w:qFormat/>
    <w:uiPriority w:val="0"/>
    <w:rPr>
      <w:kern w:val="2"/>
      <w:sz w:val="18"/>
      <w:szCs w:val="18"/>
    </w:rPr>
  </w:style>
  <w:style w:type="character" w:customStyle="1" w:styleId="464">
    <w:name w:val="脚注文本 Char"/>
    <w:qFormat/>
    <w:uiPriority w:val="0"/>
    <w:rPr>
      <w:kern w:val="2"/>
      <w:sz w:val="18"/>
      <w:szCs w:val="18"/>
    </w:rPr>
  </w:style>
  <w:style w:type="character" w:customStyle="1" w:styleId="465">
    <w:name w:val="正文首行缩进（绿盟科技） Char"/>
    <w:link w:val="466"/>
    <w:qFormat/>
    <w:uiPriority w:val="0"/>
    <w:rPr>
      <w:rFonts w:ascii="Arial" w:hAnsi="Arial"/>
      <w:szCs w:val="21"/>
    </w:rPr>
  </w:style>
  <w:style w:type="paragraph" w:customStyle="1" w:styleId="466">
    <w:name w:val="正文首行缩进（绿盟科技）"/>
    <w:basedOn w:val="1"/>
    <w:link w:val="465"/>
    <w:qFormat/>
    <w:uiPriority w:val="0"/>
    <w:pPr>
      <w:widowControl/>
      <w:spacing w:after="50" w:line="300" w:lineRule="auto"/>
      <w:ind w:firstLine="200" w:firstLineChars="200"/>
      <w:jc w:val="left"/>
    </w:pPr>
    <w:rPr>
      <w:rFonts w:ascii="Arial" w:hAnsi="Arial"/>
      <w:kern w:val="0"/>
      <w:sz w:val="20"/>
      <w:szCs w:val="21"/>
    </w:rPr>
  </w:style>
  <w:style w:type="character" w:customStyle="1" w:styleId="467">
    <w:name w:val="c lh15"/>
    <w:basedOn w:val="52"/>
    <w:qFormat/>
    <w:uiPriority w:val="0"/>
  </w:style>
  <w:style w:type="character" w:customStyle="1" w:styleId="468">
    <w:name w:val="Char Char21"/>
    <w:qFormat/>
    <w:uiPriority w:val="0"/>
    <w:rPr>
      <w:b/>
      <w:bCs/>
      <w:kern w:val="2"/>
      <w:sz w:val="32"/>
      <w:szCs w:val="32"/>
    </w:rPr>
  </w:style>
  <w:style w:type="character" w:customStyle="1" w:styleId="469">
    <w:name w:val="content1"/>
    <w:qFormat/>
    <w:uiPriority w:val="0"/>
    <w:rPr>
      <w:rFonts w:hint="default" w:ascii="??" w:hAnsi="??"/>
      <w:sz w:val="16"/>
      <w:szCs w:val="16"/>
      <w:u w:val="none"/>
    </w:rPr>
  </w:style>
  <w:style w:type="character" w:customStyle="1" w:styleId="470">
    <w:name w:val="text21"/>
    <w:basedOn w:val="52"/>
    <w:qFormat/>
    <w:uiPriority w:val="0"/>
  </w:style>
  <w:style w:type="character" w:customStyle="1" w:styleId="471">
    <w:name w:val="apple-style-span"/>
    <w:basedOn w:val="52"/>
    <w:qFormat/>
    <w:uiPriority w:val="0"/>
  </w:style>
  <w:style w:type="paragraph" w:customStyle="1" w:styleId="472">
    <w:name w:val="缺省文本"/>
    <w:basedOn w:val="1"/>
    <w:qFormat/>
    <w:uiPriority w:val="0"/>
    <w:pPr>
      <w:autoSpaceDE w:val="0"/>
      <w:autoSpaceDN w:val="0"/>
      <w:adjustRightInd w:val="0"/>
      <w:jc w:val="left"/>
    </w:pPr>
    <w:rPr>
      <w:kern w:val="0"/>
      <w:sz w:val="24"/>
    </w:rPr>
  </w:style>
  <w:style w:type="paragraph" w:customStyle="1" w:styleId="473">
    <w:name w:val="xl6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rPr>
  </w:style>
  <w:style w:type="paragraph" w:customStyle="1" w:styleId="474">
    <w:name w:val="1"/>
    <w:basedOn w:val="1"/>
    <w:next w:val="27"/>
    <w:qFormat/>
    <w:uiPriority w:val="0"/>
    <w:rPr>
      <w:rFonts w:ascii="宋体" w:hAnsi="Courier New"/>
      <w:szCs w:val="20"/>
    </w:rPr>
  </w:style>
  <w:style w:type="paragraph" w:customStyle="1" w:styleId="475">
    <w:name w:val="xl5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476">
    <w:name w:val="Char Char Char Char Char Char Char1"/>
    <w:basedOn w:val="1"/>
    <w:qFormat/>
    <w:uiPriority w:val="0"/>
    <w:pPr>
      <w:widowControl/>
      <w:spacing w:after="160" w:line="240" w:lineRule="exact"/>
      <w:jc w:val="left"/>
    </w:pPr>
  </w:style>
  <w:style w:type="paragraph" w:customStyle="1" w:styleId="477">
    <w:name w:val="USE 1"/>
    <w:basedOn w:val="1"/>
    <w:qFormat/>
    <w:uiPriority w:val="0"/>
    <w:pPr>
      <w:spacing w:line="200" w:lineRule="atLeast"/>
      <w:jc w:val="left"/>
    </w:pPr>
    <w:rPr>
      <w:rFonts w:ascii="宋体" w:hAnsi="宋体"/>
      <w:b/>
      <w:sz w:val="24"/>
      <w:szCs w:val="28"/>
    </w:rPr>
  </w:style>
  <w:style w:type="paragraph" w:customStyle="1" w:styleId="478">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479">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80">
    <w:name w:val="正文 2"/>
    <w:basedOn w:val="1"/>
    <w:qFormat/>
    <w:uiPriority w:val="0"/>
    <w:pPr>
      <w:autoSpaceDE w:val="0"/>
      <w:autoSpaceDN w:val="0"/>
      <w:adjustRightInd w:val="0"/>
      <w:snapToGrid w:val="0"/>
      <w:spacing w:before="80" w:after="40" w:line="360" w:lineRule="auto"/>
      <w:ind w:left="1134"/>
      <w:jc w:val="left"/>
    </w:pPr>
    <w:rPr>
      <w:kern w:val="0"/>
      <w:sz w:val="24"/>
      <w:szCs w:val="20"/>
    </w:rPr>
  </w:style>
  <w:style w:type="paragraph" w:customStyle="1" w:styleId="481">
    <w:name w:val="_Style 54"/>
    <w:basedOn w:val="1"/>
    <w:next w:val="27"/>
    <w:qFormat/>
    <w:uiPriority w:val="0"/>
    <w:rPr>
      <w:rFonts w:ascii="宋体" w:hAnsi="Courier New"/>
      <w:szCs w:val="20"/>
    </w:rPr>
  </w:style>
  <w:style w:type="paragraph" w:customStyle="1" w:styleId="482">
    <w:name w:val="_Style 56"/>
    <w:basedOn w:val="1"/>
    <w:next w:val="27"/>
    <w:qFormat/>
    <w:uiPriority w:val="0"/>
    <w:rPr>
      <w:rFonts w:ascii="宋体" w:hAnsi="Courier New"/>
      <w:szCs w:val="20"/>
    </w:rPr>
  </w:style>
  <w:style w:type="paragraph" w:customStyle="1" w:styleId="483">
    <w:name w:val="Char Char Char Char2"/>
    <w:basedOn w:val="1"/>
    <w:qFormat/>
    <w:uiPriority w:val="0"/>
    <w:pPr>
      <w:widowControl/>
      <w:spacing w:after="160" w:line="240" w:lineRule="exact"/>
      <w:jc w:val="center"/>
    </w:pPr>
  </w:style>
  <w:style w:type="paragraph" w:customStyle="1" w:styleId="484">
    <w:name w:val="font10"/>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485">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86">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87">
    <w:name w:val="px16"/>
    <w:basedOn w:val="1"/>
    <w:qFormat/>
    <w:uiPriority w:val="0"/>
    <w:pPr>
      <w:widowControl/>
      <w:spacing w:before="100" w:beforeAutospacing="1" w:after="100" w:afterAutospacing="1" w:line="360" w:lineRule="auto"/>
      <w:jc w:val="left"/>
    </w:pPr>
    <w:rPr>
      <w:rFonts w:ascii="宋体" w:hAnsi="宋体"/>
      <w:kern w:val="0"/>
      <w:sz w:val="24"/>
    </w:rPr>
  </w:style>
  <w:style w:type="paragraph" w:customStyle="1" w:styleId="488">
    <w:name w:val="正文首行缩进1(Crlf+Shift+M)"/>
    <w:qFormat/>
    <w:uiPriority w:val="0"/>
    <w:pPr>
      <w:spacing w:before="120" w:after="120" w:line="360" w:lineRule="auto"/>
      <w:ind w:firstLine="420" w:firstLineChars="200"/>
    </w:pPr>
    <w:rPr>
      <w:rFonts w:ascii="Arial" w:hAnsi="Arial" w:eastAsia="宋体" w:cs="Times New Roman"/>
      <w:kern w:val="2"/>
      <w:sz w:val="21"/>
      <w:lang w:val="en-US" w:eastAsia="zh-CN" w:bidi="ar-SA"/>
    </w:rPr>
  </w:style>
  <w:style w:type="paragraph" w:customStyle="1" w:styleId="489">
    <w:name w:val="Char2 Char Char Char Char Char Char"/>
    <w:basedOn w:val="1"/>
    <w:qFormat/>
    <w:uiPriority w:val="0"/>
    <w:pPr>
      <w:widowControl/>
      <w:spacing w:after="160" w:line="240" w:lineRule="exact"/>
      <w:jc w:val="left"/>
    </w:pPr>
  </w:style>
  <w:style w:type="paragraph" w:customStyle="1" w:styleId="490">
    <w:name w:val="_Style 50"/>
    <w:basedOn w:val="1"/>
    <w:next w:val="30"/>
    <w:qFormat/>
    <w:uiPriority w:val="0"/>
    <w:pPr>
      <w:adjustRightInd w:val="0"/>
      <w:snapToGrid w:val="0"/>
      <w:spacing w:line="300" w:lineRule="auto"/>
      <w:ind w:firstLine="630" w:firstLineChars="300"/>
    </w:pPr>
    <w:rPr>
      <w:snapToGrid w:val="0"/>
      <w:kern w:val="0"/>
    </w:rPr>
  </w:style>
  <w:style w:type="paragraph" w:customStyle="1" w:styleId="491">
    <w:name w:val="修订2"/>
    <w:semiHidden/>
    <w:qFormat/>
    <w:uiPriority w:val="99"/>
    <w:rPr>
      <w:rFonts w:ascii="Times New Roman" w:hAnsi="Times New Roman" w:eastAsia="宋体" w:cs="Times New Roman"/>
      <w:kern w:val="2"/>
      <w:sz w:val="21"/>
      <w:szCs w:val="24"/>
      <w:lang w:val="en-US" w:eastAsia="zh-CN" w:bidi="ar-SA"/>
    </w:rPr>
  </w:style>
  <w:style w:type="paragraph" w:customStyle="1" w:styleId="492">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493">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94">
    <w:name w:val="5"/>
    <w:basedOn w:val="1"/>
    <w:next w:val="27"/>
    <w:qFormat/>
    <w:uiPriority w:val="0"/>
    <w:rPr>
      <w:rFonts w:ascii="宋体" w:hAnsi="Courier New"/>
      <w:szCs w:val="20"/>
    </w:rPr>
  </w:style>
  <w:style w:type="paragraph" w:customStyle="1" w:styleId="495">
    <w:name w:val="Char Char Char"/>
    <w:basedOn w:val="1"/>
    <w:qFormat/>
    <w:uiPriority w:val="0"/>
    <w:rPr>
      <w:szCs w:val="20"/>
    </w:rPr>
  </w:style>
  <w:style w:type="paragraph" w:customStyle="1" w:styleId="496">
    <w:name w:val="Char2"/>
    <w:basedOn w:val="1"/>
    <w:qFormat/>
    <w:uiPriority w:val="0"/>
    <w:rPr>
      <w:rFonts w:ascii="Tahoma" w:hAnsi="Tahoma"/>
      <w:sz w:val="24"/>
      <w:szCs w:val="20"/>
    </w:rPr>
  </w:style>
  <w:style w:type="paragraph" w:customStyle="1" w:styleId="497">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98">
    <w:name w:val="xl5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49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500">
    <w:name w:val="6"/>
    <w:basedOn w:val="1"/>
    <w:next w:val="27"/>
    <w:qFormat/>
    <w:uiPriority w:val="0"/>
    <w:rPr>
      <w:rFonts w:ascii="宋体" w:hAnsi="Courier New"/>
      <w:szCs w:val="20"/>
    </w:rPr>
  </w:style>
  <w:style w:type="paragraph" w:customStyle="1" w:styleId="501">
    <w:name w:val="2"/>
    <w:basedOn w:val="1"/>
    <w:next w:val="46"/>
    <w:qFormat/>
    <w:uiPriority w:val="0"/>
    <w:pPr>
      <w:widowControl/>
      <w:spacing w:before="100" w:beforeAutospacing="1" w:after="100" w:afterAutospacing="1"/>
      <w:jc w:val="left"/>
    </w:pPr>
    <w:rPr>
      <w:rFonts w:ascii="宋体" w:hAnsi="宋体"/>
      <w:kern w:val="0"/>
      <w:sz w:val="24"/>
    </w:rPr>
  </w:style>
  <w:style w:type="paragraph" w:customStyle="1" w:styleId="502">
    <w:name w:val="7"/>
    <w:basedOn w:val="1"/>
    <w:next w:val="30"/>
    <w:qFormat/>
    <w:uiPriority w:val="0"/>
    <w:pPr>
      <w:adjustRightInd w:val="0"/>
      <w:snapToGrid w:val="0"/>
      <w:spacing w:line="300" w:lineRule="auto"/>
      <w:ind w:firstLine="630" w:firstLineChars="300"/>
    </w:pPr>
    <w:rPr>
      <w:snapToGrid w:val="0"/>
      <w:kern w:val="0"/>
    </w:rPr>
  </w:style>
  <w:style w:type="paragraph" w:customStyle="1" w:styleId="503">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504">
    <w:name w:val="TOC 标题2"/>
    <w:basedOn w:val="3"/>
    <w:next w:val="1"/>
    <w:unhideWhenUsed/>
    <w:qFormat/>
    <w:uiPriority w:val="39"/>
    <w:pPr>
      <w:widowControl/>
      <w:spacing w:before="480" w:after="0" w:line="276" w:lineRule="auto"/>
      <w:jc w:val="left"/>
      <w:outlineLvl w:val="9"/>
    </w:pPr>
    <w:rPr>
      <w:rFonts w:ascii="Cambria" w:hAnsi="Cambria"/>
      <w:bCs/>
      <w:color w:val="366091"/>
      <w:kern w:val="0"/>
    </w:rPr>
  </w:style>
  <w:style w:type="character" w:customStyle="1" w:styleId="505">
    <w:name w:val="Ｒ07-正!!文 Char Char"/>
    <w:link w:val="506"/>
    <w:qFormat/>
    <w:uiPriority w:val="0"/>
    <w:rPr>
      <w:rFonts w:ascii="宋体" w:hAnsi="宋体" w:cs="宋体"/>
      <w:snapToGrid w:val="0"/>
      <w:spacing w:val="4"/>
      <w:kern w:val="2"/>
      <w:sz w:val="24"/>
      <w:szCs w:val="24"/>
      <w:lang w:val="en-US" w:eastAsia="zh-CN" w:bidi="ar-SA"/>
    </w:rPr>
  </w:style>
  <w:style w:type="paragraph" w:customStyle="1" w:styleId="506">
    <w:name w:val="Ｒ07-正!!文"/>
    <w:link w:val="505"/>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character" w:customStyle="1" w:styleId="507">
    <w:name w:val="Ｒ07-!正! Char Char"/>
    <w:link w:val="508"/>
    <w:qFormat/>
    <w:uiPriority w:val="0"/>
    <w:rPr>
      <w:rFonts w:ascii="宋体" w:hAnsi="宋体" w:cs="宋体"/>
      <w:snapToGrid w:val="0"/>
      <w:spacing w:val="8"/>
      <w:kern w:val="2"/>
      <w:sz w:val="24"/>
      <w:szCs w:val="24"/>
      <w:lang w:val="en-US" w:eastAsia="zh-CN" w:bidi="ar-SA"/>
    </w:rPr>
  </w:style>
  <w:style w:type="paragraph" w:customStyle="1" w:styleId="508">
    <w:name w:val="Ｒ07-!正!"/>
    <w:link w:val="507"/>
    <w:qFormat/>
    <w:uiPriority w:val="0"/>
    <w:pPr>
      <w:wordWrap w:val="0"/>
      <w:spacing w:afterLines="20" w:line="360" w:lineRule="auto"/>
      <w:ind w:firstLine="512" w:firstLineChars="200"/>
    </w:pPr>
    <w:rPr>
      <w:rFonts w:ascii="宋体" w:hAnsi="宋体" w:eastAsia="宋体" w:cs="宋体"/>
      <w:snapToGrid w:val="0"/>
      <w:spacing w:val="8"/>
      <w:kern w:val="2"/>
      <w:sz w:val="24"/>
      <w:szCs w:val="24"/>
      <w:lang w:val="en-US" w:eastAsia="zh-CN" w:bidi="ar-SA"/>
    </w:rPr>
  </w:style>
  <w:style w:type="paragraph" w:customStyle="1" w:styleId="509">
    <w:name w:val="无间隔1"/>
    <w:qFormat/>
    <w:uiPriority w:val="0"/>
    <w:pPr>
      <w:widowControl w:val="0"/>
      <w:jc w:val="both"/>
    </w:pPr>
    <w:rPr>
      <w:rFonts w:ascii="Calibri" w:hAnsi="Calibri" w:eastAsia="宋体" w:cs="Arial"/>
      <w:kern w:val="2"/>
      <w:sz w:val="21"/>
      <w:szCs w:val="22"/>
      <w:lang w:val="en-US" w:eastAsia="zh-CN" w:bidi="ar-SA"/>
    </w:rPr>
  </w:style>
  <w:style w:type="paragraph" w:customStyle="1" w:styleId="510">
    <w:name w:val="d_post_content"/>
    <w:basedOn w:val="1"/>
    <w:qFormat/>
    <w:uiPriority w:val="0"/>
    <w:pPr>
      <w:widowControl/>
      <w:wordWrap w:val="0"/>
      <w:spacing w:before="100" w:beforeAutospacing="1" w:after="100" w:afterAutospacing="1" w:line="360" w:lineRule="atLeast"/>
      <w:jc w:val="left"/>
    </w:pPr>
    <w:rPr>
      <w:rFonts w:ascii="宋体" w:hAnsi="宋体" w:cs="宋体"/>
      <w:kern w:val="0"/>
      <w:szCs w:val="21"/>
    </w:rPr>
  </w:style>
  <w:style w:type="paragraph" w:customStyle="1" w:styleId="511">
    <w:name w:val="样式 9 10 磅"/>
    <w:qFormat/>
    <w:uiPriority w:val="0"/>
    <w:pPr>
      <w:widowControl w:val="0"/>
      <w:spacing w:line="427" w:lineRule="auto"/>
      <w:ind w:firstLine="200"/>
    </w:pPr>
    <w:rPr>
      <w:rFonts w:ascii="宋体" w:hAnsi="Times New Roman" w:eastAsia="宋体" w:cs="宋体"/>
      <w:lang w:val="zh-TW" w:eastAsia="zh-TW" w:bidi="ar-SA"/>
    </w:rPr>
  </w:style>
  <w:style w:type="paragraph" w:customStyle="1" w:styleId="512">
    <w:name w:val="表格内文字"/>
    <w:basedOn w:val="1"/>
    <w:qFormat/>
    <w:uiPriority w:val="0"/>
    <w:rPr>
      <w:rFonts w:ascii="Calibri" w:hAnsi="Calibri" w:eastAsia="SimSun-ExtB" w:cs="Arial"/>
      <w:szCs w:val="22"/>
    </w:rPr>
  </w:style>
  <w:style w:type="paragraph" w:customStyle="1" w:styleId="513">
    <w:name w:val="样式 3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4">
    <w:name w:val="样式 6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5">
    <w:name w:val="样式 7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6">
    <w:name w:val="样式 8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7">
    <w:name w:val="样式 15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8">
    <w:name w:val="修订3"/>
    <w:unhideWhenUsed/>
    <w:qFormat/>
    <w:uiPriority w:val="99"/>
    <w:rPr>
      <w:rFonts w:ascii="Times New Roman" w:hAnsi="Times New Roman" w:eastAsia="宋体" w:cs="Times New Roman"/>
      <w:kern w:val="2"/>
      <w:sz w:val="21"/>
      <w:szCs w:val="24"/>
      <w:lang w:val="en-US" w:eastAsia="zh-CN" w:bidi="ar-SA"/>
    </w:rPr>
  </w:style>
  <w:style w:type="character" w:customStyle="1" w:styleId="519">
    <w:name w:val="未处理的提及1"/>
    <w:basedOn w:val="52"/>
    <w:unhideWhenUsed/>
    <w:qFormat/>
    <w:uiPriority w:val="99"/>
    <w:rPr>
      <w:color w:val="605E5C"/>
      <w:shd w:val="clear" w:color="auto" w:fill="E1DFDD"/>
    </w:rPr>
  </w:style>
  <w:style w:type="paragraph" w:customStyle="1" w:styleId="520">
    <w:name w:val="修订4"/>
    <w:unhideWhenUsed/>
    <w:qFormat/>
    <w:uiPriority w:val="99"/>
    <w:rPr>
      <w:rFonts w:ascii="Times New Roman" w:hAnsi="Times New Roman" w:eastAsia="宋体" w:cs="Times New Roman"/>
      <w:kern w:val="2"/>
      <w:sz w:val="21"/>
      <w:szCs w:val="24"/>
      <w:lang w:val="en-US" w:eastAsia="zh-CN" w:bidi="ar-SA"/>
    </w:rPr>
  </w:style>
  <w:style w:type="paragraph" w:customStyle="1" w:styleId="521">
    <w:name w:val="样式 71 小四"/>
    <w:qFormat/>
    <w:uiPriority w:val="0"/>
    <w:pPr>
      <w:widowControl w:val="0"/>
      <w:spacing w:line="360" w:lineRule="auto"/>
      <w:ind w:firstLine="480"/>
      <w:jc w:val="both"/>
    </w:pPr>
    <w:rPr>
      <w:rFonts w:ascii="Calibri" w:hAnsi="Calibri" w:eastAsia="Calibri" w:cs="Calibri"/>
      <w:sz w:val="24"/>
      <w:szCs w:val="24"/>
      <w:lang w:val="en-US" w:eastAsia="zh-CN" w:bidi="ar-SA"/>
    </w:rPr>
  </w:style>
  <w:style w:type="paragraph" w:customStyle="1" w:styleId="522">
    <w:name w:val="样式 51 小四"/>
    <w:qFormat/>
    <w:uiPriority w:val="0"/>
    <w:pPr>
      <w:widowControl w:val="0"/>
      <w:spacing w:line="360" w:lineRule="auto"/>
      <w:ind w:firstLine="480"/>
      <w:jc w:val="both"/>
    </w:pPr>
    <w:rPr>
      <w:rFonts w:ascii="Calibri" w:hAnsi="Calibri" w:eastAsia="Calibri" w:cs="Calibri"/>
      <w:sz w:val="24"/>
      <w:szCs w:val="24"/>
      <w:lang w:val="en-US" w:eastAsia="zh-CN" w:bidi="ar-SA"/>
    </w:rPr>
  </w:style>
  <w:style w:type="paragraph" w:customStyle="1" w:styleId="523">
    <w:name w:val="样式 53 小四"/>
    <w:qFormat/>
    <w:uiPriority w:val="0"/>
    <w:pPr>
      <w:widowControl w:val="0"/>
      <w:spacing w:line="360" w:lineRule="auto"/>
      <w:ind w:firstLine="480"/>
      <w:jc w:val="both"/>
    </w:pPr>
    <w:rPr>
      <w:rFonts w:ascii="Calibri" w:hAnsi="Calibri" w:eastAsia="Calibri" w:cs="Calibri"/>
      <w:sz w:val="24"/>
      <w:szCs w:val="24"/>
      <w:lang w:val="en-US" w:eastAsia="zh-CN" w:bidi="ar-SA"/>
    </w:rPr>
  </w:style>
  <w:style w:type="paragraph" w:customStyle="1" w:styleId="524">
    <w:name w:val="样式 49 小四"/>
    <w:qFormat/>
    <w:uiPriority w:val="0"/>
    <w:pPr>
      <w:widowControl w:val="0"/>
      <w:spacing w:line="360" w:lineRule="auto"/>
      <w:ind w:firstLine="480"/>
      <w:jc w:val="both"/>
    </w:pPr>
    <w:rPr>
      <w:rFonts w:ascii="Calibri" w:hAnsi="Calibri" w:eastAsia="Calibri" w:cs="Calibri"/>
      <w:sz w:val="24"/>
      <w:szCs w:val="24"/>
      <w:lang w:val="en-US" w:eastAsia="zh-CN" w:bidi="ar-SA"/>
    </w:rPr>
  </w:style>
  <w:style w:type="paragraph" w:customStyle="1" w:styleId="525">
    <w:name w:val="样式 50 小四"/>
    <w:qFormat/>
    <w:uiPriority w:val="0"/>
    <w:pPr>
      <w:widowControl w:val="0"/>
      <w:spacing w:line="360" w:lineRule="auto"/>
      <w:ind w:firstLine="480"/>
      <w:jc w:val="both"/>
    </w:pPr>
    <w:rPr>
      <w:rFonts w:ascii="Calibri" w:hAnsi="Calibri" w:eastAsia="Calibri" w:cs="Calibri"/>
      <w:sz w:val="24"/>
      <w:szCs w:val="24"/>
      <w:lang w:val="en-US" w:eastAsia="zh-CN" w:bidi="ar-SA"/>
    </w:rPr>
  </w:style>
  <w:style w:type="paragraph" w:customStyle="1" w:styleId="526">
    <w:name w:val="样式 91 小四"/>
    <w:qFormat/>
    <w:uiPriority w:val="0"/>
    <w:pPr>
      <w:widowControl w:val="0"/>
      <w:spacing w:line="360" w:lineRule="auto"/>
      <w:ind w:firstLine="480"/>
      <w:jc w:val="both"/>
    </w:pPr>
    <w:rPr>
      <w:rFonts w:ascii="Calibri" w:hAnsi="Calibri" w:eastAsia="Calibri" w:cs="Calibri"/>
      <w:sz w:val="24"/>
      <w:szCs w:val="24"/>
      <w:lang w:val="en-US" w:eastAsia="zh-CN" w:bidi="ar-SA"/>
    </w:rPr>
  </w:style>
  <w:style w:type="paragraph" w:customStyle="1" w:styleId="527">
    <w:name w:val="样式 92 小四"/>
    <w:qFormat/>
    <w:uiPriority w:val="0"/>
    <w:pPr>
      <w:widowControl w:val="0"/>
      <w:spacing w:line="360" w:lineRule="auto"/>
      <w:ind w:firstLine="480"/>
      <w:jc w:val="both"/>
    </w:pPr>
    <w:rPr>
      <w:rFonts w:ascii="Calibri" w:hAnsi="Calibri" w:eastAsia="Calibri" w:cs="Calibri"/>
      <w:sz w:val="24"/>
      <w:szCs w:val="24"/>
      <w:lang w:val="en-US" w:eastAsia="zh-CN" w:bidi="ar-SA"/>
    </w:rPr>
  </w:style>
  <w:style w:type="character" w:customStyle="1" w:styleId="528">
    <w:name w:val="15"/>
    <w:basedOn w:val="52"/>
    <w:qFormat/>
    <w:uiPriority w:val="0"/>
    <w:rPr>
      <w:rFonts w:hint="default" w:ascii="Times New Roman" w:hAnsi="Times New Roman" w:cs="Times New Roman"/>
    </w:rPr>
  </w:style>
  <w:style w:type="character" w:customStyle="1" w:styleId="529">
    <w:name w:val="10"/>
    <w:basedOn w:val="52"/>
    <w:qFormat/>
    <w:uiPriority w:val="0"/>
    <w:rPr>
      <w:rFonts w:hint="default" w:ascii="Times New Roman" w:hAnsi="Times New Roman" w:cs="Times New Roman"/>
    </w:rPr>
  </w:style>
  <w:style w:type="paragraph" w:customStyle="1" w:styleId="530">
    <w:name w:val="修订5"/>
    <w:unhideWhenUsed/>
    <w:qFormat/>
    <w:uiPriority w:val="99"/>
    <w:rPr>
      <w:rFonts w:ascii="Times New Roman" w:hAnsi="Times New Roman" w:eastAsia="宋体" w:cs="Times New Roman"/>
      <w:kern w:val="2"/>
      <w:sz w:val="21"/>
      <w:szCs w:val="24"/>
      <w:lang w:val="en-US" w:eastAsia="zh-CN" w:bidi="ar-SA"/>
    </w:rPr>
  </w:style>
  <w:style w:type="paragraph" w:customStyle="1" w:styleId="531">
    <w:name w:val="修订6"/>
    <w:unhideWhenUsed/>
    <w:qFormat/>
    <w:uiPriority w:val="99"/>
    <w:rPr>
      <w:rFonts w:ascii="Times New Roman" w:hAnsi="Times New Roman" w:eastAsia="宋体" w:cs="Times New Roman"/>
      <w:kern w:val="2"/>
      <w:sz w:val="21"/>
      <w:szCs w:val="24"/>
      <w:lang w:val="en-US" w:eastAsia="zh-CN" w:bidi="ar-SA"/>
    </w:rPr>
  </w:style>
  <w:style w:type="paragraph" w:customStyle="1" w:styleId="532">
    <w:name w:val="修订7"/>
    <w:unhideWhenUsed/>
    <w:qFormat/>
    <w:uiPriority w:val="99"/>
    <w:rPr>
      <w:rFonts w:ascii="Times New Roman" w:hAnsi="Times New Roman" w:eastAsia="宋体" w:cs="Times New Roman"/>
      <w:kern w:val="2"/>
      <w:sz w:val="21"/>
      <w:szCs w:val="24"/>
      <w:lang w:val="en-US" w:eastAsia="zh-CN" w:bidi="ar-SA"/>
    </w:rPr>
  </w:style>
  <w:style w:type="paragraph" w:customStyle="1" w:styleId="533">
    <w:name w:val="Revision1"/>
    <w:unhideWhenUsed/>
    <w:qFormat/>
    <w:uiPriority w:val="99"/>
    <w:rPr>
      <w:rFonts w:ascii="Times New Roman" w:hAnsi="Times New Roman" w:eastAsia="宋体" w:cs="Times New Roman"/>
      <w:kern w:val="2"/>
      <w:sz w:val="21"/>
      <w:szCs w:val="24"/>
      <w:lang w:val="en-US" w:eastAsia="zh-CN" w:bidi="ar-SA"/>
    </w:rPr>
  </w:style>
  <w:style w:type="character" w:customStyle="1" w:styleId="534">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jpeg"/><Relationship Id="rId17" Type="http://schemas.openxmlformats.org/officeDocument/2006/relationships/image" Target="media/image8.emf"/><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84</Pages>
  <Words>17769</Words>
  <Characters>18742</Characters>
  <Lines>448</Lines>
  <Paragraphs>126</Paragraphs>
  <TotalTime>32</TotalTime>
  <ScaleCrop>false</ScaleCrop>
  <LinksUpToDate>false</LinksUpToDate>
  <CharactersWithSpaces>18840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2025-05-17T13:49:00Z</dcterms:created>
  <dc:creator>微软用户</dc:creator>
  <cp:lastModifiedBy>中正招标姚工</cp:lastModifiedBy>
  <cp:lastPrinted>2025-05-20T01:00:00Z</cp:lastPrinted>
  <dcterms:modified xsi:type="dcterms:W3CDTF">2025-05-22T07:25:42Z</dcterms:modified>
  <dc:title>招标编号：UHO2010-G0029</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D54B5D3696D3453487B8A737F74B4AF6_13</vt:lpwstr>
  </property>
  <property fmtid="{D5CDD505-2E9C-101B-9397-08002B2CF9AE}" pid="4" name="KSOTemplateDocerSaveRecord">
    <vt:lpwstr>eyJoZGlkIjoiZWE2MTFmYjBkMWU4MjExYjUxZDQyMmVjMmUyY2RjZjciLCJ1c2VySWQiOiIxOTQ2NDUzODcifQ==</vt:lpwstr>
  </property>
</Properties>
</file>