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rFonts w:cs="仿宋" w:asciiTheme="minorEastAsia" w:hAnsiTheme="minorEastAsia" w:eastAsiaTheme="minorEastAsia"/>
          <w:snapToGrid w:val="0"/>
          <w:kern w:val="0"/>
          <w:sz w:val="28"/>
          <w:szCs w:val="28"/>
        </w:rPr>
      </w:pPr>
      <w:r>
        <w:rPr>
          <w:rFonts w:cs="仿宋" w:asciiTheme="minorEastAsia" w:hAnsiTheme="minorEastAsia" w:eastAsiaTheme="minorEastAsia"/>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t8zXHXAAAACAEAAA8AAAAAAAAAAQAgAAAA&#10;IgAAAGRycy9kb3ducmV2LnhtbFBLAQIUABQAAAAIAIdO4kA87DHxDAIAAEYEAAAOAAAAAAAAAAEA&#10;IAAAACYBAABkcnMvZTJvRG9jLnhtbFBLBQYAAAAABgAGAFkBAACkBQAAAAA=&#10;">
                <v:fill on="t" focussize="0,0"/>
                <v:stroke color="#FFFFFF" joinstyle="miter"/>
                <v:imagedata o:title=""/>
                <o:lock v:ext="edit" aspectratio="f"/>
                <v:textbox>
                  <w:txbxContent>
                    <w:p>
                      <w:pPr>
                        <w:spacing w:line="400" w:lineRule="exact"/>
                        <w:rPr>
                          <w:rFonts w:ascii="仿宋_GB2312" w:eastAsia="仿宋_GB2312"/>
                          <w:b/>
                          <w:sz w:val="26"/>
                          <w:szCs w:val="26"/>
                        </w:rPr>
                      </w:pPr>
                      <w:r>
                        <w:rPr>
                          <w:rFonts w:hint="eastAsia" w:ascii="仿宋_GB2312" w:eastAsia="仿宋_GB2312"/>
                          <w:b/>
                          <w:sz w:val="26"/>
                          <w:szCs w:val="26"/>
                        </w:rPr>
                        <w:t>深 圳 市 中 正 招 标 有 限 公 司</w:t>
                      </w:r>
                    </w:p>
                    <w:p>
                      <w:pPr>
                        <w:spacing w:line="400" w:lineRule="exact"/>
                        <w:rPr>
                          <w:rFonts w:ascii="仿宋_GB2312" w:eastAsia="仿宋_GB2312"/>
                          <w:sz w:val="22"/>
                        </w:rPr>
                      </w:pPr>
                      <w:r>
                        <w:rPr>
                          <w:rFonts w:hint="eastAsia" w:ascii="仿宋_GB2312" w:eastAsia="仿宋_GB2312"/>
                          <w:sz w:val="22"/>
                        </w:rPr>
                        <w:t>SHENZHEN ZHONGZHENG TENDERING CO.,LTD.</w:t>
                      </w:r>
                    </w:p>
                  </w:txbxContent>
                </v:textbox>
              </v:shape>
            </w:pict>
          </mc:Fallback>
        </mc:AlternateContent>
      </w:r>
      <w:r>
        <w:rPr>
          <w:rFonts w:hint="eastAsia" w:cs="仿宋" w:asciiTheme="minorEastAsia" w:hAnsiTheme="minorEastAsia" w:eastAsiaTheme="minorEastAsia"/>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rPr>
      </w:pPr>
    </w:p>
    <w:p>
      <w:pPr>
        <w:jc w:val="center"/>
        <w:rPr>
          <w:rFonts w:cs="仿宋" w:asciiTheme="minorEastAsia" w:hAnsiTheme="minorEastAsia" w:eastAsiaTheme="minorEastAsia"/>
          <w:b/>
          <w:bCs/>
          <w:sz w:val="56"/>
          <w:szCs w:val="56"/>
        </w:rPr>
      </w:pPr>
      <w:r>
        <w:rPr>
          <w:rFonts w:hint="eastAsia" w:cs="仿宋" w:asciiTheme="minorEastAsia" w:hAnsiTheme="minorEastAsia" w:eastAsiaTheme="minorEastAsia"/>
          <w:b/>
          <w:bCs/>
          <w:snapToGrid w:val="0"/>
          <w:kern w:val="0"/>
          <w:sz w:val="56"/>
          <w:szCs w:val="56"/>
        </w:rPr>
        <w:t>深圳市公安局交警支队新能源汽车号牌试点工作配套改革创新项目第三方评测服务项目</w:t>
      </w:r>
    </w:p>
    <w:p>
      <w:pPr>
        <w:rPr>
          <w:rFonts w:cs="仿宋" w:asciiTheme="minorEastAsia" w:hAnsiTheme="minorEastAsia" w:eastAsiaTheme="minorEastAsia"/>
        </w:rPr>
      </w:pPr>
    </w:p>
    <w:p>
      <w:pPr>
        <w:rPr>
          <w:rFonts w:cs="仿宋" w:asciiTheme="minorEastAsia" w:hAnsiTheme="minorEastAsia" w:eastAsiaTheme="minorEastAsia"/>
        </w:rPr>
      </w:pPr>
    </w:p>
    <w:p>
      <w:pPr>
        <w:pStyle w:val="2"/>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bCs/>
          <w:snapToGrid w:val="0"/>
          <w:kern w:val="0"/>
          <w:sz w:val="90"/>
        </w:rPr>
      </w:pPr>
      <w:r>
        <w:rPr>
          <w:rFonts w:hint="eastAsia" w:cs="仿宋" w:asciiTheme="minorEastAsia" w:hAnsiTheme="minorEastAsia" w:eastAsiaTheme="minorEastAsia"/>
          <w:b/>
          <w:bCs/>
          <w:snapToGrid w:val="0"/>
          <w:kern w:val="0"/>
          <w:sz w:val="90"/>
        </w:rPr>
        <w:t>招  标　文　件</w:t>
      </w:r>
    </w:p>
    <w:p>
      <w:pPr>
        <w:adjustRightInd w:val="0"/>
        <w:snapToGrid w:val="0"/>
        <w:spacing w:line="300" w:lineRule="auto"/>
        <w:jc w:val="center"/>
        <w:rPr>
          <w:rFonts w:cs="仿宋" w:asciiTheme="minorEastAsia" w:hAnsiTheme="minorEastAsia" w:eastAsiaTheme="minorEastAsia"/>
          <w:snapToGrid w:val="0"/>
          <w:kern w:val="0"/>
          <w:sz w:val="32"/>
        </w:rPr>
      </w:pPr>
    </w:p>
    <w:p>
      <w:pPr>
        <w:adjustRightInd w:val="0"/>
        <w:snapToGrid w:val="0"/>
        <w:spacing w:line="300" w:lineRule="auto"/>
        <w:jc w:val="center"/>
        <w:rPr>
          <w:rFonts w:cs="仿宋" w:asciiTheme="minorEastAsia" w:hAnsiTheme="minorEastAsia" w:eastAsiaTheme="minorEastAsia"/>
          <w:b/>
          <w:bCs/>
          <w:snapToGrid w:val="0"/>
          <w:kern w:val="0"/>
          <w:sz w:val="32"/>
        </w:rPr>
      </w:pPr>
    </w:p>
    <w:p>
      <w:pPr>
        <w:adjustRightInd w:val="0"/>
        <w:snapToGrid w:val="0"/>
        <w:spacing w:line="300" w:lineRule="auto"/>
        <w:jc w:val="center"/>
        <w:rPr>
          <w:rFonts w:cs="仿宋" w:asciiTheme="minorEastAsia" w:hAnsiTheme="minorEastAsia" w:eastAsiaTheme="minorEastAsia"/>
          <w:b/>
          <w:bCs/>
          <w:snapToGrid w:val="0"/>
          <w:kern w:val="0"/>
          <w:sz w:val="44"/>
        </w:rPr>
      </w:pPr>
      <w:r>
        <w:rPr>
          <w:rFonts w:hint="eastAsia" w:cs="仿宋" w:asciiTheme="minorEastAsia" w:hAnsiTheme="minorEastAsia" w:eastAsiaTheme="minorEastAsia"/>
          <w:b/>
          <w:bCs/>
          <w:snapToGrid w:val="0"/>
          <w:kern w:val="0"/>
          <w:sz w:val="32"/>
        </w:rPr>
        <w:t>项目编号：SZZZ2022-QC0488</w:t>
      </w:r>
    </w:p>
    <w:p>
      <w:pPr>
        <w:rPr>
          <w:rFonts w:cs="仿宋" w:asciiTheme="minorEastAsia" w:hAnsiTheme="minorEastAsia" w:eastAsiaTheme="minorEastAsia"/>
          <w:b/>
          <w:bCs/>
        </w:rPr>
      </w:pPr>
    </w:p>
    <w:p>
      <w:pPr>
        <w:rPr>
          <w:rFonts w:cs="仿宋" w:asciiTheme="minorEastAsia" w:hAnsiTheme="minorEastAsia" w:eastAsiaTheme="minorEastAsia"/>
          <w:b/>
          <w:bCs/>
        </w:rPr>
      </w:pPr>
    </w:p>
    <w:p>
      <w:pPr>
        <w:rPr>
          <w:rFonts w:cs="仿宋" w:asciiTheme="minorEastAsia" w:hAnsiTheme="minorEastAsia" w:eastAsiaTheme="minorEastAsia"/>
          <w:b/>
          <w:bCs/>
        </w:rPr>
      </w:pPr>
    </w:p>
    <w:p>
      <w:pPr>
        <w:pStyle w:val="2"/>
        <w:ind w:left="0" w:leftChars="0" w:firstLine="0" w:firstLineChars="0"/>
        <w:rPr>
          <w:b/>
          <w:bCs/>
        </w:rPr>
      </w:pPr>
    </w:p>
    <w:p>
      <w:pPr>
        <w:pStyle w:val="2"/>
        <w:ind w:firstLine="422"/>
        <w:rPr>
          <w:b/>
          <w:bCs/>
        </w:rPr>
      </w:pPr>
    </w:p>
    <w:p>
      <w:pPr>
        <w:rPr>
          <w:rFonts w:cs="仿宋" w:asciiTheme="minorEastAsia" w:hAnsiTheme="minorEastAsia" w:eastAsiaTheme="minorEastAsia"/>
          <w:b/>
          <w:bCs/>
        </w:rPr>
      </w:pPr>
    </w:p>
    <w:p>
      <w:pPr>
        <w:pStyle w:val="13"/>
        <w:adjustRightInd w:val="0"/>
        <w:snapToGrid w:val="0"/>
        <w:spacing w:line="300" w:lineRule="auto"/>
        <w:jc w:val="center"/>
        <w:rPr>
          <w:rFonts w:cs="仿宋" w:asciiTheme="minorEastAsia" w:hAnsiTheme="minorEastAsia" w:eastAsiaTheme="minorEastAsia"/>
          <w:b/>
          <w:bCs/>
          <w:snapToGrid w:val="0"/>
          <w:sz w:val="30"/>
        </w:rPr>
      </w:pPr>
      <w:r>
        <w:rPr>
          <w:rFonts w:hint="eastAsia" w:cs="仿宋" w:asciiTheme="minorEastAsia" w:hAnsiTheme="minorEastAsia" w:eastAsiaTheme="minorEastAsia"/>
          <w:b/>
          <w:bCs/>
          <w:snapToGrid w:val="0"/>
          <w:sz w:val="30"/>
        </w:rPr>
        <w:t>二〇二二年十二月</w:t>
      </w:r>
    </w:p>
    <w:p>
      <w:pPr>
        <w:widowControl/>
        <w:jc w:val="center"/>
        <w:rPr>
          <w:rFonts w:cs="仿宋" w:asciiTheme="minorEastAsia" w:hAnsiTheme="minorEastAsia" w:eastAsiaTheme="minorEastAsia"/>
          <w:snapToGrid w:val="0"/>
        </w:rPr>
      </w:pPr>
      <w:r>
        <w:rPr>
          <w:rFonts w:hint="eastAsia" w:cs="仿宋" w:asciiTheme="minorEastAsia" w:hAnsiTheme="minorEastAsia" w:eastAsiaTheme="minorEastAsia"/>
          <w:snapToGrid w:val="0"/>
        </w:rPr>
        <w:br w:type="page"/>
      </w:r>
    </w:p>
    <w:p>
      <w:pPr>
        <w:widowControl/>
        <w:rPr>
          <w:rFonts w:cs="仿宋" w:asciiTheme="minorEastAsia" w:hAnsiTheme="minorEastAsia" w:eastAsiaTheme="minorEastAsia"/>
          <w:snapToGrid w:val="0"/>
        </w:rPr>
      </w:pPr>
    </w:p>
    <w:p>
      <w:pPr>
        <w:widowControl/>
        <w:jc w:val="center"/>
        <w:rPr>
          <w:rFonts w:cs="仿宋" w:asciiTheme="minorEastAsia" w:hAnsiTheme="minorEastAsia" w:eastAsiaTheme="minorEastAsia"/>
          <w:snapToGrid w:val="0"/>
        </w:rPr>
      </w:pPr>
    </w:p>
    <w:p>
      <w:pPr>
        <w:widowControl/>
        <w:jc w:val="center"/>
        <w:rPr>
          <w:rFonts w:cs="仿宋" w:asciiTheme="minorEastAsia" w:hAnsiTheme="minorEastAsia" w:eastAsiaTheme="minorEastAsia"/>
          <w:b/>
          <w:bCs/>
          <w:snapToGrid w:val="0"/>
          <w:sz w:val="48"/>
          <w:szCs w:val="48"/>
        </w:rPr>
      </w:pPr>
      <w:r>
        <w:rPr>
          <w:rFonts w:hint="eastAsia" w:cs="仿宋" w:asciiTheme="minorEastAsia" w:hAnsiTheme="minorEastAsia" w:eastAsiaTheme="minorEastAsia"/>
          <w:b/>
          <w:bCs/>
          <w:snapToGrid w:val="0"/>
          <w:sz w:val="48"/>
          <w:szCs w:val="48"/>
        </w:rPr>
        <w:t>招标文件信息</w:t>
      </w:r>
    </w:p>
    <w:p>
      <w:pPr>
        <w:widowControl/>
        <w:jc w:val="left"/>
        <w:rPr>
          <w:rFonts w:cs="仿宋" w:asciiTheme="minorEastAsia" w:hAnsiTheme="minorEastAsia" w:eastAsiaTheme="minorEastAsia"/>
          <w:sz w:val="28"/>
        </w:rPr>
      </w:pPr>
    </w:p>
    <w:tbl>
      <w:tblPr>
        <w:tblStyle w:val="20"/>
        <w:tblW w:w="8774"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19"/>
        <w:gridCol w:w="6555"/>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项目名称</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深圳市公安局交警支队新能源汽车号牌试点工作配套改革创新项目第三方评测服务项目</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项目编号</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SZZZ2022-QC0488</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项目类型</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服务类</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采购方式</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公开征集</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是否评定分离</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否</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评审方法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综合评分法</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定标方法</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无</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中标候选人</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2219" w:type="dxa"/>
            <w:shd w:val="clear" w:color="auto" w:fill="DDD9C4" w:themeFill="background2" w:themeFillShade="E6"/>
            <w:vAlign w:val="center"/>
          </w:tcPr>
          <w:p>
            <w:pPr>
              <w:widowControl/>
              <w:spacing w:line="480" w:lineRule="auto"/>
              <w:jc w:val="center"/>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中标人</w:t>
            </w:r>
          </w:p>
        </w:tc>
        <w:tc>
          <w:tcPr>
            <w:tcW w:w="6555" w:type="dxa"/>
            <w:vAlign w:val="center"/>
          </w:tcPr>
          <w:p>
            <w:pPr>
              <w:widowControl/>
              <w:spacing w:line="48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1家</w:t>
            </w:r>
          </w:p>
        </w:tc>
      </w:tr>
    </w:tbl>
    <w:p>
      <w:pPr>
        <w:widowControl/>
        <w:jc w:val="left"/>
        <w:rPr>
          <w:rFonts w:cs="仿宋" w:asciiTheme="minorEastAsia" w:hAnsiTheme="minorEastAsia" w:eastAsiaTheme="minorEastAsia"/>
          <w:sz w:val="36"/>
        </w:rPr>
      </w:pPr>
      <w:r>
        <w:rPr>
          <w:rFonts w:hint="eastAsia" w:cs="仿宋" w:asciiTheme="minorEastAsia" w:hAnsiTheme="minorEastAsia" w:eastAsiaTheme="minorEastAsia"/>
          <w:sz w:val="36"/>
        </w:rPr>
        <w:br w:type="page"/>
      </w:r>
    </w:p>
    <w:p>
      <w:pPr>
        <w:spacing w:line="360" w:lineRule="auto"/>
        <w:jc w:val="center"/>
        <w:rPr>
          <w:rFonts w:cs="仿宋" w:asciiTheme="minorEastAsia" w:hAnsiTheme="minorEastAsia" w:eastAsiaTheme="minorEastAsia"/>
          <w:b/>
          <w:bCs/>
          <w:sz w:val="48"/>
          <w:szCs w:val="48"/>
        </w:rPr>
      </w:pPr>
      <w:r>
        <w:rPr>
          <w:rFonts w:hint="eastAsia" w:cs="仿宋" w:asciiTheme="minorEastAsia" w:hAnsiTheme="minorEastAsia" w:eastAsiaTheme="minorEastAsia"/>
          <w:b/>
          <w:bCs/>
          <w:sz w:val="48"/>
          <w:szCs w:val="48"/>
        </w:rPr>
        <w:t>招标文件目录</w:t>
      </w:r>
    </w:p>
    <w:p>
      <w:pPr>
        <w:jc w:val="center"/>
        <w:rPr>
          <w:rFonts w:cs="仿宋" w:asciiTheme="minorEastAsia" w:hAnsiTheme="minorEastAsia" w:eastAsiaTheme="minorEastAsia"/>
          <w:sz w:val="20"/>
        </w:rPr>
      </w:pPr>
    </w:p>
    <w:tbl>
      <w:tblPr>
        <w:tblStyle w:val="20"/>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26"/>
        <w:gridCol w:w="6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第一部分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投标须知前附表及评审信息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投标须知前附件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第二部分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采购项目需求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第三部分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投标文件格式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投标文件目录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格式1 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格式2 投标人资格证明文件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格式3评分中涉及的承诺及声明函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格式4 开标一览表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格式5 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格式6 服务方案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格式7 投标人情况介绍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格式8 偏离表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格式9 其他招标文件要求的资料或投标人认为需要补充的资料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第四部分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合同条款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第五部分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通用条款（投标须知）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A、说明；B、招标文件说明；C、投标文件的编写；</w:t>
            </w:r>
          </w:p>
          <w:p>
            <w:pPr>
              <w:widowControl/>
              <w:spacing w:line="360" w:lineRule="auto"/>
              <w:rPr>
                <w:rFonts w:ascii="仿宋_GB2312" w:eastAsia="仿宋_GB2312" w:cs="仿宋" w:hAnsiTheme="minorEastAsia"/>
                <w:sz w:val="24"/>
              </w:rPr>
            </w:pPr>
            <w:r>
              <w:rPr>
                <w:rFonts w:hint="eastAsia" w:ascii="仿宋_GB2312" w:eastAsia="仿宋_GB2312" w:cs="仿宋" w:hAnsiTheme="minorEastAsia"/>
                <w:sz w:val="24"/>
              </w:rPr>
              <w:t>D、投标文件递交；E、开标和评审；F、授予合同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b/>
                <w:bCs/>
                <w:sz w:val="24"/>
              </w:rPr>
            </w:pPr>
            <w:r>
              <w:rPr>
                <w:rFonts w:hint="eastAsia" w:ascii="仿宋_GB2312" w:eastAsia="仿宋_GB2312" w:cs="仿宋" w:hAnsiTheme="minorEastAsia"/>
                <w:b/>
                <w:bCs/>
                <w:sz w:val="24"/>
              </w:rPr>
              <w:t>第六部分</w:t>
            </w:r>
          </w:p>
        </w:tc>
        <w:tc>
          <w:tcPr>
            <w:tcW w:w="6996" w:type="dxa"/>
            <w:vAlign w:val="center"/>
          </w:tcPr>
          <w:p>
            <w:pPr>
              <w:widowControl/>
              <w:spacing w:line="360" w:lineRule="auto"/>
              <w:rPr>
                <w:rFonts w:ascii="仿宋_GB2312" w:eastAsia="仿宋_GB2312" w:cs="仿宋" w:hAnsiTheme="minorEastAsia"/>
                <w:b/>
                <w:bCs/>
                <w:sz w:val="24"/>
              </w:rPr>
            </w:pPr>
            <w:r>
              <w:rPr>
                <w:rFonts w:hint="eastAsia" w:ascii="仿宋_GB2312" w:eastAsia="仿宋_GB2312" w:cs="仿宋" w:hAnsiTheme="minorEastAsia"/>
                <w:b/>
                <w:bCs/>
                <w:sz w:val="24"/>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26" w:type="dxa"/>
            <w:vAlign w:val="center"/>
          </w:tcPr>
          <w:p>
            <w:pPr>
              <w:widowControl/>
              <w:spacing w:line="360" w:lineRule="auto"/>
              <w:jc w:val="center"/>
              <w:rPr>
                <w:rFonts w:ascii="仿宋_GB2312" w:eastAsia="仿宋_GB2312" w:cs="仿宋" w:hAnsiTheme="minorEastAsia"/>
                <w:sz w:val="24"/>
              </w:rPr>
            </w:pPr>
          </w:p>
        </w:tc>
        <w:tc>
          <w:tcPr>
            <w:tcW w:w="6996" w:type="dxa"/>
            <w:vAlign w:val="center"/>
          </w:tcPr>
          <w:p>
            <w:pPr>
              <w:spacing w:line="360" w:lineRule="auto"/>
              <w:rPr>
                <w:rFonts w:ascii="仿宋_GB2312" w:eastAsia="仿宋_GB2312" w:cs="仿宋" w:hAnsiTheme="minorEastAsia"/>
                <w:sz w:val="24"/>
              </w:rPr>
            </w:pPr>
            <w:r>
              <w:rPr>
                <w:rFonts w:hint="eastAsia" w:ascii="仿宋_GB2312" w:eastAsia="仿宋_GB2312" w:cs="仿宋" w:hAnsiTheme="minorEastAsia"/>
                <w:sz w:val="24"/>
              </w:rPr>
              <w:t>附件</w:t>
            </w:r>
            <w:bookmarkStart w:id="0" w:name="_Hlt229371809"/>
            <w:r>
              <w:rPr>
                <w:rFonts w:hint="eastAsia" w:ascii="仿宋_GB2312" w:eastAsia="仿宋_GB2312" w:cs="仿宋" w:hAnsiTheme="minorEastAsia"/>
                <w:sz w:val="24"/>
              </w:rPr>
              <w:t>1</w:t>
            </w:r>
            <w:bookmarkEnd w:id="0"/>
            <w:r>
              <w:rPr>
                <w:rFonts w:hint="eastAsia" w:ascii="仿宋_GB2312" w:eastAsia="仿宋_GB2312" w:cs="仿宋" w:hAnsiTheme="minorEastAsia"/>
                <w:sz w:val="24"/>
              </w:rPr>
              <w:t xml:space="preserve">  履</w:t>
            </w:r>
            <w:bookmarkStart w:id="1" w:name="_Hlt358023691"/>
            <w:r>
              <w:rPr>
                <w:rFonts w:hint="eastAsia" w:ascii="仿宋_GB2312" w:eastAsia="仿宋_GB2312" w:cs="仿宋" w:hAnsiTheme="minorEastAsia"/>
                <w:sz w:val="24"/>
              </w:rPr>
              <w:t>约</w:t>
            </w:r>
            <w:bookmarkEnd w:id="1"/>
            <w:r>
              <w:rPr>
                <w:rFonts w:hint="eastAsia" w:ascii="仿宋_GB2312" w:eastAsia="仿宋_GB2312" w:cs="仿宋" w:hAnsiTheme="minorEastAsia"/>
                <w:sz w:val="24"/>
              </w:rPr>
              <w:t>保</w:t>
            </w:r>
            <w:bookmarkStart w:id="2" w:name="_Hlt356375839"/>
            <w:bookmarkStart w:id="3" w:name="_Hlt356375840"/>
            <w:r>
              <w:rPr>
                <w:rFonts w:hint="eastAsia" w:ascii="仿宋_GB2312" w:eastAsia="仿宋_GB2312" w:cs="仿宋" w:hAnsiTheme="minorEastAsia"/>
                <w:sz w:val="24"/>
              </w:rPr>
              <w:t>证</w:t>
            </w:r>
            <w:bookmarkEnd w:id="2"/>
            <w:bookmarkEnd w:id="3"/>
            <w:r>
              <w:rPr>
                <w:rFonts w:hint="eastAsia" w:ascii="仿宋_GB2312" w:eastAsia="仿宋_GB2312" w:cs="仿宋" w:hAnsiTheme="minorEastAsia"/>
                <w:sz w:val="24"/>
              </w:rPr>
              <w:t>金</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left"/>
        <w:rPr>
          <w:rFonts w:cs="仿宋" w:asciiTheme="minorEastAsia" w:hAnsiTheme="minorEastAsia" w:eastAsiaTheme="minorEastAsia"/>
        </w:rPr>
      </w:pPr>
    </w:p>
    <w:p>
      <w:pPr>
        <w:rPr>
          <w:rFonts w:cs="仿宋" w:asciiTheme="minorEastAsia" w:hAnsiTheme="minorEastAsia" w:eastAsiaTheme="minorEastAsia"/>
        </w:rPr>
      </w:pPr>
    </w:p>
    <w:p>
      <w:pPr>
        <w:pStyle w:val="4"/>
        <w:keepNext w:val="0"/>
        <w:rPr>
          <w:rFonts w:cs="仿宋" w:asciiTheme="minorEastAsia" w:hAnsiTheme="minorEastAsia" w:eastAsiaTheme="minorEastAsia"/>
          <w:snapToGrid w:val="0"/>
          <w:color w:val="auto"/>
          <w:kern w:val="0"/>
          <w:sz w:val="72"/>
        </w:rPr>
      </w:pPr>
    </w:p>
    <w:p>
      <w:pPr>
        <w:pStyle w:val="4"/>
        <w:keepNext w:val="0"/>
        <w:rPr>
          <w:rFonts w:cs="仿宋" w:asciiTheme="minorEastAsia" w:hAnsiTheme="minorEastAsia" w:eastAsiaTheme="minorEastAsia"/>
          <w:snapToGrid w:val="0"/>
          <w:color w:val="auto"/>
          <w:kern w:val="0"/>
          <w:sz w:val="72"/>
        </w:rPr>
      </w:pPr>
    </w:p>
    <w:p>
      <w:pPr>
        <w:pStyle w:val="4"/>
        <w:keepNext w:val="0"/>
        <w:rPr>
          <w:rFonts w:cs="仿宋" w:asciiTheme="minorEastAsia" w:hAnsiTheme="minorEastAsia" w:eastAsiaTheme="minorEastAsia"/>
          <w:snapToGrid w:val="0"/>
          <w:color w:val="auto"/>
          <w:kern w:val="0"/>
          <w:sz w:val="72"/>
        </w:rPr>
      </w:pPr>
    </w:p>
    <w:p>
      <w:pPr>
        <w:pStyle w:val="4"/>
        <w:keepNext w:val="0"/>
        <w:rPr>
          <w:rFonts w:cs="仿宋" w:asciiTheme="minorEastAsia" w:hAnsiTheme="minorEastAsia" w:eastAsiaTheme="minorEastAsia"/>
          <w:snapToGrid w:val="0"/>
          <w:color w:val="auto"/>
          <w:kern w:val="0"/>
          <w:sz w:val="72"/>
        </w:rPr>
      </w:pPr>
    </w:p>
    <w:p>
      <w:pPr>
        <w:pStyle w:val="4"/>
        <w:keepNext w:val="0"/>
        <w:rPr>
          <w:rFonts w:cs="仿宋" w:asciiTheme="minorEastAsia" w:hAnsiTheme="minorEastAsia" w:eastAsiaTheme="minorEastAsia"/>
          <w:snapToGrid w:val="0"/>
          <w:color w:val="auto"/>
          <w:kern w:val="0"/>
          <w:sz w:val="72"/>
        </w:rPr>
      </w:pPr>
    </w:p>
    <w:p>
      <w:pPr>
        <w:pStyle w:val="4"/>
        <w:keepNext w:val="0"/>
        <w:rPr>
          <w:rFonts w:cs="仿宋" w:asciiTheme="minorEastAsia" w:hAnsiTheme="minorEastAsia" w:eastAsiaTheme="minorEastAsia"/>
          <w:b/>
          <w:bCs/>
          <w:snapToGrid w:val="0"/>
          <w:color w:val="auto"/>
          <w:kern w:val="0"/>
          <w:sz w:val="72"/>
        </w:rPr>
      </w:pPr>
      <w:r>
        <w:rPr>
          <w:rFonts w:hint="eastAsia" w:cs="仿宋" w:asciiTheme="minorEastAsia" w:hAnsiTheme="minorEastAsia" w:eastAsiaTheme="minorEastAsia"/>
          <w:b/>
          <w:bCs/>
          <w:snapToGrid w:val="0"/>
          <w:color w:val="auto"/>
          <w:kern w:val="0"/>
          <w:sz w:val="96"/>
        </w:rPr>
        <w:t>采购公告</w:t>
      </w:r>
    </w:p>
    <w:p>
      <w:pPr>
        <w:rPr>
          <w:rFonts w:cs="仿宋" w:asciiTheme="minorEastAsia" w:hAnsiTheme="minorEastAsia" w:eastAsiaTheme="minorEastAsia"/>
          <w:snapToGrid w:val="0"/>
          <w:kern w:val="0"/>
          <w:szCs w:val="20"/>
        </w:rPr>
      </w:pPr>
      <w:r>
        <w:rPr>
          <w:rFonts w:hint="eastAsia" w:cs="仿宋" w:asciiTheme="minorEastAsia" w:hAnsiTheme="minorEastAsia" w:eastAsiaTheme="minorEastAsia"/>
          <w:snapToGrid w:val="0"/>
          <w:kern w:val="0"/>
        </w:rPr>
        <w:br w:type="page"/>
      </w:r>
    </w:p>
    <w:p>
      <w:pPr>
        <w:jc w:val="center"/>
        <w:rPr>
          <w:rFonts w:ascii="仿宋_GB2312" w:hAnsi="黑体" w:eastAsia="仿宋_GB2312" w:cs="仿宋"/>
          <w:b/>
          <w:bCs/>
          <w:snapToGrid w:val="0"/>
          <w:kern w:val="0"/>
          <w:sz w:val="32"/>
          <w:szCs w:val="32"/>
        </w:rPr>
      </w:pPr>
      <w:r>
        <w:rPr>
          <w:rFonts w:hint="eastAsia" w:ascii="仿宋_GB2312" w:hAnsi="黑体" w:eastAsia="仿宋_GB2312" w:cs="仿宋"/>
          <w:b/>
          <w:bCs/>
          <w:snapToGrid w:val="0"/>
          <w:kern w:val="0"/>
          <w:sz w:val="32"/>
          <w:szCs w:val="32"/>
        </w:rPr>
        <w:t>深圳市公安局交警支队新能源汽车号牌试点工作配套改革创新项目第三方评测服务</w:t>
      </w:r>
      <w:bookmarkStart w:id="12" w:name="_GoBack"/>
      <w:bookmarkEnd w:id="12"/>
      <w:r>
        <w:rPr>
          <w:rFonts w:hint="eastAsia" w:ascii="仿宋_GB2312" w:hAnsi="黑体" w:eastAsia="仿宋_GB2312" w:cs="仿宋"/>
          <w:b/>
          <w:bCs/>
          <w:snapToGrid w:val="0"/>
          <w:kern w:val="0"/>
          <w:sz w:val="32"/>
          <w:szCs w:val="32"/>
        </w:rPr>
        <w:t>项目采购公告</w:t>
      </w:r>
    </w:p>
    <w:p>
      <w:pPr>
        <w:spacing w:line="360" w:lineRule="auto"/>
        <w:rPr>
          <w:rFonts w:cs="仿宋" w:asciiTheme="minorEastAsia" w:hAnsiTheme="minorEastAsia" w:eastAsiaTheme="minorEastAsia"/>
          <w:sz w:val="24"/>
          <w:szCs w:val="24"/>
        </w:rPr>
      </w:pP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b/>
          <w:bCs/>
          <w:szCs w:val="21"/>
        </w:rPr>
        <w:t>一、项目概况</w:t>
      </w:r>
    </w:p>
    <w:p>
      <w:pPr>
        <w:spacing w:line="360" w:lineRule="auto"/>
        <w:ind w:firstLine="424" w:firstLineChars="202"/>
        <w:rPr>
          <w:rFonts w:cs="仿宋" w:asciiTheme="minorEastAsia" w:hAnsiTheme="minorEastAsia" w:eastAsiaTheme="minorEastAsia"/>
          <w:szCs w:val="21"/>
        </w:rPr>
      </w:pPr>
      <w:r>
        <w:rPr>
          <w:rFonts w:hint="eastAsia" w:cs="仿宋" w:asciiTheme="minorEastAsia" w:hAnsiTheme="minorEastAsia" w:eastAsiaTheme="minorEastAsia"/>
          <w:szCs w:val="21"/>
          <w:u w:val="single"/>
        </w:rPr>
        <w:t>深圳市公安局交警支队新能源汽车号牌试点工作配套改革创新项目第三方评测服务项目</w:t>
      </w:r>
      <w:r>
        <w:rPr>
          <w:rFonts w:hint="eastAsia" w:cs="仿宋" w:asciiTheme="minorEastAsia" w:hAnsiTheme="minorEastAsia" w:eastAsiaTheme="minorEastAsia"/>
          <w:szCs w:val="21"/>
        </w:rPr>
        <w:t>的潜在投标人应在</w:t>
      </w:r>
      <w:r>
        <w:rPr>
          <w:rFonts w:hint="eastAsia" w:cs="仿宋" w:asciiTheme="minorEastAsia" w:hAnsiTheme="minorEastAsia" w:eastAsiaTheme="minorEastAsia"/>
          <w:szCs w:val="21"/>
          <w:u w:val="single"/>
        </w:rPr>
        <w:t>深圳市中正招标有限公司</w:t>
      </w:r>
      <w:r>
        <w:rPr>
          <w:rFonts w:hint="eastAsia" w:cs="仿宋" w:asciiTheme="minorEastAsia" w:hAnsiTheme="minorEastAsia" w:eastAsiaTheme="minorEastAsia"/>
          <w:szCs w:val="21"/>
        </w:rPr>
        <w:t>获取招标文件，并于</w:t>
      </w:r>
      <w:r>
        <w:rPr>
          <w:rFonts w:hint="eastAsia" w:cs="仿宋" w:asciiTheme="minorEastAsia" w:hAnsiTheme="minorEastAsia" w:eastAsiaTheme="minorEastAsia"/>
          <w:szCs w:val="21"/>
          <w:u w:val="single"/>
        </w:rPr>
        <w:t>202</w:t>
      </w:r>
      <w:r>
        <w:rPr>
          <w:rFonts w:hint="eastAsia" w:cs="仿宋" w:asciiTheme="minorEastAsia" w:hAnsiTheme="minorEastAsia" w:eastAsiaTheme="minorEastAsia"/>
          <w:szCs w:val="21"/>
          <w:u w:val="single"/>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u w:val="single"/>
          <w:lang w:val="en-US" w:eastAsia="zh-CN"/>
        </w:rPr>
        <w:t>01</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u w:val="single"/>
          <w:lang w:val="en-US" w:eastAsia="zh-CN"/>
        </w:rPr>
        <w:t>04</w:t>
      </w:r>
      <w:r>
        <w:rPr>
          <w:rFonts w:hint="eastAsia" w:cs="仿宋" w:asciiTheme="minorEastAsia" w:hAnsiTheme="minorEastAsia" w:eastAsiaTheme="minorEastAsia"/>
          <w:szCs w:val="21"/>
        </w:rPr>
        <w:t>日</w:t>
      </w:r>
      <w:r>
        <w:rPr>
          <w:rFonts w:hint="eastAsia" w:cs="仿宋" w:asciiTheme="minorEastAsia" w:hAnsiTheme="minorEastAsia" w:eastAsiaTheme="minorEastAsia"/>
          <w:szCs w:val="21"/>
          <w:u w:val="single"/>
          <w:lang w:val="en-US" w:eastAsia="zh-CN"/>
        </w:rPr>
        <w:t>15</w:t>
      </w:r>
      <w:r>
        <w:rPr>
          <w:rFonts w:hint="eastAsia" w:cs="仿宋" w:asciiTheme="minorEastAsia" w:hAnsiTheme="minorEastAsia" w:eastAsiaTheme="minorEastAsia"/>
          <w:szCs w:val="21"/>
        </w:rPr>
        <w:t>点</w:t>
      </w:r>
      <w:r>
        <w:rPr>
          <w:rFonts w:hint="eastAsia" w:cs="仿宋" w:asciiTheme="minorEastAsia" w:hAnsiTheme="minorEastAsia" w:eastAsiaTheme="minorEastAsia"/>
          <w:szCs w:val="21"/>
          <w:u w:val="single"/>
        </w:rPr>
        <w:t>00</w:t>
      </w:r>
      <w:r>
        <w:rPr>
          <w:rFonts w:hint="eastAsia" w:cs="仿宋" w:asciiTheme="minorEastAsia" w:hAnsiTheme="minorEastAsia" w:eastAsiaTheme="minorEastAsia"/>
          <w:szCs w:val="21"/>
        </w:rPr>
        <w:t>分（北京时间）前递交投标文件。</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二、项目基本情况</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1、项目编号：SZZZ2022-QC0488</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2、项目名称：深圳市公安局交警支队新能源汽车号牌试点工作配套改革创新项目第三方评测服务项目</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3、预算金额：人民币32万元</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4、最高限价：人民币32万元</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5、采购方式：公开征集</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6、采购需求：</w:t>
      </w:r>
    </w:p>
    <w:tbl>
      <w:tblPr>
        <w:tblStyle w:val="19"/>
        <w:tblW w:w="851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4389"/>
        <w:gridCol w:w="934"/>
        <w:gridCol w:w="20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8" w:type="dxa"/>
            <w:shd w:val="clear" w:color="auto" w:fill="C6D9F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序号</w:t>
            </w:r>
          </w:p>
        </w:tc>
        <w:tc>
          <w:tcPr>
            <w:tcW w:w="4389" w:type="dxa"/>
            <w:shd w:val="clear" w:color="auto" w:fill="C6D9F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标的名称</w:t>
            </w:r>
          </w:p>
        </w:tc>
        <w:tc>
          <w:tcPr>
            <w:tcW w:w="934" w:type="dxa"/>
            <w:shd w:val="clear" w:color="auto" w:fill="C6D9F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数量</w:t>
            </w:r>
          </w:p>
        </w:tc>
        <w:tc>
          <w:tcPr>
            <w:tcW w:w="2028" w:type="dxa"/>
            <w:shd w:val="clear" w:color="auto" w:fill="C6D9F1"/>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简要技术需求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1168"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4389"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深圳市公安局交警支队新能源汽车号牌试点工作配套改革创新项目第三方评测服务项目</w:t>
            </w:r>
          </w:p>
        </w:tc>
        <w:tc>
          <w:tcPr>
            <w:tcW w:w="934"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1项</w:t>
            </w:r>
          </w:p>
        </w:tc>
        <w:tc>
          <w:tcPr>
            <w:tcW w:w="2028"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详见附件内容</w:t>
            </w:r>
          </w:p>
        </w:tc>
      </w:tr>
    </w:tbl>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7、合同履行期限：详见招标文件。</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8、是否联合体：本项目不接受联合体投标。</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三、申请人的资格要求</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1、须是在中华人民共和国境内注册的法人或其他组织【须提供合法有效的营业执照或法人证书等证明材料的扫描件或复印件加盖投标人公章，原件备查】；</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2、参与本项目的投标人须满足《中华人民共和国政府采购法》第二十二条规定【由投标人按招标文件规定的格式在《承诺函》中作出声明】；</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3、参与本项目采购活动前三年内，在经营活动中没有重大违法记录【由投标人按招标文件规定的格式在《承诺函》中作出声明】；</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4、参与本项目政府采购活动时不存在被有关部门禁止参与政府采购活动且在有效期内的情况【由投标人按招标文件规定的格式在《承诺函》中作出声明】；</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5、除单一来源采购项目外，为采购项目提供整体设计、规范编制或者项目管理、监理、检测等服务的人，不得再参加该采购项目的其他采购活动【须按本项目招标文件格式要求提供《承诺函》加盖投标人公章】；</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6、单位负责人为同一人或者存在直接控股、管理关系的不同投标人，不得参加同一合同项下的采购活动【投标人须提供国家企业信用信息公示系统（https://www.gsxt.gov.cn/index.html）或机关赋码和事业单位登记管理网（http://www.gjsy.gov.cn/sydwfrxxcx/）或全国社会组织信用信息公示平台（https://xxgs.chinanpo.mca.gov.cn/gsxt/newList）网站供应商信息查询截图，并按本项目招标文件格式要求提供《承诺函》加盖投标人公章】；</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7、参与本项目的投标人未被列入失信被执行人、重大税收违法案件当事人名单和政府采购严重违法失信行为记录名单【通过“信用中国”（www.creditchina.gov.cn）“信用服务”栏的“重大税收违法失信主体”、“失信被执行人”，“中国政府采购”（www.ccgp.gov.cn）“政府采购严重违法失信行为记录名单”，“深圳信用网”（www.szcredit.com.cn）以及“深圳市政府采购监管网”（http://zfcg.sz.gov.cn）为信用信息查询渠道。投标人自行查询并提供查询结果截图，查询时间为本项目采购公告发布之日起至投标截止时间前】；</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8、本项目不接受联合体投标，不允许分包或转包。</w:t>
      </w:r>
    </w:p>
    <w:p>
      <w:pPr>
        <w:pStyle w:val="2"/>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四、获取招标文件</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1、时间：</w:t>
      </w:r>
      <w:r>
        <w:rPr>
          <w:rFonts w:hint="eastAsia" w:cs="仿宋" w:asciiTheme="minorEastAsia" w:hAnsiTheme="minorEastAsia" w:eastAsiaTheme="minorEastAsia"/>
          <w:szCs w:val="21"/>
          <w:u w:val="single"/>
        </w:rPr>
        <w:t>2022</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u w:val="single"/>
        </w:rPr>
        <w:t>12</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u w:val="single"/>
          <w:lang w:val="en-US" w:eastAsia="zh-CN"/>
        </w:rPr>
        <w:t>29</w:t>
      </w:r>
      <w:r>
        <w:rPr>
          <w:rFonts w:hint="eastAsia" w:cs="仿宋" w:asciiTheme="minorEastAsia" w:hAnsiTheme="minorEastAsia" w:eastAsiaTheme="minorEastAsia"/>
          <w:szCs w:val="21"/>
        </w:rPr>
        <w:t>日至</w:t>
      </w:r>
      <w:r>
        <w:rPr>
          <w:rFonts w:hint="eastAsia" w:cs="仿宋" w:asciiTheme="minorEastAsia" w:hAnsiTheme="minorEastAsia" w:eastAsiaTheme="minorEastAsia"/>
          <w:szCs w:val="21"/>
          <w:u w:val="single"/>
        </w:rPr>
        <w:t>202</w:t>
      </w:r>
      <w:r>
        <w:rPr>
          <w:rFonts w:hint="eastAsia" w:cs="仿宋" w:asciiTheme="minorEastAsia" w:hAnsiTheme="minorEastAsia" w:eastAsiaTheme="minorEastAsia"/>
          <w:szCs w:val="21"/>
          <w:u w:val="single"/>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u w:val="single"/>
          <w:lang w:val="en-US" w:eastAsia="zh-CN"/>
        </w:rPr>
        <w:t>01</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u w:val="single"/>
          <w:lang w:val="en-US" w:eastAsia="zh-CN"/>
        </w:rPr>
        <w:t>03</w:t>
      </w:r>
      <w:r>
        <w:rPr>
          <w:rFonts w:hint="eastAsia" w:cs="仿宋" w:asciiTheme="minorEastAsia" w:hAnsiTheme="minorEastAsia" w:eastAsiaTheme="minorEastAsia"/>
          <w:szCs w:val="21"/>
        </w:rPr>
        <w:t>日</w:t>
      </w:r>
      <w:r>
        <w:rPr>
          <w:rFonts w:hint="eastAsia" w:cs="仿宋" w:asciiTheme="minorEastAsia" w:hAnsiTheme="minorEastAsia" w:eastAsiaTheme="minorEastAsia"/>
          <w:szCs w:val="21"/>
          <w:u w:val="single"/>
        </w:rPr>
        <w:t>12</w:t>
      </w:r>
      <w:r>
        <w:rPr>
          <w:rFonts w:hint="eastAsia" w:cs="仿宋" w:asciiTheme="minorEastAsia" w:hAnsiTheme="minorEastAsia" w:eastAsiaTheme="minorEastAsia"/>
          <w:szCs w:val="21"/>
        </w:rPr>
        <w:t>时</w:t>
      </w:r>
      <w:r>
        <w:rPr>
          <w:rFonts w:hint="eastAsia" w:cs="仿宋" w:asciiTheme="minorEastAsia" w:hAnsiTheme="minorEastAsia" w:eastAsiaTheme="minorEastAsia"/>
          <w:szCs w:val="21"/>
          <w:u w:val="single"/>
        </w:rPr>
        <w:t>00</w:t>
      </w:r>
      <w:r>
        <w:rPr>
          <w:rFonts w:hint="eastAsia" w:cs="仿宋" w:asciiTheme="minorEastAsia" w:hAnsiTheme="minorEastAsia" w:eastAsiaTheme="minorEastAsia"/>
          <w:szCs w:val="21"/>
        </w:rPr>
        <w:t>分截止，每天上午</w:t>
      </w:r>
      <w:r>
        <w:rPr>
          <w:rFonts w:hint="eastAsia" w:cs="仿宋" w:asciiTheme="minorEastAsia" w:hAnsiTheme="minorEastAsia" w:eastAsiaTheme="minorEastAsia"/>
          <w:szCs w:val="21"/>
          <w:u w:val="single"/>
        </w:rPr>
        <w:t>09</w:t>
      </w:r>
      <w:r>
        <w:rPr>
          <w:rFonts w:hint="eastAsia" w:cs="仿宋" w:asciiTheme="minorEastAsia" w:hAnsiTheme="minorEastAsia" w:eastAsiaTheme="minorEastAsia"/>
          <w:szCs w:val="21"/>
        </w:rPr>
        <w:t>时至</w:t>
      </w:r>
      <w:r>
        <w:rPr>
          <w:rFonts w:hint="eastAsia" w:cs="仿宋" w:asciiTheme="minorEastAsia" w:hAnsiTheme="minorEastAsia" w:eastAsiaTheme="minorEastAsia"/>
          <w:szCs w:val="21"/>
          <w:u w:val="single"/>
        </w:rPr>
        <w:t>11</w:t>
      </w:r>
      <w:r>
        <w:rPr>
          <w:rFonts w:hint="eastAsia" w:cs="仿宋" w:asciiTheme="minorEastAsia" w:hAnsiTheme="minorEastAsia" w:eastAsiaTheme="minorEastAsia"/>
          <w:szCs w:val="21"/>
        </w:rPr>
        <w:t>时</w:t>
      </w:r>
      <w:r>
        <w:rPr>
          <w:rFonts w:hint="eastAsia" w:cs="仿宋" w:asciiTheme="minorEastAsia" w:hAnsiTheme="minorEastAsia" w:eastAsiaTheme="minorEastAsia"/>
          <w:szCs w:val="21"/>
          <w:u w:val="single"/>
        </w:rPr>
        <w:t>30</w:t>
      </w:r>
      <w:r>
        <w:rPr>
          <w:rFonts w:hint="eastAsia" w:cs="仿宋" w:asciiTheme="minorEastAsia" w:hAnsiTheme="minorEastAsia" w:eastAsiaTheme="minorEastAsia"/>
          <w:szCs w:val="21"/>
        </w:rPr>
        <w:t>分，下午</w:t>
      </w:r>
      <w:r>
        <w:rPr>
          <w:rFonts w:hint="eastAsia" w:cs="仿宋" w:asciiTheme="minorEastAsia" w:hAnsiTheme="minorEastAsia" w:eastAsiaTheme="minorEastAsia"/>
          <w:szCs w:val="21"/>
          <w:u w:val="single"/>
        </w:rPr>
        <w:t>02</w:t>
      </w:r>
      <w:r>
        <w:rPr>
          <w:rFonts w:hint="eastAsia" w:cs="仿宋" w:asciiTheme="minorEastAsia" w:hAnsiTheme="minorEastAsia" w:eastAsiaTheme="minorEastAsia"/>
          <w:szCs w:val="21"/>
        </w:rPr>
        <w:t>时</w:t>
      </w:r>
      <w:r>
        <w:rPr>
          <w:rFonts w:hint="eastAsia" w:cs="仿宋" w:asciiTheme="minorEastAsia" w:hAnsiTheme="minorEastAsia" w:eastAsiaTheme="minorEastAsia"/>
          <w:szCs w:val="21"/>
          <w:u w:val="single"/>
        </w:rPr>
        <w:t>30</w:t>
      </w:r>
      <w:r>
        <w:rPr>
          <w:rFonts w:hint="eastAsia" w:cs="仿宋" w:asciiTheme="minorEastAsia" w:hAnsiTheme="minorEastAsia" w:eastAsiaTheme="minorEastAsia"/>
          <w:szCs w:val="21"/>
        </w:rPr>
        <w:t>分至</w:t>
      </w:r>
      <w:r>
        <w:rPr>
          <w:rFonts w:hint="eastAsia" w:cs="仿宋" w:asciiTheme="minorEastAsia" w:hAnsiTheme="minorEastAsia" w:eastAsiaTheme="minorEastAsia"/>
          <w:szCs w:val="21"/>
          <w:u w:val="single"/>
        </w:rPr>
        <w:t>05</w:t>
      </w:r>
      <w:r>
        <w:rPr>
          <w:rFonts w:hint="eastAsia" w:cs="仿宋" w:asciiTheme="minorEastAsia" w:hAnsiTheme="minorEastAsia" w:eastAsiaTheme="minorEastAsia"/>
          <w:szCs w:val="21"/>
        </w:rPr>
        <w:t>时</w:t>
      </w:r>
      <w:r>
        <w:rPr>
          <w:rFonts w:hint="eastAsia" w:cs="仿宋" w:asciiTheme="minorEastAsia" w:hAnsiTheme="minorEastAsia" w:eastAsiaTheme="minorEastAsia"/>
          <w:szCs w:val="21"/>
          <w:u w:val="single"/>
        </w:rPr>
        <w:t>30</w:t>
      </w:r>
      <w:r>
        <w:rPr>
          <w:rFonts w:hint="eastAsia" w:cs="仿宋" w:asciiTheme="minorEastAsia" w:hAnsiTheme="minorEastAsia" w:eastAsiaTheme="minorEastAsia"/>
          <w:szCs w:val="21"/>
        </w:rPr>
        <w:t>分（北京时间，法定节假日除外）</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2、地点：深圳市福田区民田路171号新华保险大厦903中正招标（中正官网www.szzzt.com）</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3、方式：现场报名投标或网上报名投标</w:t>
      </w:r>
    </w:p>
    <w:p>
      <w:pPr>
        <w:spacing w:line="360" w:lineRule="auto"/>
        <w:ind w:left="2" w:firstLine="365" w:firstLineChars="174"/>
        <w:rPr>
          <w:rFonts w:cs="仿宋" w:asciiTheme="minorEastAsia" w:hAnsiTheme="minorEastAsia" w:eastAsiaTheme="minorEastAsia"/>
          <w:szCs w:val="21"/>
        </w:rPr>
      </w:pPr>
      <w:r>
        <w:rPr>
          <w:rFonts w:hint="eastAsia" w:cs="仿宋" w:asciiTheme="minorEastAsia" w:hAnsiTheme="minorEastAsia" w:eastAsiaTheme="minorEastAsia"/>
          <w:szCs w:val="21"/>
        </w:rPr>
        <w:t>备注：① 现场报名投标：须携带营业执照复印件或扫描件和法人授权委托书原件（均加盖公章）。</w:t>
      </w:r>
    </w:p>
    <w:p>
      <w:pPr>
        <w:spacing w:line="360" w:lineRule="auto"/>
        <w:ind w:left="2" w:firstLine="365" w:firstLineChars="174"/>
        <w:rPr>
          <w:rFonts w:cs="仿宋" w:asciiTheme="minorEastAsia" w:hAnsiTheme="minorEastAsia" w:eastAsiaTheme="minorEastAsia"/>
          <w:szCs w:val="21"/>
        </w:rPr>
      </w:pPr>
      <w:r>
        <w:rPr>
          <w:rFonts w:hint="eastAsia" w:cs="仿宋" w:asciiTheme="minorEastAsia" w:hAnsiTheme="minorEastAsia" w:eastAsiaTheme="minorEastAsia"/>
          <w:szCs w:val="21"/>
        </w:rPr>
        <w:t>② 网上报名投标：发送报名资料至我司邮箱进行报名登记及获取招标文件，邮箱地址：qtszzzzb@163.com。</w:t>
      </w:r>
    </w:p>
    <w:p>
      <w:pPr>
        <w:spacing w:line="360" w:lineRule="auto"/>
        <w:ind w:left="2" w:firstLine="365" w:firstLineChars="174"/>
        <w:rPr>
          <w:rFonts w:cs="仿宋" w:asciiTheme="minorEastAsia" w:hAnsiTheme="minorEastAsia" w:eastAsiaTheme="minorEastAsia"/>
          <w:szCs w:val="21"/>
        </w:rPr>
      </w:pPr>
      <w:r>
        <w:rPr>
          <w:rFonts w:hint="eastAsia" w:cs="仿宋" w:asciiTheme="minorEastAsia" w:hAnsiTheme="minorEastAsia" w:eastAsiaTheme="minorEastAsia"/>
          <w:szCs w:val="21"/>
        </w:rPr>
        <w:t>报名投标邮件需附以下资料: 1）加盖公章的《购买标书登记表》（下载地址：“www.szzzt.com”首页“下载中心”）；2）加盖公章的营业执照复印件扫描件；3）法人授权委托书扫描件；4）购买招标文件费用银行转帐凭证。报名时间以邮件发出时间为准，工作人员将在第二个工作日与报名投标资料完整的投标人联系。</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4、售价：人民币600元，招标文件售后不退。</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购买招标文件账号信息如下：</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银行账号：03003729353</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开户名称：深圳市中正招标有限公司</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开户银行：上海银行深圳天安支行</w:t>
      </w:r>
    </w:p>
    <w:p>
      <w:pPr>
        <w:spacing w:line="360" w:lineRule="auto"/>
        <w:ind w:firstLine="371" w:firstLineChars="177"/>
        <w:rPr>
          <w:rFonts w:cs="仿宋" w:asciiTheme="minorEastAsia" w:hAnsiTheme="minorEastAsia" w:eastAsiaTheme="minorEastAsia"/>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五、提交投标文件截止时间、开标时间和地点</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1、时间：</w:t>
      </w:r>
      <w:r>
        <w:rPr>
          <w:rFonts w:hint="eastAsia" w:cs="仿宋" w:asciiTheme="minorEastAsia" w:hAnsiTheme="minorEastAsia" w:eastAsiaTheme="minorEastAsia"/>
          <w:szCs w:val="21"/>
          <w:u w:val="single"/>
        </w:rPr>
        <w:t>202</w:t>
      </w:r>
      <w:r>
        <w:rPr>
          <w:rFonts w:hint="eastAsia" w:cs="仿宋" w:asciiTheme="minorEastAsia" w:hAnsiTheme="minorEastAsia" w:eastAsiaTheme="minorEastAsia"/>
          <w:szCs w:val="21"/>
          <w:u w:val="single"/>
          <w:lang w:val="en-US" w:eastAsia="zh-CN"/>
        </w:rPr>
        <w:t>3</w:t>
      </w:r>
      <w:r>
        <w:rPr>
          <w:rFonts w:hint="eastAsia" w:cs="仿宋" w:asciiTheme="minorEastAsia" w:hAnsiTheme="minorEastAsia" w:eastAsiaTheme="minorEastAsia"/>
          <w:szCs w:val="21"/>
        </w:rPr>
        <w:t>年</w:t>
      </w:r>
      <w:r>
        <w:rPr>
          <w:rFonts w:hint="eastAsia" w:cs="仿宋" w:asciiTheme="minorEastAsia" w:hAnsiTheme="minorEastAsia" w:eastAsiaTheme="minorEastAsia"/>
          <w:szCs w:val="21"/>
          <w:u w:val="single"/>
          <w:lang w:val="en-US" w:eastAsia="zh-CN"/>
        </w:rPr>
        <w:t>01</w:t>
      </w:r>
      <w:r>
        <w:rPr>
          <w:rFonts w:hint="eastAsia" w:cs="仿宋" w:asciiTheme="minorEastAsia" w:hAnsiTheme="minorEastAsia" w:eastAsiaTheme="minorEastAsia"/>
          <w:szCs w:val="21"/>
        </w:rPr>
        <w:t>月</w:t>
      </w:r>
      <w:r>
        <w:rPr>
          <w:rFonts w:hint="eastAsia" w:cs="仿宋" w:asciiTheme="minorEastAsia" w:hAnsiTheme="minorEastAsia" w:eastAsiaTheme="minorEastAsia"/>
          <w:szCs w:val="21"/>
          <w:u w:val="single"/>
          <w:lang w:val="en-US" w:eastAsia="zh-CN"/>
        </w:rPr>
        <w:t>04</w:t>
      </w:r>
      <w:r>
        <w:rPr>
          <w:rFonts w:hint="eastAsia" w:cs="仿宋" w:asciiTheme="minorEastAsia" w:hAnsiTheme="minorEastAsia" w:eastAsiaTheme="minorEastAsia"/>
          <w:szCs w:val="21"/>
        </w:rPr>
        <w:t>日</w:t>
      </w:r>
      <w:r>
        <w:rPr>
          <w:rFonts w:hint="eastAsia" w:cs="仿宋" w:asciiTheme="minorEastAsia" w:hAnsiTheme="minorEastAsia" w:eastAsiaTheme="minorEastAsia"/>
          <w:szCs w:val="21"/>
          <w:u w:val="single"/>
          <w:lang w:val="en-US" w:eastAsia="zh-CN"/>
        </w:rPr>
        <w:t>15</w:t>
      </w:r>
      <w:r>
        <w:rPr>
          <w:rFonts w:hint="eastAsia" w:cs="仿宋" w:asciiTheme="minorEastAsia" w:hAnsiTheme="minorEastAsia" w:eastAsiaTheme="minorEastAsia"/>
          <w:szCs w:val="21"/>
        </w:rPr>
        <w:t>点</w:t>
      </w:r>
      <w:r>
        <w:rPr>
          <w:rFonts w:hint="eastAsia" w:cs="仿宋" w:asciiTheme="minorEastAsia" w:hAnsiTheme="minorEastAsia" w:eastAsiaTheme="minorEastAsia"/>
          <w:szCs w:val="21"/>
          <w:u w:val="single"/>
        </w:rPr>
        <w:t>00</w:t>
      </w:r>
      <w:r>
        <w:rPr>
          <w:rFonts w:hint="eastAsia" w:cs="仿宋" w:asciiTheme="minorEastAsia" w:hAnsiTheme="minorEastAsia" w:eastAsiaTheme="minorEastAsia"/>
          <w:szCs w:val="21"/>
        </w:rPr>
        <w:t>分（北京时间）</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2、地点：深圳市福田区民田路171号新华保险大厦903中正招标</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备注：投标人可以通过快递方式在投标截止时间前将《投标文件》送达到我司，快递单上应清晰写明投标人名称、项目编号和项目名称，递交时间为送达我司由我司工作人员签收的时间；投标人未参加现场开标的，视同认可开标结果。</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六、公告期限</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自本公告发布之日起5个日历日</w:t>
      </w:r>
    </w:p>
    <w:p>
      <w:pPr>
        <w:spacing w:line="360" w:lineRule="auto"/>
        <w:rPr>
          <w:rFonts w:cs="仿宋" w:asciiTheme="minorEastAsia" w:hAnsiTheme="minorEastAsia" w:eastAsiaTheme="minorEastAsia"/>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七、其他补充事宜</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1、本项目需要落实的政府采购政策：《财政部工业和信息化部关于印发《政府采购促进中小企业发展管理办法》的通知》(财库〔2020〕46号)、《关于政府采购支持监狱企业发展有关问题的通知》(财库〔2014〕68号)、《关于促进残疾人就业政府采购政策的通知》（财库〔2017〕141号)。</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2、本项目相关公告在以下媒体发布：</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① 深圳公共资源交易中心网（www.szzfcg.cn）</w:t>
      </w:r>
    </w:p>
    <w:p>
      <w:pPr>
        <w:spacing w:line="360" w:lineRule="auto"/>
        <w:ind w:firstLine="371" w:firstLineChars="177"/>
        <w:rPr>
          <w:rFonts w:cs="仿宋" w:asciiTheme="minorEastAsia" w:hAnsiTheme="minorEastAsia" w:eastAsiaTheme="minorEastAsia"/>
          <w:szCs w:val="21"/>
        </w:rPr>
      </w:pPr>
      <w:r>
        <w:rPr>
          <w:rFonts w:cs="仿宋" w:asciiTheme="minorEastAsia" w:hAnsiTheme="minorEastAsia" w:eastAsiaTheme="minorEastAsia"/>
          <w:szCs w:val="21"/>
        </w:rPr>
        <w:fldChar w:fldCharType="begin"/>
      </w:r>
      <w:r>
        <w:rPr>
          <w:rFonts w:cs="仿宋" w:asciiTheme="minorEastAsia" w:hAnsiTheme="minorEastAsia" w:eastAsiaTheme="minorEastAsia"/>
          <w:szCs w:val="21"/>
        </w:rPr>
        <w:instrText xml:space="preserve"> </w:instrText>
      </w:r>
      <w:r>
        <w:rPr>
          <w:rFonts w:hint="eastAsia" w:cs="仿宋" w:asciiTheme="minorEastAsia" w:hAnsiTheme="minorEastAsia" w:eastAsiaTheme="minorEastAsia"/>
          <w:szCs w:val="21"/>
        </w:rPr>
        <w:instrText xml:space="preserve">= 2 \* GB3</w:instrText>
      </w:r>
      <w:r>
        <w:rPr>
          <w:rFonts w:cs="仿宋" w:asciiTheme="minorEastAsia" w:hAnsiTheme="minorEastAsia" w:eastAsiaTheme="minorEastAsia"/>
          <w:szCs w:val="21"/>
        </w:rPr>
        <w:instrText xml:space="preserve"> </w:instrText>
      </w:r>
      <w:r>
        <w:rPr>
          <w:rFonts w:cs="仿宋" w:asciiTheme="minorEastAsia" w:hAnsiTheme="minorEastAsia" w:eastAsiaTheme="minorEastAsia"/>
          <w:szCs w:val="21"/>
        </w:rPr>
        <w:fldChar w:fldCharType="separate"/>
      </w:r>
      <w:r>
        <w:rPr>
          <w:rFonts w:hint="eastAsia" w:cs="仿宋" w:asciiTheme="minorEastAsia" w:hAnsiTheme="minorEastAsia" w:eastAsiaTheme="minorEastAsia"/>
          <w:szCs w:val="21"/>
        </w:rPr>
        <w:t>②</w:t>
      </w:r>
      <w:r>
        <w:rPr>
          <w:rFonts w:cs="仿宋" w:asciiTheme="minorEastAsia" w:hAnsiTheme="minorEastAsia" w:eastAsiaTheme="minorEastAsia"/>
          <w:szCs w:val="21"/>
        </w:rPr>
        <w:fldChar w:fldCharType="end"/>
      </w:r>
      <w:r>
        <w:rPr>
          <w:rFonts w:hint="eastAsia" w:cs="仿宋" w:asciiTheme="minorEastAsia" w:hAnsiTheme="minorEastAsia" w:eastAsiaTheme="minorEastAsia"/>
          <w:szCs w:val="21"/>
        </w:rPr>
        <w:t xml:space="preserve"> 采购代理机构网站（www.szzzt.com）</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相关公告在以上媒体上公布之日即视为有效送达，不再另行通知。</w:t>
      </w:r>
    </w:p>
    <w:p>
      <w:pPr>
        <w:spacing w:line="360" w:lineRule="auto"/>
        <w:rPr>
          <w:rFonts w:cs="仿宋" w:asciiTheme="minorEastAsia" w:hAnsiTheme="minorEastAsia" w:eastAsiaTheme="minorEastAsia"/>
          <w:b/>
          <w:bCs/>
          <w:szCs w:val="21"/>
        </w:rPr>
      </w:pPr>
    </w:p>
    <w:p>
      <w:pPr>
        <w:spacing w:line="360" w:lineRule="auto"/>
        <w:rPr>
          <w:rFonts w:cs="仿宋" w:asciiTheme="minorEastAsia" w:hAnsiTheme="minorEastAsia" w:eastAsiaTheme="minorEastAsia"/>
          <w:b/>
          <w:bCs/>
          <w:szCs w:val="21"/>
        </w:rPr>
      </w:pPr>
      <w:r>
        <w:rPr>
          <w:rFonts w:hint="eastAsia" w:cs="仿宋" w:asciiTheme="minorEastAsia" w:hAnsiTheme="minorEastAsia" w:eastAsiaTheme="minorEastAsia"/>
          <w:b/>
          <w:bCs/>
          <w:szCs w:val="21"/>
        </w:rPr>
        <w:t>八、本项目联系方式</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1、采购人信息</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名　    称：深圳市公安局交通警察局</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地　    址：福田区莲花支路1006号</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2、采购代理机构信息</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名　   称：深圳市中正招标有限公司</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地　   址：深圳市福田区民田路171号新华保险大厦903</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联系 方式：杨工，0755-83026699</w:t>
      </w:r>
    </w:p>
    <w:p>
      <w:pPr>
        <w:spacing w:line="360" w:lineRule="auto"/>
        <w:jc w:val="left"/>
        <w:rPr>
          <w:rFonts w:cs="仿宋" w:asciiTheme="minorEastAsia" w:hAnsiTheme="minorEastAsia" w:eastAsiaTheme="minorEastAsia"/>
          <w:b/>
          <w:bCs/>
          <w:szCs w:val="21"/>
        </w:rPr>
      </w:pPr>
    </w:p>
    <w:p>
      <w:pPr>
        <w:spacing w:line="360" w:lineRule="auto"/>
        <w:jc w:val="left"/>
        <w:rPr>
          <w:rFonts w:cs="仿宋" w:asciiTheme="minorEastAsia" w:hAnsiTheme="minorEastAsia" w:eastAsiaTheme="minorEastAsia"/>
          <w:b/>
          <w:bCs/>
          <w:szCs w:val="21"/>
        </w:rPr>
      </w:pPr>
      <w:r>
        <w:rPr>
          <w:rFonts w:hint="eastAsia" w:cs="仿宋" w:asciiTheme="minorEastAsia" w:hAnsiTheme="minorEastAsia" w:eastAsiaTheme="minorEastAsia"/>
          <w:b/>
          <w:bCs/>
          <w:szCs w:val="21"/>
        </w:rPr>
        <w:t>九、附件</w:t>
      </w:r>
    </w:p>
    <w:p>
      <w:pPr>
        <w:spacing w:line="360" w:lineRule="auto"/>
        <w:ind w:firstLine="411" w:firstLineChars="196"/>
        <w:jc w:val="left"/>
        <w:rPr>
          <w:rFonts w:cs="仿宋" w:asciiTheme="minorEastAsia" w:hAnsiTheme="minorEastAsia" w:eastAsiaTheme="minorEastAsia"/>
          <w:szCs w:val="21"/>
        </w:rPr>
      </w:pPr>
      <w:r>
        <w:rPr>
          <w:rFonts w:hint="eastAsia" w:cs="仿宋" w:asciiTheme="minorEastAsia" w:hAnsiTheme="minorEastAsia" w:eastAsiaTheme="minorEastAsia"/>
          <w:szCs w:val="21"/>
        </w:rPr>
        <w:t>招标文件</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（附件内容请登陆采购代理机构官网下载查阅）</w:t>
      </w:r>
    </w:p>
    <w:p>
      <w:pPr>
        <w:spacing w:line="360" w:lineRule="auto"/>
        <w:rPr>
          <w:rFonts w:cs="仿宋" w:asciiTheme="minorEastAsia" w:hAnsiTheme="minorEastAsia" w:eastAsiaTheme="minorEastAsia"/>
          <w:szCs w:val="21"/>
        </w:rPr>
      </w:pPr>
    </w:p>
    <w:p>
      <w:pPr>
        <w:spacing w:line="360" w:lineRule="auto"/>
        <w:ind w:firstLine="743" w:firstLineChars="354"/>
        <w:jc w:val="right"/>
        <w:rPr>
          <w:rFonts w:cs="仿宋" w:asciiTheme="minorEastAsia" w:hAnsiTheme="minorEastAsia" w:eastAsiaTheme="minorEastAsia"/>
          <w:szCs w:val="21"/>
        </w:rPr>
      </w:pPr>
      <w:r>
        <w:rPr>
          <w:rFonts w:hint="eastAsia" w:cs="仿宋" w:asciiTheme="minorEastAsia" w:hAnsiTheme="minorEastAsia" w:eastAsiaTheme="minorEastAsia"/>
          <w:szCs w:val="21"/>
        </w:rPr>
        <w:t>深圳市中正招标有限公司</w:t>
      </w:r>
    </w:p>
    <w:p>
      <w:pPr>
        <w:spacing w:line="360" w:lineRule="auto"/>
        <w:ind w:firstLine="743" w:firstLineChars="354"/>
        <w:jc w:val="right"/>
        <w:rPr>
          <w:rFonts w:cs="仿宋" w:asciiTheme="minorEastAsia" w:hAnsiTheme="minorEastAsia" w:eastAsiaTheme="minorEastAsia"/>
          <w:szCs w:val="21"/>
        </w:rPr>
      </w:pPr>
      <w:r>
        <w:rPr>
          <w:rFonts w:hint="eastAsia" w:cs="仿宋" w:asciiTheme="minorEastAsia" w:hAnsiTheme="minorEastAsia" w:eastAsiaTheme="minorEastAsia"/>
          <w:szCs w:val="21"/>
        </w:rPr>
        <w:t>2022年12月</w:t>
      </w:r>
      <w:r>
        <w:rPr>
          <w:rFonts w:hint="eastAsia" w:cs="仿宋" w:asciiTheme="minorEastAsia" w:hAnsiTheme="minorEastAsia" w:eastAsiaTheme="minorEastAsia"/>
          <w:szCs w:val="21"/>
          <w:lang w:val="en-US" w:eastAsia="zh-CN"/>
        </w:rPr>
        <w:t>29</w:t>
      </w:r>
      <w:r>
        <w:rPr>
          <w:rFonts w:hint="eastAsia" w:cs="仿宋" w:asciiTheme="minorEastAsia" w:hAnsiTheme="minorEastAsia" w:eastAsiaTheme="minorEastAsia"/>
          <w:szCs w:val="21"/>
        </w:rPr>
        <w:t>日</w:t>
      </w:r>
    </w:p>
    <w:p>
      <w:pPr>
        <w:widowControl/>
        <w:jc w:val="left"/>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第一部分</w:t>
      </w:r>
    </w:p>
    <w:p>
      <w:pPr>
        <w:spacing w:line="360" w:lineRule="auto"/>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投标须知前附表及评审信息</w:t>
      </w:r>
    </w:p>
    <w:p>
      <w:pPr>
        <w:widowControl/>
        <w:jc w:val="left"/>
        <w:rPr>
          <w:rFonts w:cs="仿宋" w:asciiTheme="minorEastAsia" w:hAnsiTheme="minorEastAsia" w:eastAsiaTheme="minorEastAsia"/>
          <w:snapToGrid w:val="0"/>
          <w:kern w:val="0"/>
          <w:sz w:val="72"/>
        </w:rPr>
      </w:pPr>
      <w:r>
        <w:rPr>
          <w:rFonts w:hint="eastAsia" w:cs="仿宋" w:asciiTheme="minorEastAsia" w:hAnsiTheme="minorEastAsia" w:eastAsiaTheme="minorEastAsia"/>
          <w:snapToGrid w:val="0"/>
          <w:kern w:val="0"/>
          <w:sz w:val="7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投标须知前附表</w:t>
      </w:r>
    </w:p>
    <w:tbl>
      <w:tblPr>
        <w:tblStyle w:val="19"/>
        <w:tblW w:w="891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883"/>
        <w:gridCol w:w="1548"/>
        <w:gridCol w:w="585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blHeader/>
          <w:jc w:val="center"/>
        </w:trPr>
        <w:tc>
          <w:tcPr>
            <w:tcW w:w="629" w:type="dxa"/>
            <w:tcBorders>
              <w:top w:val="double" w:color="auto" w:sz="4" w:space="0"/>
              <w:bottom w:val="single" w:color="auto" w:sz="4" w:space="0"/>
            </w:tcBorders>
            <w:shd w:val="clear" w:color="auto" w:fill="C6D9F0" w:themeFill="text2" w:themeFillTint="33"/>
            <w:vAlign w:val="center"/>
          </w:tcPr>
          <w:p>
            <w:pPr>
              <w:pStyle w:val="12"/>
              <w:spacing w:line="360" w:lineRule="auto"/>
              <w:jc w:val="center"/>
              <w:rPr>
                <w:rFonts w:cs="仿宋" w:asciiTheme="minorEastAsia" w:hAnsiTheme="minorEastAsia"/>
                <w:b/>
                <w:bCs/>
              </w:rPr>
            </w:pPr>
            <w:r>
              <w:rPr>
                <w:rFonts w:hint="eastAsia" w:cs="仿宋" w:asciiTheme="minorEastAsia" w:hAnsiTheme="minorEastAsia"/>
                <w:b/>
                <w:bCs/>
              </w:rPr>
              <w:t>项号</w:t>
            </w:r>
          </w:p>
        </w:tc>
        <w:tc>
          <w:tcPr>
            <w:tcW w:w="883" w:type="dxa"/>
            <w:tcBorders>
              <w:top w:val="double" w:color="auto" w:sz="4" w:space="0"/>
              <w:bottom w:val="single" w:color="auto" w:sz="4" w:space="0"/>
            </w:tcBorders>
            <w:shd w:val="clear" w:color="auto" w:fill="C6D9F0" w:themeFill="text2" w:themeFillTint="33"/>
            <w:vAlign w:val="center"/>
          </w:tcPr>
          <w:p>
            <w:pPr>
              <w:pStyle w:val="12"/>
              <w:spacing w:line="360" w:lineRule="auto"/>
              <w:jc w:val="center"/>
              <w:rPr>
                <w:rFonts w:cs="仿宋" w:asciiTheme="minorEastAsia" w:hAnsiTheme="minorEastAsia"/>
                <w:b/>
                <w:bCs/>
              </w:rPr>
            </w:pPr>
            <w:r>
              <w:rPr>
                <w:rFonts w:hint="eastAsia" w:cs="仿宋" w:asciiTheme="minorEastAsia" w:hAnsiTheme="minorEastAsia"/>
                <w:b/>
                <w:bCs/>
              </w:rPr>
              <w:t>条款号</w:t>
            </w:r>
          </w:p>
        </w:tc>
        <w:tc>
          <w:tcPr>
            <w:tcW w:w="1548" w:type="dxa"/>
            <w:tcBorders>
              <w:top w:val="double" w:color="auto" w:sz="4" w:space="0"/>
              <w:bottom w:val="single" w:color="auto" w:sz="4" w:space="0"/>
            </w:tcBorders>
            <w:shd w:val="clear" w:color="auto" w:fill="C6D9F0" w:themeFill="text2" w:themeFillTint="33"/>
            <w:vAlign w:val="center"/>
          </w:tcPr>
          <w:p>
            <w:pPr>
              <w:pStyle w:val="12"/>
              <w:spacing w:line="360" w:lineRule="auto"/>
              <w:jc w:val="center"/>
              <w:rPr>
                <w:rFonts w:cs="仿宋" w:asciiTheme="minorEastAsia" w:hAnsiTheme="minorEastAsia"/>
                <w:b/>
                <w:bCs/>
              </w:rPr>
            </w:pPr>
            <w:r>
              <w:rPr>
                <w:rFonts w:hint="eastAsia" w:cs="仿宋" w:asciiTheme="minorEastAsia" w:hAnsiTheme="minorEastAsia"/>
                <w:b/>
                <w:bCs/>
              </w:rPr>
              <w:t>内容</w:t>
            </w:r>
          </w:p>
        </w:tc>
        <w:tc>
          <w:tcPr>
            <w:tcW w:w="5856" w:type="dxa"/>
            <w:tcBorders>
              <w:top w:val="double" w:color="auto" w:sz="4" w:space="0"/>
              <w:bottom w:val="single" w:color="auto" w:sz="4" w:space="0"/>
            </w:tcBorders>
            <w:shd w:val="clear" w:color="auto" w:fill="C6D9F0" w:themeFill="text2" w:themeFillTint="33"/>
            <w:vAlign w:val="center"/>
          </w:tcPr>
          <w:p>
            <w:pPr>
              <w:pStyle w:val="12"/>
              <w:spacing w:line="360" w:lineRule="auto"/>
              <w:jc w:val="center"/>
              <w:rPr>
                <w:rFonts w:cs="仿宋" w:asciiTheme="minorEastAsia" w:hAnsiTheme="minorEastAsia"/>
                <w:b/>
                <w:bCs/>
              </w:rPr>
            </w:pPr>
            <w:r>
              <w:rPr>
                <w:rFonts w:hint="eastAsia" w:cs="仿宋" w:asciiTheme="minorEastAsia" w:hAnsiTheme="minorEastAsia"/>
                <w:b/>
                <w:bCs/>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tcBorders>
              <w:top w:val="single" w:color="auto" w:sz="4" w:space="0"/>
            </w:tcBorders>
            <w:vAlign w:val="center"/>
          </w:tcPr>
          <w:p>
            <w:pPr>
              <w:pStyle w:val="12"/>
              <w:spacing w:line="360" w:lineRule="auto"/>
              <w:jc w:val="center"/>
              <w:rPr>
                <w:rFonts w:cs="仿宋" w:asciiTheme="minorEastAsia" w:hAnsiTheme="minorEastAsia"/>
              </w:rPr>
            </w:pPr>
            <w:r>
              <w:rPr>
                <w:rFonts w:hint="eastAsia" w:cs="仿宋" w:asciiTheme="minorEastAsia" w:hAnsiTheme="minorEastAsia"/>
              </w:rPr>
              <w:t>1</w:t>
            </w:r>
          </w:p>
        </w:tc>
        <w:tc>
          <w:tcPr>
            <w:tcW w:w="883" w:type="dxa"/>
            <w:tcBorders>
              <w:top w:val="single" w:color="auto" w:sz="4" w:space="0"/>
            </w:tcBorders>
            <w:vAlign w:val="center"/>
          </w:tcPr>
          <w:p>
            <w:pPr>
              <w:pStyle w:val="12"/>
              <w:spacing w:line="360" w:lineRule="auto"/>
              <w:jc w:val="center"/>
              <w:rPr>
                <w:rFonts w:cs="仿宋" w:asciiTheme="minorEastAsia" w:hAnsiTheme="minorEastAsia"/>
              </w:rPr>
            </w:pPr>
            <w:r>
              <w:rPr>
                <w:rFonts w:hint="eastAsia" w:cs="仿宋" w:asciiTheme="minorEastAsia" w:hAnsiTheme="minorEastAsia"/>
              </w:rPr>
              <w:t>1.1</w:t>
            </w:r>
          </w:p>
        </w:tc>
        <w:tc>
          <w:tcPr>
            <w:tcW w:w="1548" w:type="dxa"/>
            <w:tcBorders>
              <w:top w:val="single" w:color="auto" w:sz="4" w:space="0"/>
            </w:tcBorders>
            <w:vAlign w:val="center"/>
          </w:tcPr>
          <w:p>
            <w:pPr>
              <w:pStyle w:val="12"/>
              <w:spacing w:line="360" w:lineRule="auto"/>
              <w:jc w:val="center"/>
              <w:rPr>
                <w:rFonts w:cs="仿宋" w:asciiTheme="minorEastAsia" w:hAnsiTheme="minorEastAsia"/>
              </w:rPr>
            </w:pPr>
            <w:r>
              <w:rPr>
                <w:rFonts w:hint="eastAsia" w:cs="仿宋" w:asciiTheme="minorEastAsia" w:hAnsiTheme="minorEastAsia"/>
              </w:rPr>
              <w:t>项目名称</w:t>
            </w:r>
          </w:p>
        </w:tc>
        <w:tc>
          <w:tcPr>
            <w:tcW w:w="5856" w:type="dxa"/>
            <w:tcBorders>
              <w:top w:val="single" w:color="auto" w:sz="4" w:space="0"/>
            </w:tcBorders>
            <w:vAlign w:val="center"/>
          </w:tcPr>
          <w:p>
            <w:pPr>
              <w:pStyle w:val="12"/>
              <w:spacing w:line="360" w:lineRule="auto"/>
              <w:rPr>
                <w:rFonts w:cs="仿宋" w:asciiTheme="minorEastAsia" w:hAnsiTheme="minorEastAsia"/>
              </w:rPr>
            </w:pPr>
            <w:r>
              <w:rPr>
                <w:rFonts w:hint="eastAsia" w:cs="仿宋" w:asciiTheme="minorEastAsia" w:hAnsiTheme="minorEastAsia"/>
              </w:rPr>
              <w:t>深圳市公安局交警支队新能源汽车号牌试点工作配套改革创新项目第三方评测服务项目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2</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2.1</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采购人名称</w:t>
            </w:r>
          </w:p>
        </w:tc>
        <w:tc>
          <w:tcPr>
            <w:tcW w:w="5856"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深圳市公安局交通警察局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3</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2.2</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采购代理机构</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4</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3.1</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资金来源</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财政</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5</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4.7</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投标人资格要求</w:t>
            </w:r>
          </w:p>
        </w:tc>
        <w:tc>
          <w:tcPr>
            <w:tcW w:w="5856" w:type="dxa"/>
            <w:vAlign w:val="center"/>
          </w:tcPr>
          <w:p>
            <w:pPr>
              <w:spacing w:line="300" w:lineRule="auto"/>
              <w:rPr>
                <w:rFonts w:ascii="宋体" w:hAnsi="宋体"/>
                <w:szCs w:val="21"/>
              </w:rPr>
            </w:pPr>
            <w:r>
              <w:rPr>
                <w:rFonts w:hint="eastAsia" w:ascii="宋体" w:hAnsi="宋体"/>
                <w:szCs w:val="21"/>
              </w:rPr>
              <w:t>详见采购公告“申请人的资格要求”</w:t>
            </w:r>
            <w:r>
              <w:rPr>
                <w:rFonts w:ascii="宋体" w:hAnsi="宋体"/>
                <w:szCs w:val="21"/>
              </w:rPr>
              <w:t xml:space="preserve"> </w:t>
            </w:r>
          </w:p>
          <w:p>
            <w:pPr>
              <w:spacing w:line="400" w:lineRule="exact"/>
              <w:rPr>
                <w:rFonts w:cs="仿宋" w:asciiTheme="minorEastAsia" w:hAnsiTheme="minorEastAsia"/>
                <w:szCs w:val="21"/>
              </w:rPr>
            </w:pPr>
            <w:r>
              <w:rPr>
                <w:rFonts w:hint="eastAsia" w:ascii="Times New Roman" w:hAnsi="宋体"/>
                <w:szCs w:val="21"/>
              </w:rPr>
              <w:t>（资格证明文件详见第三部分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6</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6.1</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踏勘现场</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7</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14.1</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投标文件有效期</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90天（日历日）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8</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15.2</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项目保证金</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本项目不收取项目保证金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10</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17.1</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投标文件份数</w:t>
            </w:r>
          </w:p>
        </w:tc>
        <w:tc>
          <w:tcPr>
            <w:tcW w:w="5856" w:type="dxa"/>
            <w:vAlign w:val="center"/>
          </w:tcPr>
          <w:p>
            <w:pPr>
              <w:pStyle w:val="12"/>
              <w:rPr>
                <w:rFonts w:cs="仿宋" w:asciiTheme="minorEastAsia" w:hAnsiTheme="minorEastAsia"/>
              </w:rPr>
            </w:pPr>
            <w:r>
              <w:rPr>
                <w:rFonts w:hint="eastAsia" w:cs="仿宋" w:asciiTheme="minorEastAsia" w:hAnsiTheme="minorEastAsia"/>
              </w:rPr>
              <w:t>正本2份，副本 4 份，投标文件正文扫描件电子档2份。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11</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18.8</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开标</w:t>
            </w:r>
          </w:p>
        </w:tc>
        <w:tc>
          <w:tcPr>
            <w:tcW w:w="5856" w:type="dxa"/>
            <w:vAlign w:val="center"/>
          </w:tcPr>
          <w:p>
            <w:pPr>
              <w:pStyle w:val="12"/>
              <w:rPr>
                <w:rFonts w:cs="仿宋" w:asciiTheme="minorEastAsia" w:hAnsiTheme="minorEastAsia"/>
                <w:highlight w:val="none"/>
              </w:rPr>
            </w:pPr>
            <w:r>
              <w:rPr>
                <w:rFonts w:hint="eastAsia" w:cs="仿宋" w:asciiTheme="minorEastAsia" w:hAnsiTheme="minorEastAsia"/>
                <w:highlight w:val="none"/>
              </w:rPr>
              <w:t>时间：</w:t>
            </w:r>
            <w:r>
              <w:rPr>
                <w:rFonts w:hint="eastAsia" w:cs="仿宋" w:asciiTheme="minorEastAsia" w:hAnsiTheme="minorEastAsia"/>
                <w:snapToGrid w:val="0"/>
                <w:highlight w:val="none"/>
              </w:rPr>
              <w:t>202</w:t>
            </w:r>
            <w:r>
              <w:rPr>
                <w:rFonts w:hint="eastAsia" w:cs="仿宋" w:asciiTheme="minorEastAsia" w:hAnsiTheme="minorEastAsia"/>
                <w:snapToGrid w:val="0"/>
                <w:highlight w:val="none"/>
                <w:lang w:val="en-US" w:eastAsia="zh-CN"/>
              </w:rPr>
              <w:t>3</w:t>
            </w:r>
            <w:r>
              <w:rPr>
                <w:rFonts w:hint="eastAsia" w:cs="仿宋" w:asciiTheme="minorEastAsia" w:hAnsiTheme="minorEastAsia"/>
                <w:snapToGrid w:val="0"/>
                <w:highlight w:val="none"/>
              </w:rPr>
              <w:t>年</w:t>
            </w:r>
            <w:r>
              <w:rPr>
                <w:rFonts w:hint="eastAsia" w:cs="仿宋" w:asciiTheme="minorEastAsia" w:hAnsiTheme="minorEastAsia"/>
                <w:snapToGrid w:val="0"/>
                <w:highlight w:val="none"/>
                <w:lang w:val="en-US" w:eastAsia="zh-CN"/>
              </w:rPr>
              <w:t>01</w:t>
            </w:r>
            <w:r>
              <w:rPr>
                <w:rFonts w:hint="eastAsia" w:cs="仿宋" w:asciiTheme="minorEastAsia" w:hAnsiTheme="minorEastAsia"/>
                <w:snapToGrid w:val="0"/>
                <w:highlight w:val="none"/>
              </w:rPr>
              <w:t>月</w:t>
            </w:r>
            <w:r>
              <w:rPr>
                <w:rFonts w:hint="eastAsia" w:cs="仿宋" w:asciiTheme="minorEastAsia" w:hAnsiTheme="minorEastAsia"/>
                <w:snapToGrid w:val="0"/>
                <w:highlight w:val="none"/>
                <w:lang w:val="en-US" w:eastAsia="zh-CN"/>
              </w:rPr>
              <w:t>04</w:t>
            </w:r>
            <w:r>
              <w:rPr>
                <w:rFonts w:hint="eastAsia" w:cs="仿宋" w:asciiTheme="minorEastAsia" w:hAnsiTheme="minorEastAsia"/>
                <w:snapToGrid w:val="0"/>
                <w:highlight w:val="none"/>
              </w:rPr>
              <w:t>日</w:t>
            </w:r>
            <w:r>
              <w:rPr>
                <w:rFonts w:hint="eastAsia" w:cs="仿宋" w:asciiTheme="minorEastAsia" w:hAnsiTheme="minorEastAsia"/>
                <w:snapToGrid w:val="0"/>
                <w:highlight w:val="none"/>
                <w:lang w:val="en-US" w:eastAsia="zh-CN"/>
              </w:rPr>
              <w:t>15</w:t>
            </w:r>
            <w:r>
              <w:rPr>
                <w:rFonts w:hint="eastAsia" w:cs="仿宋" w:asciiTheme="minorEastAsia" w:hAnsiTheme="minorEastAsia"/>
                <w:snapToGrid w:val="0"/>
                <w:highlight w:val="none"/>
              </w:rPr>
              <w:t>：00时（北京时间）</w:t>
            </w:r>
          </w:p>
          <w:p>
            <w:pPr>
              <w:pStyle w:val="12"/>
              <w:spacing w:line="360" w:lineRule="auto"/>
              <w:ind w:left="4" w:hanging="4" w:hangingChars="2"/>
              <w:rPr>
                <w:rFonts w:cs="仿宋" w:asciiTheme="minorEastAsia" w:hAnsiTheme="minorEastAsia"/>
                <w:highlight w:val="none"/>
              </w:rPr>
            </w:pPr>
            <w:r>
              <w:rPr>
                <w:rFonts w:hint="eastAsia" w:cs="仿宋" w:asciiTheme="minorEastAsia" w:hAnsiTheme="minorEastAsia"/>
                <w:highlight w:val="none"/>
              </w:rPr>
              <w:t>地点：深圳市福田区民田路171号新华保险大厦903中正招标开标室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12</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19.2</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投标文件截止时间</w:t>
            </w:r>
          </w:p>
        </w:tc>
        <w:tc>
          <w:tcPr>
            <w:tcW w:w="5856" w:type="dxa"/>
            <w:vAlign w:val="center"/>
          </w:tcPr>
          <w:p>
            <w:pPr>
              <w:pStyle w:val="12"/>
              <w:spacing w:line="360" w:lineRule="auto"/>
              <w:rPr>
                <w:rFonts w:cs="仿宋" w:asciiTheme="minorEastAsia" w:hAnsiTheme="minorEastAsia"/>
                <w:highlight w:val="none"/>
              </w:rPr>
            </w:pPr>
            <w:r>
              <w:rPr>
                <w:rFonts w:hint="eastAsia" w:cs="仿宋" w:asciiTheme="minorEastAsia" w:hAnsiTheme="minorEastAsia"/>
                <w:snapToGrid w:val="0"/>
                <w:highlight w:val="none"/>
              </w:rPr>
              <w:t>202</w:t>
            </w:r>
            <w:r>
              <w:rPr>
                <w:rFonts w:hint="eastAsia" w:cs="仿宋" w:asciiTheme="minorEastAsia" w:hAnsiTheme="minorEastAsia"/>
                <w:snapToGrid w:val="0"/>
                <w:highlight w:val="none"/>
                <w:lang w:val="en-US" w:eastAsia="zh-CN"/>
              </w:rPr>
              <w:t>3</w:t>
            </w:r>
            <w:r>
              <w:rPr>
                <w:rFonts w:hint="eastAsia" w:cs="仿宋" w:asciiTheme="minorEastAsia" w:hAnsiTheme="minorEastAsia"/>
                <w:snapToGrid w:val="0"/>
                <w:highlight w:val="none"/>
              </w:rPr>
              <w:t>年</w:t>
            </w:r>
            <w:r>
              <w:rPr>
                <w:rFonts w:hint="eastAsia" w:cs="仿宋" w:asciiTheme="minorEastAsia" w:hAnsiTheme="minorEastAsia"/>
                <w:snapToGrid w:val="0"/>
                <w:highlight w:val="none"/>
                <w:lang w:val="en-US" w:eastAsia="zh-CN"/>
              </w:rPr>
              <w:t>01</w:t>
            </w:r>
            <w:r>
              <w:rPr>
                <w:rFonts w:hint="eastAsia" w:cs="仿宋" w:asciiTheme="minorEastAsia" w:hAnsiTheme="minorEastAsia"/>
                <w:snapToGrid w:val="0"/>
                <w:highlight w:val="none"/>
              </w:rPr>
              <w:t>月</w:t>
            </w:r>
            <w:r>
              <w:rPr>
                <w:rFonts w:hint="eastAsia" w:cs="仿宋" w:asciiTheme="minorEastAsia" w:hAnsiTheme="minorEastAsia"/>
                <w:snapToGrid w:val="0"/>
                <w:highlight w:val="none"/>
                <w:lang w:val="en-US" w:eastAsia="zh-CN"/>
              </w:rPr>
              <w:t>04</w:t>
            </w:r>
            <w:r>
              <w:rPr>
                <w:rFonts w:hint="eastAsia" w:cs="仿宋" w:asciiTheme="minorEastAsia" w:hAnsiTheme="minorEastAsia"/>
                <w:snapToGrid w:val="0"/>
                <w:highlight w:val="none"/>
              </w:rPr>
              <w:t>日</w:t>
            </w:r>
            <w:r>
              <w:rPr>
                <w:rFonts w:hint="eastAsia" w:cs="仿宋" w:asciiTheme="minorEastAsia" w:hAnsiTheme="minorEastAsia"/>
                <w:snapToGrid w:val="0"/>
                <w:highlight w:val="none"/>
                <w:lang w:val="en-US" w:eastAsia="zh-CN"/>
              </w:rPr>
              <w:t>15</w:t>
            </w:r>
            <w:r>
              <w:rPr>
                <w:rFonts w:hint="eastAsia" w:cs="仿宋" w:asciiTheme="minorEastAsia" w:hAnsiTheme="minorEastAsia"/>
                <w:snapToGrid w:val="0"/>
                <w:highlight w:val="none"/>
              </w:rPr>
              <w:t>：00时（北京时间）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13</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26.5</w:t>
            </w:r>
          </w:p>
        </w:tc>
        <w:tc>
          <w:tcPr>
            <w:tcW w:w="1548"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评审方法</w:t>
            </w:r>
          </w:p>
        </w:tc>
        <w:tc>
          <w:tcPr>
            <w:tcW w:w="5856" w:type="dxa"/>
            <w:vAlign w:val="center"/>
          </w:tcPr>
          <w:p>
            <w:pPr>
              <w:pStyle w:val="12"/>
              <w:spacing w:line="360" w:lineRule="auto"/>
              <w:rPr>
                <w:rFonts w:cs="仿宋" w:asciiTheme="minorEastAsia" w:hAnsiTheme="minorEastAsia"/>
              </w:rPr>
            </w:pPr>
            <w:r>
              <w:rPr>
                <w:rFonts w:hint="eastAsia" w:cs="仿宋" w:asciiTheme="minorEastAsia" w:hAnsiTheme="minorEastAsia"/>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14</w:t>
            </w:r>
          </w:p>
        </w:tc>
        <w:tc>
          <w:tcPr>
            <w:tcW w:w="883"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33.1</w:t>
            </w:r>
          </w:p>
        </w:tc>
        <w:tc>
          <w:tcPr>
            <w:tcW w:w="1548" w:type="dxa"/>
            <w:vAlign w:val="center"/>
          </w:tcPr>
          <w:p>
            <w:pPr>
              <w:pStyle w:val="12"/>
              <w:spacing w:line="340" w:lineRule="exact"/>
              <w:jc w:val="center"/>
              <w:rPr>
                <w:rFonts w:cs="仿宋" w:asciiTheme="minorEastAsia" w:hAnsiTheme="minorEastAsia"/>
              </w:rPr>
            </w:pPr>
            <w:r>
              <w:rPr>
                <w:rFonts w:hint="eastAsia" w:cs="仿宋" w:asciiTheme="minorEastAsia" w:hAnsiTheme="minorEastAsia"/>
              </w:rPr>
              <w:t>采购代理服务费</w:t>
            </w:r>
          </w:p>
        </w:tc>
        <w:tc>
          <w:tcPr>
            <w:tcW w:w="5856" w:type="dxa"/>
            <w:vAlign w:val="center"/>
          </w:tcPr>
          <w:p>
            <w:pPr>
              <w:pStyle w:val="12"/>
              <w:spacing w:line="340" w:lineRule="exact"/>
              <w:rPr>
                <w:rFonts w:cs="仿宋" w:asciiTheme="minorEastAsia" w:hAnsiTheme="minorEastAsia"/>
              </w:rPr>
            </w:pPr>
            <w:r>
              <w:rPr>
                <w:rFonts w:hint="eastAsia" w:cs="仿宋" w:asciiTheme="minorEastAsia" w:hAnsiTheme="minorEastAsia"/>
              </w:rPr>
              <w:t>采购代理机构按中标金额的一定比例向中标人收取，最低收取人民币5000元。</w:t>
            </w:r>
          </w:p>
          <w:p>
            <w:pPr>
              <w:pStyle w:val="12"/>
              <w:spacing w:line="340" w:lineRule="exact"/>
              <w:rPr>
                <w:rFonts w:cs="仿宋" w:asciiTheme="minorEastAsia" w:hAnsiTheme="minorEastAsia"/>
              </w:rPr>
            </w:pPr>
            <w:r>
              <w:rPr>
                <w:rFonts w:hint="eastAsia" w:cs="仿宋" w:asciiTheme="minorEastAsia" w:hAnsiTheme="minorEastAsia"/>
              </w:rPr>
              <w:t>（详见“第五部分-通用条款（投标须知）第33条款”）</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29" w:type="dxa"/>
            <w:vAlign w:val="center"/>
          </w:tcPr>
          <w:p>
            <w:pPr>
              <w:pStyle w:val="12"/>
              <w:spacing w:line="360" w:lineRule="auto"/>
              <w:jc w:val="center"/>
              <w:rPr>
                <w:rFonts w:cs="仿宋" w:asciiTheme="minorEastAsia" w:hAnsiTheme="minorEastAsia"/>
              </w:rPr>
            </w:pPr>
            <w:r>
              <w:rPr>
                <w:rFonts w:hint="eastAsia" w:cs="仿宋" w:asciiTheme="minorEastAsia" w:hAnsiTheme="minorEastAsia"/>
              </w:rPr>
              <w:t>15</w:t>
            </w:r>
          </w:p>
        </w:tc>
        <w:tc>
          <w:tcPr>
            <w:tcW w:w="883" w:type="dxa"/>
            <w:vAlign w:val="center"/>
          </w:tcPr>
          <w:p>
            <w:pPr>
              <w:pStyle w:val="12"/>
              <w:spacing w:line="360" w:lineRule="auto"/>
              <w:jc w:val="center"/>
              <w:rPr>
                <w:rFonts w:cs="仿宋" w:asciiTheme="minorEastAsia" w:hAnsiTheme="minorEastAsia"/>
              </w:rPr>
            </w:pPr>
          </w:p>
        </w:tc>
        <w:tc>
          <w:tcPr>
            <w:tcW w:w="1548" w:type="dxa"/>
            <w:vAlign w:val="center"/>
          </w:tcPr>
          <w:p>
            <w:pPr>
              <w:pStyle w:val="12"/>
              <w:spacing w:line="340" w:lineRule="exact"/>
              <w:jc w:val="center"/>
              <w:rPr>
                <w:rFonts w:cs="仿宋" w:asciiTheme="minorEastAsia" w:hAnsiTheme="minorEastAsia"/>
              </w:rPr>
            </w:pPr>
            <w:r>
              <w:rPr>
                <w:rFonts w:hint="eastAsia" w:cs="仿宋" w:asciiTheme="minorEastAsia" w:hAnsiTheme="minorEastAsia"/>
              </w:rPr>
              <w:t>采购控制金额</w:t>
            </w:r>
          </w:p>
          <w:p>
            <w:pPr>
              <w:pStyle w:val="12"/>
              <w:spacing w:line="340" w:lineRule="exact"/>
              <w:jc w:val="center"/>
              <w:rPr>
                <w:rFonts w:cs="仿宋" w:asciiTheme="minorEastAsia" w:hAnsiTheme="minorEastAsia"/>
              </w:rPr>
            </w:pPr>
            <w:r>
              <w:rPr>
                <w:rFonts w:hint="eastAsia" w:cs="仿宋" w:asciiTheme="minorEastAsia" w:hAnsiTheme="minorEastAsia"/>
              </w:rPr>
              <w:t>（最高限价）</w:t>
            </w:r>
          </w:p>
        </w:tc>
        <w:tc>
          <w:tcPr>
            <w:tcW w:w="5856" w:type="dxa"/>
            <w:vAlign w:val="center"/>
          </w:tcPr>
          <w:p>
            <w:pPr>
              <w:pStyle w:val="12"/>
              <w:spacing w:line="340" w:lineRule="exact"/>
              <w:rPr>
                <w:rFonts w:cs="仿宋" w:asciiTheme="minorEastAsia" w:hAnsiTheme="minorEastAsia"/>
              </w:rPr>
            </w:pPr>
            <w:r>
              <w:rPr>
                <w:rFonts w:hint="eastAsia" w:cs="仿宋" w:asciiTheme="minorEastAsia" w:hAnsiTheme="minorEastAsia"/>
              </w:rPr>
              <w:t>人民币32万元</w:t>
            </w:r>
          </w:p>
        </w:tc>
      </w:tr>
    </w:tbl>
    <w:p>
      <w:pPr>
        <w:jc w:val="center"/>
        <w:rPr>
          <w:rFonts w:cs="仿宋" w:asciiTheme="minorEastAsia" w:hAnsiTheme="minorEastAsia" w:eastAsiaTheme="minorEastAsia"/>
          <w:b/>
          <w:bCs/>
          <w:sz w:val="36"/>
          <w:szCs w:val="32"/>
        </w:rPr>
      </w:pPr>
      <w:r>
        <w:rPr>
          <w:rFonts w:hint="eastAsia" w:cs="仿宋" w:asciiTheme="minorEastAsia" w:hAnsiTheme="minorEastAsia" w:eastAsiaTheme="minorEastAsia"/>
        </w:rPr>
        <w:br w:type="page"/>
      </w:r>
      <w:r>
        <w:rPr>
          <w:rFonts w:hint="eastAsia" w:cs="仿宋" w:asciiTheme="minorEastAsia" w:hAnsiTheme="minorEastAsia" w:eastAsiaTheme="minorEastAsia"/>
          <w:b/>
          <w:bCs/>
          <w:sz w:val="36"/>
          <w:szCs w:val="32"/>
        </w:rPr>
        <w:t>投标须知前附件</w:t>
      </w:r>
    </w:p>
    <w:p>
      <w:pPr>
        <w:adjustRightInd w:val="0"/>
        <w:spacing w:line="360" w:lineRule="auto"/>
        <w:ind w:firstLine="420" w:firstLineChars="200"/>
        <w:rPr>
          <w:rFonts w:cs="仿宋" w:asciiTheme="minorEastAsia" w:hAnsiTheme="minorEastAsia" w:eastAsiaTheme="minorEastAsia"/>
          <w:snapToGrid w:val="0"/>
          <w:kern w:val="0"/>
        </w:rPr>
      </w:pPr>
    </w:p>
    <w:p>
      <w:pPr>
        <w:adjustRightInd w:val="0"/>
        <w:spacing w:line="360" w:lineRule="auto"/>
        <w:ind w:firstLine="420" w:firstLineChars="200"/>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rFonts w:cs="仿宋" w:asciiTheme="minorEastAsia" w:hAnsiTheme="minorEastAsia" w:eastAsiaTheme="minorEastAsia"/>
          <w:snapToGrid w:val="0"/>
          <w:kern w:val="0"/>
        </w:rPr>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一、资格性审查</w:t>
      </w:r>
    </w:p>
    <w:p>
      <w:pPr>
        <w:numPr>
          <w:ilvl w:val="0"/>
          <w:numId w:val="2"/>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zCs w:val="21"/>
        </w:rPr>
        <w:t>投标人</w:t>
      </w:r>
      <w:r>
        <w:rPr>
          <w:rFonts w:hint="eastAsia" w:cs="仿宋" w:asciiTheme="minorEastAsia" w:hAnsiTheme="minorEastAsia" w:eastAsiaTheme="minorEastAsia"/>
          <w:snapToGrid w:val="0"/>
          <w:kern w:val="0"/>
        </w:rPr>
        <w:t>的资格不符合招标文件要求或资格证明文件提供不全。</w:t>
      </w:r>
    </w:p>
    <w:p>
      <w:pPr>
        <w:pStyle w:val="2"/>
      </w:pPr>
    </w:p>
    <w:p>
      <w:p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二、符合性审查</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投标人提供的投标文件数量不符合招标文件要求。</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投标文件未按照招标文件要求制作、密封和标记。</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投标文件有关内容未按招标文件要求加盖投标人印章、或未经法定代表人或其委托代理人签字（或盖章）。</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投标文件的关键内容字迹模糊、无法辨认的。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投标报价有严重缺漏项的。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未实质性响应招标文件要求的。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任一项带★的指标未投标或不满足要求。（如有带★号条款）</w:t>
      </w:r>
    </w:p>
    <w:p>
      <w:pPr>
        <w:numPr>
          <w:ilvl w:val="0"/>
          <w:numId w:val="3"/>
        </w:numPr>
        <w:adjustRightInd w:val="0"/>
        <w:spacing w:line="360" w:lineRule="auto"/>
        <w:rPr>
          <w:rFonts w:cs="仿宋" w:asciiTheme="minorEastAsia" w:hAnsiTheme="minorEastAsia" w:eastAsiaTheme="minorEastAsia"/>
          <w:snapToGrid w:val="0"/>
          <w:color w:val="FF0000"/>
          <w:kern w:val="0"/>
        </w:rPr>
      </w:pPr>
      <w:r>
        <w:rPr>
          <w:rFonts w:hint="eastAsia" w:cs="仿宋" w:asciiTheme="minorEastAsia" w:hAnsiTheme="minorEastAsia" w:eastAsiaTheme="minorEastAsia"/>
          <w:snapToGrid w:val="0"/>
          <w:kern w:val="0"/>
        </w:rPr>
        <w:t>未按招标文件所提供的样式填写《声明函》。</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将一个项目包拆分投标，对同一货物及服务投标时，同时提供两套或以上的投标方案。</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投标文件附有采购人不能接受的条件。</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出现违规行为：如以他人名义竞标、串通投标或者以其他弄虚作假方式投标的。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投标总价或单个采购条目的分项报价超过采购控制金额或最高限价的。</w:t>
      </w:r>
    </w:p>
    <w:p>
      <w:pPr>
        <w:numPr>
          <w:ilvl w:val="0"/>
          <w:numId w:val="3"/>
        </w:numPr>
        <w:adjustRightInd w:val="0"/>
        <w:spacing w:line="36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法律、法规规定的其他情形。</w:t>
      </w:r>
    </w:p>
    <w:p>
      <w:pPr>
        <w:spacing w:line="360" w:lineRule="auto"/>
        <w:jc w:val="center"/>
        <w:rPr>
          <w:rFonts w:cs="仿宋" w:asciiTheme="minorEastAsia" w:hAnsiTheme="minorEastAsia" w:eastAsiaTheme="minorEastAsia"/>
          <w:sz w:val="32"/>
        </w:rPr>
      </w:pPr>
    </w:p>
    <w:p>
      <w:pPr>
        <w:widowControl/>
        <w:jc w:val="left"/>
        <w:rPr>
          <w:rFonts w:cs="仿宋" w:asciiTheme="minorEastAsia" w:hAnsiTheme="minorEastAsia" w:eastAsiaTheme="minorEastAsia"/>
          <w:sz w:val="32"/>
        </w:rPr>
      </w:pPr>
      <w:r>
        <w:rPr>
          <w:rFonts w:hint="eastAsia" w:cs="仿宋" w:asciiTheme="minorEastAsia" w:hAnsiTheme="minorEastAsia" w:eastAsiaTheme="minorEastAsia"/>
          <w:sz w:val="32"/>
        </w:rPr>
        <w:br w:type="page"/>
      </w:r>
    </w:p>
    <w:p>
      <w:pPr>
        <w:spacing w:line="360" w:lineRule="auto"/>
        <w:jc w:val="center"/>
        <w:rPr>
          <w:rFonts w:cs="仿宋" w:asciiTheme="minorEastAsia" w:hAnsiTheme="minorEastAsia" w:eastAsiaTheme="minorEastAsia"/>
          <w:b/>
          <w:bCs/>
          <w:sz w:val="36"/>
        </w:rPr>
      </w:pPr>
      <w:r>
        <w:rPr>
          <w:rFonts w:hint="eastAsia" w:cs="仿宋" w:asciiTheme="minorEastAsia" w:hAnsiTheme="minorEastAsia" w:eastAsiaTheme="minorEastAsia"/>
          <w:b/>
          <w:bCs/>
          <w:sz w:val="36"/>
        </w:rPr>
        <w:t>评审信息</w:t>
      </w:r>
    </w:p>
    <w:p>
      <w:pPr>
        <w:spacing w:line="360" w:lineRule="auto"/>
        <w:jc w:val="left"/>
        <w:rPr>
          <w:rFonts w:cs="仿宋" w:asciiTheme="minorEastAsia" w:hAnsiTheme="minorEastAsia" w:eastAsiaTheme="minorEastAsia"/>
          <w:szCs w:val="21"/>
        </w:rPr>
      </w:pPr>
    </w:p>
    <w:p>
      <w:pPr>
        <w:spacing w:line="360" w:lineRule="auto"/>
        <w:jc w:val="left"/>
        <w:rPr>
          <w:rFonts w:cs="仿宋" w:asciiTheme="minorEastAsia" w:hAnsiTheme="minorEastAsia" w:eastAsiaTheme="minorEastAsia"/>
          <w:szCs w:val="21"/>
        </w:rPr>
      </w:pPr>
      <w:r>
        <w:rPr>
          <w:rFonts w:hint="eastAsia" w:cs="仿宋" w:asciiTheme="minorEastAsia" w:hAnsiTheme="minorEastAsia" w:eastAsiaTheme="minorEastAsia"/>
          <w:szCs w:val="21"/>
        </w:rPr>
        <w:t>评审方法;综合评分法。</w:t>
      </w:r>
    </w:p>
    <w:p>
      <w:pPr>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综合评分法，是指投标文件满足招标文件全部实质性要求，且按照评审因素的量化指标评审得分最高的投标人为中标候选人的评审方法。</w:t>
      </w:r>
    </w:p>
    <w:tbl>
      <w:tblPr>
        <w:tblStyle w:val="19"/>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144"/>
        <w:gridCol w:w="850"/>
        <w:gridCol w:w="6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065" w:type="dxa"/>
            <w:tcBorders>
              <w:top w:val="double" w:color="auto" w:sz="4" w:space="0"/>
              <w:left w:val="double" w:color="auto" w:sz="4" w:space="0"/>
              <w:bottom w:val="single" w:color="auto" w:sz="4" w:space="0"/>
            </w:tcBorders>
            <w:shd w:val="clear" w:color="auto" w:fill="8DB3E2"/>
            <w:vAlign w:val="center"/>
          </w:tcPr>
          <w:p>
            <w:pPr>
              <w:adjustRightInd w:val="0"/>
              <w:snapToGrid w:val="0"/>
              <w:spacing w:line="440" w:lineRule="exact"/>
              <w:jc w:val="center"/>
              <w:rPr>
                <w:rFonts w:ascii="宋体" w:hAnsi="宋体" w:cs="宋体"/>
                <w:snapToGrid w:val="0"/>
                <w:kern w:val="0"/>
                <w:sz w:val="22"/>
              </w:rPr>
            </w:pPr>
            <w:r>
              <w:rPr>
                <w:rFonts w:hint="eastAsia" w:ascii="宋体" w:hAnsi="宋体" w:cs="宋体"/>
                <w:snapToGrid w:val="0"/>
                <w:kern w:val="0"/>
                <w:sz w:val="22"/>
              </w:rPr>
              <w:t>类别</w:t>
            </w:r>
          </w:p>
        </w:tc>
        <w:tc>
          <w:tcPr>
            <w:tcW w:w="1144" w:type="dxa"/>
            <w:tcBorders>
              <w:top w:val="double" w:color="auto" w:sz="4" w:space="0"/>
            </w:tcBorders>
            <w:shd w:val="clear" w:color="auto" w:fill="8DB3E2"/>
            <w:vAlign w:val="center"/>
          </w:tcPr>
          <w:p>
            <w:pPr>
              <w:adjustRightInd w:val="0"/>
              <w:snapToGrid w:val="0"/>
              <w:spacing w:line="440" w:lineRule="exact"/>
              <w:jc w:val="center"/>
              <w:rPr>
                <w:rFonts w:ascii="宋体" w:hAnsi="宋体" w:cs="宋体"/>
                <w:snapToGrid w:val="0"/>
                <w:kern w:val="0"/>
                <w:sz w:val="22"/>
              </w:rPr>
            </w:pPr>
            <w:r>
              <w:rPr>
                <w:rFonts w:hint="eastAsia" w:ascii="宋体" w:hAnsi="宋体" w:cs="宋体"/>
                <w:snapToGrid w:val="0"/>
                <w:kern w:val="0"/>
                <w:sz w:val="22"/>
              </w:rPr>
              <w:t>评分项目</w:t>
            </w:r>
          </w:p>
        </w:tc>
        <w:tc>
          <w:tcPr>
            <w:tcW w:w="850" w:type="dxa"/>
            <w:tcBorders>
              <w:top w:val="double" w:color="auto" w:sz="4" w:space="0"/>
            </w:tcBorders>
            <w:shd w:val="clear" w:color="auto" w:fill="8DB3E2"/>
            <w:vAlign w:val="center"/>
          </w:tcPr>
          <w:p>
            <w:pPr>
              <w:widowControl/>
              <w:adjustRightInd w:val="0"/>
              <w:snapToGrid w:val="0"/>
              <w:spacing w:line="440" w:lineRule="exact"/>
              <w:jc w:val="center"/>
              <w:rPr>
                <w:rFonts w:ascii="宋体" w:hAnsi="宋体" w:cs="宋体"/>
                <w:snapToGrid w:val="0"/>
                <w:kern w:val="0"/>
                <w:sz w:val="22"/>
              </w:rPr>
            </w:pPr>
            <w:r>
              <w:rPr>
                <w:rFonts w:hint="eastAsia" w:ascii="宋体" w:hAnsi="宋体" w:cs="宋体"/>
                <w:snapToGrid w:val="0"/>
                <w:kern w:val="0"/>
                <w:sz w:val="22"/>
              </w:rPr>
              <w:t>分值</w:t>
            </w:r>
          </w:p>
        </w:tc>
        <w:tc>
          <w:tcPr>
            <w:tcW w:w="6261" w:type="dxa"/>
            <w:tcBorders>
              <w:top w:val="double" w:color="auto" w:sz="4" w:space="0"/>
              <w:right w:val="double" w:color="auto" w:sz="4" w:space="0"/>
            </w:tcBorders>
            <w:shd w:val="clear" w:color="auto" w:fill="8DB3E2"/>
            <w:vAlign w:val="center"/>
          </w:tcPr>
          <w:p>
            <w:pPr>
              <w:adjustRightInd w:val="0"/>
              <w:snapToGrid w:val="0"/>
              <w:spacing w:line="440" w:lineRule="exact"/>
              <w:jc w:val="center"/>
              <w:rPr>
                <w:rFonts w:ascii="宋体" w:hAnsi="宋体" w:cs="宋体"/>
                <w:snapToGrid w:val="0"/>
                <w:kern w:val="0"/>
                <w:sz w:val="22"/>
              </w:rPr>
            </w:pPr>
            <w:r>
              <w:rPr>
                <w:rFonts w:hint="eastAsia" w:ascii="宋体" w:hAnsi="宋体" w:cs="宋体"/>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Borders>
              <w:left w:val="double" w:color="auto" w:sz="4" w:space="0"/>
            </w:tcBorders>
            <w:vAlign w:val="center"/>
          </w:tcPr>
          <w:p>
            <w:pPr>
              <w:adjustRightInd w:val="0"/>
              <w:spacing w:line="440" w:lineRule="exact"/>
              <w:jc w:val="center"/>
              <w:rPr>
                <w:rFonts w:ascii="宋体" w:hAnsi="宋体" w:cs="宋体"/>
                <w:snapToGrid w:val="0"/>
                <w:kern w:val="0"/>
                <w:sz w:val="22"/>
              </w:rPr>
            </w:pPr>
            <w:r>
              <w:rPr>
                <w:rFonts w:hint="eastAsia" w:ascii="宋体" w:hAnsi="宋体" w:cs="宋体"/>
                <w:snapToGrid w:val="0"/>
                <w:kern w:val="0"/>
                <w:sz w:val="22"/>
              </w:rPr>
              <w:t>价格部分（G）</w:t>
            </w:r>
          </w:p>
          <w:p>
            <w:pPr>
              <w:adjustRightInd w:val="0"/>
              <w:spacing w:line="440" w:lineRule="exact"/>
              <w:jc w:val="center"/>
              <w:rPr>
                <w:rFonts w:ascii="宋体" w:hAnsi="宋体" w:cs="宋体"/>
                <w:snapToGrid w:val="0"/>
                <w:kern w:val="0"/>
                <w:sz w:val="22"/>
              </w:rPr>
            </w:pPr>
            <w:r>
              <w:rPr>
                <w:rFonts w:hint="eastAsia" w:ascii="宋体" w:hAnsi="宋体" w:cs="宋体"/>
                <w:snapToGrid w:val="0"/>
                <w:kern w:val="0"/>
                <w:sz w:val="22"/>
              </w:rPr>
              <w:t>（总分10分）</w:t>
            </w:r>
          </w:p>
        </w:tc>
        <w:tc>
          <w:tcPr>
            <w:tcW w:w="1144" w:type="dxa"/>
            <w:vAlign w:val="center"/>
          </w:tcPr>
          <w:p>
            <w:pPr>
              <w:adjustRightInd w:val="0"/>
              <w:spacing w:line="440" w:lineRule="exact"/>
              <w:jc w:val="center"/>
              <w:rPr>
                <w:rFonts w:ascii="宋体" w:hAnsi="宋体" w:cs="宋体"/>
                <w:kern w:val="0"/>
                <w:sz w:val="22"/>
              </w:rPr>
            </w:pPr>
            <w:r>
              <w:rPr>
                <w:rFonts w:hint="eastAsia" w:ascii="宋体" w:hAnsi="宋体" w:cs="宋体"/>
                <w:kern w:val="0"/>
                <w:sz w:val="22"/>
              </w:rPr>
              <w:t>投标报价</w:t>
            </w:r>
          </w:p>
        </w:tc>
        <w:tc>
          <w:tcPr>
            <w:tcW w:w="850" w:type="dxa"/>
            <w:vAlign w:val="center"/>
          </w:tcPr>
          <w:p>
            <w:pPr>
              <w:adjustRightInd w:val="0"/>
              <w:spacing w:line="440" w:lineRule="exact"/>
              <w:jc w:val="center"/>
              <w:rPr>
                <w:rFonts w:ascii="宋体" w:hAnsi="宋体" w:cs="宋体"/>
                <w:kern w:val="0"/>
                <w:sz w:val="22"/>
              </w:rPr>
            </w:pPr>
            <w:r>
              <w:rPr>
                <w:rFonts w:hint="eastAsia" w:ascii="宋体" w:hAnsi="宋体" w:cs="宋体"/>
                <w:kern w:val="0"/>
                <w:sz w:val="22"/>
              </w:rPr>
              <w:t>10</w:t>
            </w:r>
          </w:p>
        </w:tc>
        <w:tc>
          <w:tcPr>
            <w:tcW w:w="6261" w:type="dxa"/>
            <w:tcBorders>
              <w:right w:val="double" w:color="auto" w:sz="4" w:space="0"/>
            </w:tcBorders>
            <w:vAlign w:val="center"/>
          </w:tcPr>
          <w:p>
            <w:pPr>
              <w:adjustRightInd w:val="0"/>
              <w:spacing w:line="440" w:lineRule="exact"/>
              <w:jc w:val="left"/>
              <w:rPr>
                <w:rFonts w:ascii="宋体" w:hAnsi="宋体" w:cs="宋体"/>
                <w:sz w:val="22"/>
              </w:rPr>
            </w:pPr>
            <w:r>
              <w:rPr>
                <w:rFonts w:hint="eastAsia" w:ascii="宋体" w:hAnsi="宋体" w:cs="宋体"/>
                <w:sz w:val="22"/>
              </w:rPr>
              <w:t>价格分按以下方案计算：</w:t>
            </w:r>
          </w:p>
          <w:p>
            <w:pPr>
              <w:adjustRightInd w:val="0"/>
              <w:spacing w:line="440" w:lineRule="exact"/>
              <w:jc w:val="left"/>
              <w:rPr>
                <w:rFonts w:ascii="宋体" w:hAnsi="宋体" w:cs="宋体"/>
                <w:sz w:val="22"/>
              </w:rPr>
            </w:pPr>
            <w:r>
              <w:rPr>
                <w:rFonts w:hint="eastAsia" w:ascii="宋体" w:hAnsi="宋体" w:cs="宋体"/>
                <w:sz w:val="22"/>
              </w:rPr>
              <w:t>投标报价得分= Z/Sn×10</w:t>
            </w:r>
          </w:p>
          <w:p>
            <w:pPr>
              <w:adjustRightInd w:val="0"/>
              <w:spacing w:line="440" w:lineRule="exact"/>
              <w:jc w:val="left"/>
              <w:rPr>
                <w:rFonts w:ascii="宋体" w:hAnsi="宋体" w:cs="宋体"/>
                <w:sz w:val="22"/>
              </w:rPr>
            </w:pPr>
            <w:r>
              <w:rPr>
                <w:rFonts w:hint="eastAsia" w:ascii="宋体" w:hAnsi="宋体" w:cs="宋体"/>
                <w:sz w:val="22"/>
              </w:rPr>
              <w:t>其中： Z --评标基准价，即通过资格性审查和符合性审查且投标价格最低的投标报价</w:t>
            </w:r>
          </w:p>
          <w:p>
            <w:pPr>
              <w:adjustRightInd w:val="0"/>
              <w:spacing w:line="440" w:lineRule="exact"/>
              <w:jc w:val="left"/>
              <w:rPr>
                <w:rFonts w:ascii="宋体" w:hAnsi="宋体" w:cs="宋体"/>
                <w:sz w:val="22"/>
              </w:rPr>
            </w:pPr>
            <w:r>
              <w:rPr>
                <w:rFonts w:hint="eastAsia" w:ascii="宋体" w:hAnsi="宋体" w:cs="宋体"/>
                <w:sz w:val="22"/>
              </w:rPr>
              <w:t>Sn ---投标报价，即通过资格性审查和符合性审查的投标报价。</w:t>
            </w:r>
          </w:p>
          <w:p>
            <w:pPr>
              <w:pStyle w:val="11"/>
              <w:spacing w:after="0" w:line="440" w:lineRule="exact"/>
              <w:rPr>
                <w:rFonts w:ascii="宋体" w:hAnsi="宋体" w:cs="宋体"/>
                <w:sz w:val="22"/>
              </w:rPr>
            </w:pPr>
            <w:r>
              <w:rPr>
                <w:rFonts w:hint="eastAsia" w:ascii="宋体" w:hAnsi="宋体" w:cs="宋体"/>
                <w:sz w:val="22"/>
              </w:rPr>
              <w:t>注：对于符合 “政府采购扶持政策”的小微企业、监狱企业和残疾人福利性单位，以调整后的价格计算评标基准价和投标报价。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restart"/>
            <w:tcBorders>
              <w:left w:val="double" w:color="auto" w:sz="4" w:space="0"/>
            </w:tcBorders>
            <w:vAlign w:val="center"/>
          </w:tcPr>
          <w:p>
            <w:pPr>
              <w:adjustRightInd w:val="0"/>
              <w:spacing w:line="440" w:lineRule="exact"/>
              <w:jc w:val="center"/>
              <w:rPr>
                <w:rFonts w:ascii="宋体" w:hAnsi="宋体" w:cs="宋体"/>
                <w:snapToGrid w:val="0"/>
                <w:kern w:val="0"/>
                <w:sz w:val="22"/>
              </w:rPr>
            </w:pPr>
            <w:r>
              <w:rPr>
                <w:rFonts w:hint="eastAsia" w:ascii="宋体" w:hAnsi="宋体" w:cs="宋体"/>
                <w:snapToGrid w:val="0"/>
                <w:kern w:val="0"/>
                <w:sz w:val="22"/>
              </w:rPr>
              <w:t>技术部分（J）</w:t>
            </w:r>
          </w:p>
          <w:p>
            <w:pPr>
              <w:adjustRightInd w:val="0"/>
              <w:spacing w:line="440" w:lineRule="exact"/>
              <w:jc w:val="center"/>
              <w:rPr>
                <w:rFonts w:ascii="宋体" w:hAnsi="宋体" w:cs="宋体"/>
                <w:snapToGrid w:val="0"/>
                <w:kern w:val="0"/>
                <w:sz w:val="22"/>
              </w:rPr>
            </w:pPr>
            <w:r>
              <w:rPr>
                <w:rFonts w:hint="eastAsia" w:ascii="宋体" w:hAnsi="宋体" w:cs="宋体"/>
                <w:snapToGrid w:val="0"/>
                <w:kern w:val="0"/>
                <w:sz w:val="22"/>
              </w:rPr>
              <w:t>（总分35分）</w:t>
            </w:r>
          </w:p>
        </w:tc>
        <w:tc>
          <w:tcPr>
            <w:tcW w:w="1144" w:type="dxa"/>
            <w:vAlign w:val="center"/>
          </w:tcPr>
          <w:p>
            <w:pPr>
              <w:adjustRightInd w:val="0"/>
              <w:snapToGrid w:val="0"/>
              <w:spacing w:line="440" w:lineRule="exact"/>
              <w:jc w:val="center"/>
              <w:rPr>
                <w:rFonts w:ascii="宋体" w:hAnsi="宋体" w:cs="宋体"/>
                <w:kern w:val="0"/>
                <w:sz w:val="22"/>
              </w:rPr>
            </w:pPr>
            <w:r>
              <w:rPr>
                <w:rFonts w:hint="eastAsia" w:ascii="宋体" w:hAnsi="宋体" w:cs="宋体"/>
                <w:sz w:val="22"/>
              </w:rPr>
              <w:t>实施方案</w:t>
            </w:r>
          </w:p>
        </w:tc>
        <w:tc>
          <w:tcPr>
            <w:tcW w:w="850" w:type="dxa"/>
            <w:vAlign w:val="center"/>
          </w:tcPr>
          <w:p>
            <w:pPr>
              <w:spacing w:line="440" w:lineRule="exact"/>
              <w:jc w:val="center"/>
              <w:rPr>
                <w:rFonts w:ascii="宋体" w:hAnsi="宋体" w:cs="宋体"/>
                <w:kern w:val="0"/>
                <w:sz w:val="22"/>
              </w:rPr>
            </w:pPr>
            <w:r>
              <w:rPr>
                <w:rFonts w:hint="eastAsia" w:ascii="宋体" w:hAnsi="宋体" w:cs="宋体"/>
                <w:sz w:val="22"/>
              </w:rPr>
              <w:t>10</w:t>
            </w:r>
          </w:p>
        </w:tc>
        <w:tc>
          <w:tcPr>
            <w:tcW w:w="6261" w:type="dxa"/>
            <w:tcBorders>
              <w:right w:val="double" w:color="auto" w:sz="4" w:space="0"/>
            </w:tcBorders>
            <w:vAlign w:val="center"/>
          </w:tcPr>
          <w:p>
            <w:pPr>
              <w:spacing w:line="440" w:lineRule="exact"/>
              <w:jc w:val="left"/>
              <w:rPr>
                <w:rFonts w:ascii="宋体" w:hAnsi="宋体"/>
                <w:szCs w:val="21"/>
              </w:rPr>
            </w:pPr>
            <w:r>
              <w:rPr>
                <w:rFonts w:hint="eastAsia" w:ascii="宋体" w:hAnsi="宋体"/>
                <w:szCs w:val="21"/>
              </w:rPr>
              <w:t>（一）评分内容：根据投标人对本项目整体背景、目标、需求，测评整体工作方案、理解程度等进行评价。包括但不限于以下内容：</w:t>
            </w:r>
          </w:p>
          <w:p>
            <w:pPr>
              <w:spacing w:line="440" w:lineRule="exact"/>
              <w:jc w:val="left"/>
              <w:rPr>
                <w:rFonts w:ascii="宋体" w:hAnsi="宋体"/>
                <w:szCs w:val="21"/>
              </w:rPr>
            </w:pPr>
            <w:r>
              <w:rPr>
                <w:rFonts w:hint="eastAsia" w:ascii="宋体" w:hAnsi="宋体"/>
                <w:szCs w:val="21"/>
              </w:rPr>
              <w:t>（1）测试流程；</w:t>
            </w:r>
          </w:p>
          <w:p>
            <w:pPr>
              <w:spacing w:line="440" w:lineRule="exact"/>
              <w:jc w:val="left"/>
              <w:rPr>
                <w:rFonts w:ascii="宋体" w:hAnsi="宋体"/>
                <w:szCs w:val="21"/>
              </w:rPr>
            </w:pPr>
            <w:r>
              <w:rPr>
                <w:rFonts w:hint="eastAsia" w:ascii="宋体" w:hAnsi="宋体"/>
                <w:szCs w:val="21"/>
              </w:rPr>
              <w:t>（2）测试方法；</w:t>
            </w:r>
          </w:p>
          <w:p>
            <w:pPr>
              <w:spacing w:line="440" w:lineRule="exact"/>
              <w:jc w:val="left"/>
              <w:rPr>
                <w:rFonts w:ascii="宋体" w:hAnsi="宋体"/>
                <w:szCs w:val="21"/>
              </w:rPr>
            </w:pPr>
            <w:r>
              <w:rPr>
                <w:rFonts w:hint="eastAsia" w:ascii="宋体" w:hAnsi="宋体"/>
                <w:szCs w:val="21"/>
              </w:rPr>
              <w:t>（3）测试工具。</w:t>
            </w:r>
          </w:p>
          <w:p>
            <w:pPr>
              <w:spacing w:line="440" w:lineRule="exact"/>
              <w:jc w:val="left"/>
              <w:rPr>
                <w:rFonts w:ascii="宋体" w:hAnsi="宋体"/>
                <w:szCs w:val="21"/>
              </w:rPr>
            </w:pPr>
            <w:r>
              <w:rPr>
                <w:rFonts w:hint="eastAsia" w:ascii="宋体" w:hAnsi="宋体"/>
                <w:szCs w:val="21"/>
              </w:rPr>
              <w:t>（二）评分标准：</w:t>
            </w:r>
          </w:p>
          <w:p>
            <w:pPr>
              <w:spacing w:line="440" w:lineRule="exact"/>
              <w:jc w:val="left"/>
              <w:rPr>
                <w:rFonts w:ascii="宋体" w:hAnsi="宋体"/>
                <w:szCs w:val="21"/>
              </w:rPr>
            </w:pPr>
            <w:r>
              <w:rPr>
                <w:rFonts w:hint="eastAsia" w:ascii="宋体" w:hAnsi="宋体"/>
                <w:szCs w:val="21"/>
              </w:rPr>
              <w:t>实施方案包含以上三项内容得8分，包含以上任意两项得5分，包含以上任意一项得1分，其他情况不得分。在此基础上，根据实施方案响应情况进一步评审：</w:t>
            </w:r>
          </w:p>
          <w:p>
            <w:pPr>
              <w:spacing w:line="440" w:lineRule="exact"/>
              <w:jc w:val="left"/>
              <w:rPr>
                <w:rFonts w:ascii="宋体" w:hAnsi="宋体"/>
                <w:szCs w:val="21"/>
              </w:rPr>
            </w:pPr>
            <w:r>
              <w:rPr>
                <w:rFonts w:hint="eastAsia" w:ascii="宋体" w:hAnsi="宋体"/>
                <w:szCs w:val="21"/>
              </w:rPr>
              <w:t>（1）理解透彻、分析针对性强、需求满足高的，加2分；</w:t>
            </w:r>
          </w:p>
          <w:p>
            <w:pPr>
              <w:spacing w:line="440" w:lineRule="exact"/>
              <w:jc w:val="left"/>
              <w:rPr>
                <w:rFonts w:ascii="宋体" w:hAnsi="宋体"/>
                <w:szCs w:val="21"/>
              </w:rPr>
            </w:pPr>
            <w:r>
              <w:rPr>
                <w:rFonts w:hint="eastAsia" w:ascii="宋体" w:hAnsi="宋体"/>
                <w:szCs w:val="21"/>
              </w:rPr>
              <w:t>（2）理解比较透彻、分析针对性比较强、需求满足较高的，加1分；</w:t>
            </w:r>
          </w:p>
          <w:p>
            <w:pPr>
              <w:spacing w:line="440" w:lineRule="exact"/>
              <w:jc w:val="left"/>
              <w:rPr>
                <w:rFonts w:ascii="宋体" w:hAnsi="宋体"/>
                <w:szCs w:val="21"/>
              </w:rPr>
            </w:pPr>
            <w:r>
              <w:rPr>
                <w:rFonts w:hint="eastAsia" w:ascii="宋体" w:hAnsi="宋体"/>
                <w:szCs w:val="21"/>
              </w:rPr>
              <w:t>（3）理解一般、分析针对性一般、需求满足一般的，加0.5分；</w:t>
            </w:r>
          </w:p>
          <w:p>
            <w:pPr>
              <w:spacing w:line="440" w:lineRule="exact"/>
              <w:jc w:val="left"/>
              <w:rPr>
                <w:rFonts w:ascii="宋体" w:hAnsi="宋体" w:cs="宋体"/>
                <w:kern w:val="0"/>
                <w:sz w:val="22"/>
              </w:rPr>
            </w:pPr>
            <w:r>
              <w:rPr>
                <w:rFonts w:hint="eastAsia" w:ascii="宋体" w:hAnsi="宋体"/>
                <w:szCs w:val="21"/>
              </w:rPr>
              <w:t>（4）理解不到位，分析没针对性、需求满足差的，不加分。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adjustRightInd w:val="0"/>
              <w:spacing w:line="440" w:lineRule="exact"/>
              <w:jc w:val="center"/>
              <w:rPr>
                <w:rFonts w:ascii="宋体" w:hAnsi="宋体" w:cs="宋体"/>
                <w:snapToGrid w:val="0"/>
                <w:kern w:val="0"/>
                <w:sz w:val="22"/>
              </w:rPr>
            </w:pPr>
          </w:p>
        </w:tc>
        <w:tc>
          <w:tcPr>
            <w:tcW w:w="1144" w:type="dxa"/>
            <w:vAlign w:val="center"/>
          </w:tcPr>
          <w:p>
            <w:pPr>
              <w:spacing w:line="440" w:lineRule="exact"/>
              <w:jc w:val="center"/>
              <w:textAlignment w:val="top"/>
              <w:rPr>
                <w:rFonts w:ascii="宋体" w:hAnsi="宋体" w:cs="宋体"/>
                <w:kern w:val="0"/>
                <w:sz w:val="22"/>
              </w:rPr>
            </w:pPr>
            <w:r>
              <w:rPr>
                <w:rFonts w:hint="eastAsia" w:ascii="宋体" w:hAnsi="宋体"/>
                <w:szCs w:val="21"/>
              </w:rPr>
              <w:t>项目重点难点分析、应对措施及相关的合理化建议</w:t>
            </w:r>
          </w:p>
        </w:tc>
        <w:tc>
          <w:tcPr>
            <w:tcW w:w="850" w:type="dxa"/>
            <w:vAlign w:val="center"/>
          </w:tcPr>
          <w:p>
            <w:pPr>
              <w:spacing w:line="440" w:lineRule="exact"/>
              <w:jc w:val="center"/>
              <w:textAlignment w:val="top"/>
              <w:rPr>
                <w:rFonts w:ascii="宋体" w:hAnsi="宋体" w:cs="宋体"/>
                <w:kern w:val="0"/>
                <w:sz w:val="22"/>
              </w:rPr>
            </w:pPr>
            <w:r>
              <w:rPr>
                <w:rFonts w:hint="eastAsia" w:ascii="宋体" w:hAnsi="宋体" w:cs="宋体"/>
                <w:sz w:val="22"/>
              </w:rPr>
              <w:t>10</w:t>
            </w:r>
          </w:p>
        </w:tc>
        <w:tc>
          <w:tcPr>
            <w:tcW w:w="6261" w:type="dxa"/>
            <w:tcBorders>
              <w:right w:val="double" w:color="auto" w:sz="4" w:space="0"/>
            </w:tcBorders>
            <w:vAlign w:val="center"/>
          </w:tcPr>
          <w:p>
            <w:pPr>
              <w:numPr>
                <w:ilvl w:val="255"/>
                <w:numId w:val="0"/>
              </w:numPr>
              <w:spacing w:line="440" w:lineRule="exact"/>
              <w:jc w:val="left"/>
              <w:rPr>
                <w:rFonts w:ascii="宋体" w:hAnsi="宋体"/>
                <w:szCs w:val="21"/>
              </w:rPr>
            </w:pPr>
            <w:r>
              <w:rPr>
                <w:rFonts w:hint="eastAsia" w:ascii="宋体" w:hAnsi="宋体"/>
                <w:szCs w:val="21"/>
              </w:rPr>
              <w:t>（一）评分内容：</w:t>
            </w:r>
          </w:p>
          <w:p>
            <w:pPr>
              <w:numPr>
                <w:ilvl w:val="255"/>
                <w:numId w:val="0"/>
              </w:numPr>
              <w:spacing w:line="440" w:lineRule="exact"/>
              <w:jc w:val="left"/>
              <w:rPr>
                <w:rFonts w:ascii="宋体" w:hAnsi="宋体"/>
                <w:szCs w:val="21"/>
              </w:rPr>
            </w:pPr>
            <w:r>
              <w:rPr>
                <w:rFonts w:hint="eastAsia" w:ascii="宋体" w:hAnsi="宋体"/>
                <w:szCs w:val="21"/>
              </w:rPr>
              <w:t>根据投标人对本项目测评的重点和难点的理解以及提供的解决方案及应对措施的情况进行评价，包括但不限于以下内容：</w:t>
            </w:r>
          </w:p>
          <w:p>
            <w:pPr>
              <w:numPr>
                <w:ilvl w:val="255"/>
                <w:numId w:val="0"/>
              </w:numPr>
              <w:spacing w:line="440" w:lineRule="exact"/>
              <w:jc w:val="left"/>
              <w:rPr>
                <w:rFonts w:ascii="宋体" w:hAnsi="宋体"/>
                <w:szCs w:val="21"/>
              </w:rPr>
            </w:pPr>
            <w:r>
              <w:rPr>
                <w:rFonts w:hint="eastAsia" w:ascii="宋体" w:hAnsi="宋体"/>
                <w:szCs w:val="21"/>
              </w:rPr>
              <w:t>1、测评重点难点分析；</w:t>
            </w:r>
          </w:p>
          <w:p>
            <w:pPr>
              <w:numPr>
                <w:ilvl w:val="255"/>
                <w:numId w:val="0"/>
              </w:numPr>
              <w:spacing w:line="440" w:lineRule="exact"/>
              <w:jc w:val="left"/>
              <w:rPr>
                <w:rFonts w:ascii="宋体" w:hAnsi="宋体"/>
                <w:szCs w:val="21"/>
              </w:rPr>
            </w:pPr>
            <w:r>
              <w:rPr>
                <w:rFonts w:hint="eastAsia" w:ascii="宋体" w:hAnsi="宋体"/>
                <w:szCs w:val="21"/>
              </w:rPr>
              <w:t>2、应对措施；</w:t>
            </w:r>
          </w:p>
          <w:p>
            <w:pPr>
              <w:numPr>
                <w:ilvl w:val="255"/>
                <w:numId w:val="0"/>
              </w:numPr>
              <w:spacing w:line="440" w:lineRule="exact"/>
              <w:jc w:val="left"/>
              <w:rPr>
                <w:rFonts w:ascii="宋体" w:hAnsi="宋体"/>
                <w:szCs w:val="21"/>
              </w:rPr>
            </w:pPr>
            <w:r>
              <w:rPr>
                <w:rFonts w:hint="eastAsia" w:ascii="宋体" w:hAnsi="宋体"/>
                <w:szCs w:val="21"/>
              </w:rPr>
              <w:t>3、合理化建议。</w:t>
            </w:r>
          </w:p>
          <w:p>
            <w:pPr>
              <w:numPr>
                <w:ilvl w:val="255"/>
                <w:numId w:val="0"/>
              </w:numPr>
              <w:spacing w:line="440" w:lineRule="exact"/>
              <w:jc w:val="left"/>
              <w:rPr>
                <w:rFonts w:ascii="宋体" w:hAnsi="宋体"/>
                <w:szCs w:val="21"/>
              </w:rPr>
            </w:pPr>
            <w:r>
              <w:rPr>
                <w:rFonts w:hint="eastAsia" w:ascii="宋体" w:hAnsi="宋体"/>
                <w:szCs w:val="21"/>
              </w:rPr>
              <w:t>评分标准：</w:t>
            </w:r>
          </w:p>
          <w:p>
            <w:pPr>
              <w:numPr>
                <w:ilvl w:val="255"/>
                <w:numId w:val="0"/>
              </w:numPr>
              <w:spacing w:line="440" w:lineRule="exact"/>
              <w:jc w:val="left"/>
              <w:rPr>
                <w:rFonts w:ascii="宋体" w:hAnsi="宋体"/>
                <w:szCs w:val="21"/>
              </w:rPr>
            </w:pPr>
            <w:r>
              <w:rPr>
                <w:rFonts w:hint="eastAsia" w:ascii="宋体" w:hAnsi="宋体"/>
                <w:szCs w:val="21"/>
              </w:rPr>
              <w:t>包含以上三项内容得8分；包含以上两项内容得5分；包含以上一项内容得1分；其他情况不得分。在此基础上，根据实施方案进行分档评分：</w:t>
            </w:r>
          </w:p>
          <w:p>
            <w:pPr>
              <w:numPr>
                <w:ilvl w:val="255"/>
                <w:numId w:val="0"/>
              </w:numPr>
              <w:spacing w:line="440" w:lineRule="exact"/>
              <w:jc w:val="left"/>
              <w:rPr>
                <w:rFonts w:ascii="宋体" w:hAnsi="宋体"/>
                <w:szCs w:val="21"/>
              </w:rPr>
            </w:pPr>
            <w:r>
              <w:rPr>
                <w:rFonts w:hint="eastAsia" w:ascii="宋体" w:hAnsi="宋体"/>
                <w:szCs w:val="21"/>
              </w:rPr>
              <w:t>（1）理解充分、应对措施操作性强、并能配合成功案例分析具有可操作性的，加2分；</w:t>
            </w:r>
          </w:p>
          <w:p>
            <w:pPr>
              <w:numPr>
                <w:ilvl w:val="255"/>
                <w:numId w:val="0"/>
              </w:numPr>
              <w:spacing w:line="440" w:lineRule="exact"/>
              <w:jc w:val="left"/>
              <w:rPr>
                <w:rFonts w:ascii="宋体" w:hAnsi="宋体"/>
                <w:szCs w:val="21"/>
              </w:rPr>
            </w:pPr>
            <w:r>
              <w:rPr>
                <w:rFonts w:hint="eastAsia" w:ascii="宋体" w:hAnsi="宋体"/>
                <w:szCs w:val="21"/>
              </w:rPr>
              <w:t>（2）理解比较充分、应对措施具有操作性、并能配合案例分析具有可操作性的，加1分；</w:t>
            </w:r>
          </w:p>
          <w:p>
            <w:pPr>
              <w:numPr>
                <w:ilvl w:val="255"/>
                <w:numId w:val="0"/>
              </w:numPr>
              <w:spacing w:line="440" w:lineRule="exact"/>
              <w:jc w:val="left"/>
              <w:rPr>
                <w:rFonts w:ascii="宋体" w:hAnsi="宋体"/>
                <w:szCs w:val="21"/>
              </w:rPr>
            </w:pPr>
            <w:r>
              <w:rPr>
                <w:rFonts w:hint="eastAsia" w:ascii="宋体" w:hAnsi="宋体"/>
                <w:szCs w:val="21"/>
              </w:rPr>
              <w:t>（3）理解一般、应对措施操作性一般的，加0.5分；</w:t>
            </w:r>
          </w:p>
          <w:p>
            <w:pPr>
              <w:spacing w:line="440" w:lineRule="exact"/>
              <w:jc w:val="left"/>
              <w:rPr>
                <w:rFonts w:ascii="宋体" w:hAnsi="宋体" w:cs="宋体"/>
                <w:sz w:val="22"/>
              </w:rPr>
            </w:pPr>
            <w:r>
              <w:rPr>
                <w:rFonts w:hint="eastAsia" w:ascii="宋体" w:hAnsi="宋体"/>
                <w:szCs w:val="21"/>
              </w:rPr>
              <w:t>（4）理解不到位、应对措施无操作性的，不加分。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adjustRightInd w:val="0"/>
              <w:spacing w:line="440" w:lineRule="exact"/>
              <w:jc w:val="center"/>
              <w:rPr>
                <w:rFonts w:ascii="宋体" w:hAnsi="宋体" w:cs="宋体"/>
                <w:snapToGrid w:val="0"/>
                <w:kern w:val="0"/>
                <w:sz w:val="22"/>
              </w:rPr>
            </w:pPr>
          </w:p>
        </w:tc>
        <w:tc>
          <w:tcPr>
            <w:tcW w:w="1144" w:type="dxa"/>
            <w:vAlign w:val="center"/>
          </w:tcPr>
          <w:p>
            <w:pPr>
              <w:spacing w:line="440" w:lineRule="exact"/>
              <w:jc w:val="center"/>
              <w:textAlignment w:val="top"/>
              <w:rPr>
                <w:rFonts w:ascii="宋体" w:hAnsi="宋体" w:cs="宋体"/>
                <w:kern w:val="0"/>
                <w:sz w:val="22"/>
              </w:rPr>
            </w:pPr>
            <w:r>
              <w:rPr>
                <w:rFonts w:hint="eastAsia" w:ascii="宋体" w:hAnsi="宋体"/>
                <w:szCs w:val="21"/>
              </w:rPr>
              <w:t>质量（完成时间、安全、环保）保障措施及方案</w:t>
            </w:r>
          </w:p>
        </w:tc>
        <w:tc>
          <w:tcPr>
            <w:tcW w:w="850" w:type="dxa"/>
            <w:vAlign w:val="center"/>
          </w:tcPr>
          <w:p>
            <w:pPr>
              <w:spacing w:line="440" w:lineRule="exact"/>
              <w:jc w:val="center"/>
              <w:textAlignment w:val="top"/>
              <w:rPr>
                <w:rFonts w:hint="eastAsia" w:ascii="宋体" w:hAnsi="宋体" w:eastAsia="宋体" w:cs="宋体"/>
                <w:kern w:val="0"/>
                <w:sz w:val="22"/>
              </w:rPr>
            </w:pPr>
            <w:r>
              <w:rPr>
                <w:rFonts w:hint="eastAsia" w:ascii="宋体" w:hAnsi="宋体" w:eastAsia="宋体" w:cs="宋体"/>
                <w:sz w:val="22"/>
              </w:rPr>
              <w:t>5</w:t>
            </w:r>
          </w:p>
        </w:tc>
        <w:tc>
          <w:tcPr>
            <w:tcW w:w="6261" w:type="dxa"/>
            <w:tcBorders>
              <w:right w:val="double" w:color="auto" w:sz="4" w:space="0"/>
            </w:tcBorders>
            <w:vAlign w:val="center"/>
          </w:tcPr>
          <w:p>
            <w:pPr>
              <w:spacing w:line="440" w:lineRule="exact"/>
              <w:jc w:val="left"/>
              <w:rPr>
                <w:rFonts w:hint="eastAsia" w:ascii="宋体" w:hAnsi="宋体" w:eastAsia="宋体" w:cs="宋体"/>
              </w:rPr>
            </w:pPr>
            <w:r>
              <w:rPr>
                <w:rFonts w:hint="eastAsia" w:ascii="宋体" w:hAnsi="宋体" w:eastAsia="宋体" w:cs="宋体"/>
              </w:rPr>
              <w:t>（一）评分内容：</w:t>
            </w:r>
          </w:p>
          <w:p>
            <w:pPr>
              <w:spacing w:line="440" w:lineRule="exact"/>
              <w:jc w:val="left"/>
              <w:rPr>
                <w:rFonts w:hint="eastAsia" w:ascii="宋体" w:hAnsi="宋体" w:eastAsia="宋体" w:cs="宋体"/>
              </w:rPr>
            </w:pPr>
            <w:r>
              <w:rPr>
                <w:rFonts w:hint="eastAsia" w:ascii="宋体" w:hAnsi="宋体" w:eastAsia="宋体" w:cs="宋体"/>
              </w:rPr>
              <w:t>根据投标人本项目实施路线和计划，项目组织方式、管理架构、人员安排与任务分工，项目管理与项目进度控制，项目质量保障方案等进行比较。</w:t>
            </w:r>
          </w:p>
          <w:p>
            <w:pPr>
              <w:spacing w:line="440" w:lineRule="exact"/>
              <w:jc w:val="left"/>
              <w:rPr>
                <w:rFonts w:hint="eastAsia" w:ascii="宋体" w:hAnsi="宋体" w:eastAsia="宋体" w:cs="宋体"/>
              </w:rPr>
            </w:pPr>
            <w:r>
              <w:rPr>
                <w:rFonts w:hint="eastAsia" w:ascii="宋体" w:hAnsi="宋体" w:eastAsia="宋体" w:cs="宋体"/>
              </w:rPr>
              <w:t>（二）评分标准：</w:t>
            </w:r>
          </w:p>
          <w:p>
            <w:pPr>
              <w:spacing w:line="440" w:lineRule="exact"/>
              <w:jc w:val="left"/>
              <w:rPr>
                <w:rFonts w:hint="eastAsia" w:ascii="宋体" w:hAnsi="宋体" w:eastAsia="宋体" w:cs="宋体"/>
              </w:rPr>
            </w:pPr>
            <w:r>
              <w:rPr>
                <w:rFonts w:hint="eastAsia" w:ascii="宋体" w:hAnsi="宋体" w:eastAsia="宋体" w:cs="宋体"/>
              </w:rPr>
              <w:t>（1）方案内容全面具体；</w:t>
            </w:r>
          </w:p>
          <w:p>
            <w:pPr>
              <w:spacing w:line="440" w:lineRule="exact"/>
              <w:jc w:val="left"/>
              <w:rPr>
                <w:rFonts w:hint="eastAsia" w:ascii="宋体" w:hAnsi="宋体" w:eastAsia="宋体" w:cs="宋体"/>
              </w:rPr>
            </w:pPr>
            <w:r>
              <w:rPr>
                <w:rFonts w:hint="eastAsia" w:ascii="宋体" w:hAnsi="宋体" w:eastAsia="宋体" w:cs="宋体"/>
              </w:rPr>
              <w:t>（2）方案科学合理，可操作性强；</w:t>
            </w:r>
          </w:p>
          <w:p>
            <w:pPr>
              <w:spacing w:line="440" w:lineRule="exact"/>
              <w:jc w:val="left"/>
              <w:rPr>
                <w:rFonts w:hint="eastAsia" w:ascii="宋体" w:hAnsi="宋体" w:eastAsia="宋体" w:cs="宋体"/>
              </w:rPr>
            </w:pPr>
            <w:r>
              <w:rPr>
                <w:rFonts w:hint="eastAsia" w:ascii="宋体" w:hAnsi="宋体" w:eastAsia="宋体" w:cs="宋体"/>
              </w:rPr>
              <w:t>（3）方案优于招标文件相关要求。</w:t>
            </w:r>
          </w:p>
          <w:p>
            <w:pPr>
              <w:pStyle w:val="2"/>
              <w:spacing w:after="0" w:line="440" w:lineRule="exact"/>
              <w:ind w:left="0" w:leftChars="0" w:firstLine="0" w:firstLineChars="0"/>
              <w:rPr>
                <w:rFonts w:hint="eastAsia" w:ascii="宋体" w:hAnsi="宋体" w:eastAsia="宋体" w:cs="宋体"/>
              </w:rPr>
            </w:pPr>
            <w:r>
              <w:rPr>
                <w:rFonts w:hint="eastAsia" w:ascii="宋体" w:hAnsi="宋体" w:eastAsia="宋体" w:cs="宋体"/>
              </w:rPr>
              <w:t>满足以上三项要求得5分；满足以上两项要求得3分；满足以上一项要求得1分；其他情况不得分。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Borders>
              <w:left w:val="double" w:color="auto" w:sz="4" w:space="0"/>
            </w:tcBorders>
            <w:vAlign w:val="center"/>
          </w:tcPr>
          <w:p>
            <w:pPr>
              <w:adjustRightInd w:val="0"/>
              <w:spacing w:line="440" w:lineRule="exact"/>
              <w:jc w:val="center"/>
              <w:rPr>
                <w:rFonts w:ascii="宋体" w:hAnsi="宋体" w:cs="宋体"/>
                <w:snapToGrid w:val="0"/>
                <w:kern w:val="0"/>
                <w:sz w:val="22"/>
              </w:rPr>
            </w:pPr>
          </w:p>
        </w:tc>
        <w:tc>
          <w:tcPr>
            <w:tcW w:w="1144" w:type="dxa"/>
            <w:vAlign w:val="center"/>
          </w:tcPr>
          <w:p>
            <w:pPr>
              <w:spacing w:line="440" w:lineRule="exact"/>
              <w:jc w:val="center"/>
              <w:rPr>
                <w:rFonts w:ascii="宋体" w:hAnsi="宋体" w:cs="宋体"/>
                <w:sz w:val="22"/>
              </w:rPr>
            </w:pPr>
            <w:r>
              <w:rPr>
                <w:rFonts w:hint="eastAsia" w:ascii="宋体" w:hAnsi="宋体"/>
                <w:szCs w:val="21"/>
              </w:rPr>
              <w:t>项目完成（服务期满）后的服务承诺</w:t>
            </w:r>
          </w:p>
        </w:tc>
        <w:tc>
          <w:tcPr>
            <w:tcW w:w="850" w:type="dxa"/>
            <w:vAlign w:val="center"/>
          </w:tcPr>
          <w:p>
            <w:pPr>
              <w:spacing w:line="440" w:lineRule="exact"/>
              <w:jc w:val="center"/>
              <w:rPr>
                <w:rFonts w:ascii="宋体" w:hAnsi="宋体" w:cs="宋体"/>
                <w:sz w:val="22"/>
              </w:rPr>
            </w:pPr>
            <w:r>
              <w:rPr>
                <w:rFonts w:hint="eastAsia" w:ascii="宋体" w:hAnsi="宋体" w:cs="宋体"/>
                <w:sz w:val="22"/>
              </w:rPr>
              <w:t>5</w:t>
            </w:r>
          </w:p>
        </w:tc>
        <w:tc>
          <w:tcPr>
            <w:tcW w:w="6261" w:type="dxa"/>
            <w:tcBorders>
              <w:right w:val="double" w:color="auto" w:sz="4" w:space="0"/>
            </w:tcBorders>
            <w:vAlign w:val="center"/>
          </w:tcPr>
          <w:p>
            <w:pPr>
              <w:numPr>
                <w:ilvl w:val="255"/>
                <w:numId w:val="0"/>
              </w:numPr>
              <w:spacing w:line="440" w:lineRule="exact"/>
              <w:jc w:val="left"/>
              <w:rPr>
                <w:rFonts w:ascii="宋体" w:hAnsi="宋体"/>
                <w:szCs w:val="21"/>
              </w:rPr>
            </w:pPr>
            <w:r>
              <w:rPr>
                <w:rFonts w:hint="eastAsia" w:ascii="宋体" w:hAnsi="宋体"/>
                <w:szCs w:val="21"/>
              </w:rPr>
              <w:t>（一）评分内容：</w:t>
            </w:r>
          </w:p>
          <w:p>
            <w:pPr>
              <w:numPr>
                <w:ilvl w:val="255"/>
                <w:numId w:val="0"/>
              </w:numPr>
              <w:spacing w:line="440" w:lineRule="exact"/>
              <w:jc w:val="left"/>
              <w:rPr>
                <w:rFonts w:ascii="宋体" w:hAnsi="宋体"/>
                <w:szCs w:val="21"/>
              </w:rPr>
            </w:pPr>
            <w:r>
              <w:rPr>
                <w:rFonts w:hint="eastAsia" w:ascii="宋体" w:hAnsi="宋体"/>
                <w:szCs w:val="21"/>
              </w:rPr>
              <w:t>投标人提供项目完成（服务期满）后的服务承诺，承诺第三方测评报告内容及结果符合系统终验所要求的第三方测评要求，如不满足要求需要重新进行第三方检测，直至符合终验所要求的的第三方测评要求为止，得5分，否则不得分。</w:t>
            </w:r>
          </w:p>
          <w:p>
            <w:pPr>
              <w:numPr>
                <w:ilvl w:val="255"/>
                <w:numId w:val="0"/>
              </w:numPr>
              <w:spacing w:line="440" w:lineRule="exact"/>
              <w:jc w:val="left"/>
              <w:rPr>
                <w:rFonts w:ascii="宋体" w:hAnsi="宋体"/>
                <w:szCs w:val="21"/>
              </w:rPr>
            </w:pPr>
            <w:r>
              <w:rPr>
                <w:rFonts w:hint="eastAsia" w:ascii="宋体" w:hAnsi="宋体"/>
                <w:szCs w:val="21"/>
              </w:rPr>
              <w:t>（二）评分依据：</w:t>
            </w:r>
          </w:p>
          <w:p>
            <w:pPr>
              <w:spacing w:line="440" w:lineRule="exact"/>
              <w:rPr>
                <w:rFonts w:ascii="宋体" w:hAnsi="宋体" w:cs="宋体"/>
                <w:sz w:val="22"/>
              </w:rPr>
            </w:pPr>
            <w:r>
              <w:rPr>
                <w:rFonts w:hint="eastAsia" w:ascii="宋体" w:hAnsi="宋体"/>
                <w:szCs w:val="21"/>
              </w:rPr>
              <w:t>提供《项目完成（服务期满）后的服务承诺函》（格式自定）作为得分依据，未提供承诺或承诺内容不满足要求不得分。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Borders>
              <w:left w:val="double" w:color="auto" w:sz="4" w:space="0"/>
            </w:tcBorders>
            <w:vAlign w:val="center"/>
          </w:tcPr>
          <w:p>
            <w:pPr>
              <w:adjustRightInd w:val="0"/>
              <w:spacing w:line="440" w:lineRule="exact"/>
              <w:jc w:val="center"/>
              <w:rPr>
                <w:rFonts w:ascii="宋体" w:hAnsi="宋体" w:cs="宋体"/>
                <w:snapToGrid w:val="0"/>
                <w:kern w:val="0"/>
                <w:sz w:val="22"/>
              </w:rPr>
            </w:pPr>
          </w:p>
        </w:tc>
        <w:tc>
          <w:tcPr>
            <w:tcW w:w="1144" w:type="dxa"/>
            <w:vAlign w:val="center"/>
          </w:tcPr>
          <w:p>
            <w:pPr>
              <w:spacing w:line="440" w:lineRule="exact"/>
              <w:jc w:val="center"/>
              <w:rPr>
                <w:rFonts w:ascii="宋体" w:hAnsi="宋体" w:cs="宋体"/>
                <w:sz w:val="22"/>
              </w:rPr>
            </w:pPr>
            <w:r>
              <w:rPr>
                <w:rFonts w:hint="eastAsia" w:ascii="宋体" w:hAnsi="宋体" w:cs="宋体"/>
                <w:sz w:val="22"/>
              </w:rPr>
              <w:t>违约承诺</w:t>
            </w:r>
          </w:p>
        </w:tc>
        <w:tc>
          <w:tcPr>
            <w:tcW w:w="850" w:type="dxa"/>
            <w:vAlign w:val="center"/>
          </w:tcPr>
          <w:p>
            <w:pPr>
              <w:spacing w:line="440" w:lineRule="exact"/>
              <w:jc w:val="center"/>
              <w:rPr>
                <w:rFonts w:ascii="宋体" w:hAnsi="宋体" w:cs="宋体"/>
                <w:sz w:val="22"/>
              </w:rPr>
            </w:pPr>
            <w:r>
              <w:rPr>
                <w:rFonts w:hint="eastAsia" w:ascii="宋体" w:hAnsi="宋体" w:cs="宋体"/>
                <w:sz w:val="22"/>
              </w:rPr>
              <w:t>5</w:t>
            </w:r>
          </w:p>
        </w:tc>
        <w:tc>
          <w:tcPr>
            <w:tcW w:w="6261" w:type="dxa"/>
            <w:tcBorders>
              <w:right w:val="double" w:color="auto" w:sz="4" w:space="0"/>
            </w:tcBorders>
            <w:vAlign w:val="center"/>
          </w:tcPr>
          <w:p>
            <w:pPr>
              <w:spacing w:line="440" w:lineRule="exact"/>
              <w:jc w:val="left"/>
              <w:rPr>
                <w:rFonts w:ascii="宋体" w:hAnsi="宋体"/>
                <w:szCs w:val="21"/>
              </w:rPr>
            </w:pPr>
            <w:r>
              <w:rPr>
                <w:rFonts w:hint="eastAsia" w:ascii="宋体" w:hAnsi="宋体"/>
                <w:szCs w:val="21"/>
              </w:rPr>
              <w:t>（一）评审内容：</w:t>
            </w:r>
          </w:p>
          <w:p>
            <w:pPr>
              <w:spacing w:line="440" w:lineRule="exact"/>
              <w:jc w:val="left"/>
              <w:rPr>
                <w:rFonts w:ascii="宋体" w:hAnsi="宋体"/>
                <w:szCs w:val="21"/>
              </w:rPr>
            </w:pPr>
            <w:r>
              <w:rPr>
                <w:rFonts w:hint="eastAsia" w:ascii="宋体" w:hAnsi="宋体"/>
                <w:szCs w:val="21"/>
              </w:rPr>
              <w:t>投标人提供违约承诺，根据投标人的违约承诺进行评价。</w:t>
            </w:r>
          </w:p>
          <w:p>
            <w:pPr>
              <w:spacing w:line="440" w:lineRule="exact"/>
              <w:jc w:val="left"/>
              <w:rPr>
                <w:rFonts w:ascii="宋体" w:hAnsi="宋体"/>
                <w:szCs w:val="21"/>
              </w:rPr>
            </w:pPr>
            <w:r>
              <w:rPr>
                <w:rFonts w:hint="eastAsia" w:ascii="宋体" w:hAnsi="宋体"/>
                <w:szCs w:val="21"/>
              </w:rPr>
              <w:t>（二）评分标准：</w:t>
            </w:r>
          </w:p>
          <w:p>
            <w:pPr>
              <w:spacing w:line="440" w:lineRule="exact"/>
              <w:jc w:val="left"/>
              <w:rPr>
                <w:rFonts w:ascii="宋体" w:hAnsi="宋体"/>
                <w:szCs w:val="21"/>
              </w:rPr>
            </w:pPr>
            <w:r>
              <w:rPr>
                <w:rFonts w:hint="eastAsia" w:ascii="宋体" w:hAnsi="宋体"/>
                <w:szCs w:val="21"/>
              </w:rPr>
              <w:t>（1）违约承诺内容全面、具体；</w:t>
            </w:r>
          </w:p>
          <w:p>
            <w:pPr>
              <w:spacing w:line="440" w:lineRule="exact"/>
              <w:jc w:val="left"/>
              <w:rPr>
                <w:rFonts w:ascii="宋体" w:hAnsi="宋体"/>
                <w:szCs w:val="21"/>
              </w:rPr>
            </w:pPr>
            <w:r>
              <w:rPr>
                <w:rFonts w:hint="eastAsia" w:ascii="宋体" w:hAnsi="宋体"/>
                <w:szCs w:val="21"/>
              </w:rPr>
              <w:t>（2）违约承诺科学、合理；</w:t>
            </w:r>
          </w:p>
          <w:p>
            <w:pPr>
              <w:spacing w:line="440" w:lineRule="exact"/>
              <w:jc w:val="left"/>
              <w:rPr>
                <w:rFonts w:ascii="宋体" w:hAnsi="宋体"/>
                <w:szCs w:val="21"/>
              </w:rPr>
            </w:pPr>
            <w:r>
              <w:rPr>
                <w:rFonts w:hint="eastAsia" w:ascii="宋体" w:hAnsi="宋体"/>
                <w:szCs w:val="21"/>
              </w:rPr>
              <w:t>（3）违约承诺可约束性强，对未能达到的管理要求承担管理责任；</w:t>
            </w:r>
          </w:p>
          <w:p>
            <w:pPr>
              <w:spacing w:line="440" w:lineRule="exact"/>
              <w:jc w:val="left"/>
              <w:rPr>
                <w:rFonts w:ascii="宋体" w:hAnsi="宋体"/>
                <w:szCs w:val="21"/>
              </w:rPr>
            </w:pPr>
            <w:r>
              <w:rPr>
                <w:rFonts w:hint="eastAsia" w:ascii="宋体" w:hAnsi="宋体"/>
                <w:szCs w:val="21"/>
              </w:rPr>
              <w:t>（4）人员严格按照招标文件及投标承诺配置。</w:t>
            </w:r>
          </w:p>
          <w:p>
            <w:pPr>
              <w:spacing w:line="440" w:lineRule="exact"/>
              <w:jc w:val="left"/>
              <w:rPr>
                <w:rFonts w:ascii="宋体" w:hAnsi="宋体" w:cs="宋体"/>
                <w:sz w:val="22"/>
              </w:rPr>
            </w:pPr>
            <w:r>
              <w:rPr>
                <w:rFonts w:hint="eastAsia" w:ascii="宋体" w:hAnsi="宋体"/>
                <w:szCs w:val="21"/>
              </w:rPr>
              <w:t>满足以上四项要求得5分；满足以上三项要求得3分；满足以上两项要求得1分；其他情况不得分。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65" w:type="dxa"/>
            <w:vMerge w:val="restart"/>
            <w:tcBorders>
              <w:left w:val="double" w:color="auto" w:sz="4" w:space="0"/>
            </w:tcBorders>
            <w:vAlign w:val="center"/>
          </w:tcPr>
          <w:p>
            <w:pPr>
              <w:adjustRightInd w:val="0"/>
              <w:spacing w:line="440" w:lineRule="exact"/>
              <w:jc w:val="center"/>
              <w:rPr>
                <w:rFonts w:ascii="宋体" w:hAnsi="宋体" w:cs="宋体"/>
                <w:snapToGrid w:val="0"/>
                <w:kern w:val="0"/>
                <w:sz w:val="22"/>
              </w:rPr>
            </w:pPr>
            <w:r>
              <w:rPr>
                <w:rFonts w:hint="eastAsia" w:ascii="宋体" w:hAnsi="宋体" w:cs="宋体"/>
                <w:snapToGrid w:val="0"/>
                <w:kern w:val="0"/>
                <w:sz w:val="22"/>
              </w:rPr>
              <w:t>商务部分（S）</w:t>
            </w:r>
          </w:p>
          <w:p>
            <w:pPr>
              <w:adjustRightInd w:val="0"/>
              <w:spacing w:line="440" w:lineRule="exact"/>
              <w:jc w:val="center"/>
              <w:rPr>
                <w:rFonts w:ascii="宋体" w:hAnsi="宋体" w:cs="宋体"/>
                <w:snapToGrid w:val="0"/>
                <w:kern w:val="0"/>
                <w:sz w:val="22"/>
              </w:rPr>
            </w:pPr>
            <w:r>
              <w:rPr>
                <w:rFonts w:hint="eastAsia" w:ascii="宋体" w:hAnsi="宋体" w:cs="宋体"/>
                <w:snapToGrid w:val="0"/>
                <w:kern w:val="0"/>
                <w:sz w:val="22"/>
              </w:rPr>
              <w:t>（总分55分）</w:t>
            </w:r>
          </w:p>
        </w:tc>
        <w:tc>
          <w:tcPr>
            <w:tcW w:w="1144" w:type="dxa"/>
            <w:vAlign w:val="center"/>
          </w:tcPr>
          <w:p>
            <w:pPr>
              <w:spacing w:line="440" w:lineRule="exact"/>
              <w:jc w:val="center"/>
              <w:rPr>
                <w:rFonts w:ascii="宋体" w:hAnsi="宋体" w:cs="宋体"/>
                <w:sz w:val="22"/>
              </w:rPr>
            </w:pPr>
            <w:r>
              <w:rPr>
                <w:rFonts w:hint="eastAsia" w:ascii="宋体" w:hAnsi="宋体"/>
                <w:szCs w:val="21"/>
              </w:rPr>
              <w:t>投标人通过相关认证情况</w:t>
            </w:r>
          </w:p>
        </w:tc>
        <w:tc>
          <w:tcPr>
            <w:tcW w:w="850" w:type="dxa"/>
            <w:tcBorders>
              <w:right w:val="single" w:color="auto" w:sz="4" w:space="0"/>
            </w:tcBorders>
            <w:vAlign w:val="center"/>
          </w:tcPr>
          <w:p>
            <w:pPr>
              <w:spacing w:line="440" w:lineRule="exact"/>
              <w:jc w:val="center"/>
              <w:rPr>
                <w:rFonts w:ascii="宋体" w:hAnsi="宋体" w:cs="宋体"/>
                <w:sz w:val="22"/>
              </w:rPr>
            </w:pPr>
            <w:r>
              <w:rPr>
                <w:rFonts w:hint="eastAsia" w:ascii="宋体" w:hAnsi="宋体" w:cs="宋体"/>
                <w:kern w:val="0"/>
                <w:sz w:val="22"/>
              </w:rPr>
              <w:t>10</w:t>
            </w:r>
          </w:p>
        </w:tc>
        <w:tc>
          <w:tcPr>
            <w:tcW w:w="6261" w:type="dxa"/>
            <w:tcBorders>
              <w:left w:val="single" w:color="auto" w:sz="4" w:space="0"/>
              <w:right w:val="double" w:color="auto" w:sz="4" w:space="0"/>
            </w:tcBorders>
          </w:tcPr>
          <w:p>
            <w:pPr>
              <w:spacing w:line="440" w:lineRule="exact"/>
              <w:jc w:val="left"/>
              <w:rPr>
                <w:rFonts w:ascii="宋体" w:hAnsi="宋体"/>
                <w:szCs w:val="21"/>
              </w:rPr>
            </w:pPr>
            <w:r>
              <w:rPr>
                <w:rFonts w:hint="eastAsia" w:ascii="宋体" w:hAnsi="宋体"/>
                <w:szCs w:val="21"/>
              </w:rPr>
              <w:t>（一）评分内容：</w:t>
            </w:r>
          </w:p>
          <w:p>
            <w:pPr>
              <w:spacing w:line="440" w:lineRule="exact"/>
              <w:jc w:val="left"/>
              <w:rPr>
                <w:rFonts w:ascii="宋体" w:hAnsi="宋体"/>
                <w:szCs w:val="21"/>
              </w:rPr>
            </w:pPr>
            <w:r>
              <w:rPr>
                <w:rFonts w:hint="eastAsia" w:ascii="宋体" w:hAnsi="宋体"/>
                <w:szCs w:val="21"/>
              </w:rPr>
              <w:t>1.具备中国合格评定国家认可委员会颁发的实验室认可证书（CNAS）或省级及以上市场监督管理部门颁发的检验检测机构资质认定证书（CMA），证书覆盖的能力范围须包括应用软件，得3分。</w:t>
            </w:r>
          </w:p>
          <w:p>
            <w:pPr>
              <w:spacing w:line="440" w:lineRule="exact"/>
              <w:jc w:val="left"/>
              <w:rPr>
                <w:rFonts w:ascii="宋体" w:hAnsi="宋体"/>
                <w:szCs w:val="21"/>
              </w:rPr>
            </w:pPr>
            <w:r>
              <w:rPr>
                <w:rFonts w:hint="eastAsia" w:ascii="宋体" w:hAnsi="宋体"/>
                <w:szCs w:val="21"/>
              </w:rPr>
              <w:t>2.投标人通过中国网络安全技术审查与认证中心信息安全服务资质（风险评估）认证（CCRC），得4分。</w:t>
            </w:r>
          </w:p>
          <w:p>
            <w:pPr>
              <w:spacing w:line="440" w:lineRule="exact"/>
              <w:jc w:val="left"/>
              <w:rPr>
                <w:rFonts w:ascii="宋体" w:hAnsi="宋体"/>
                <w:szCs w:val="21"/>
              </w:rPr>
            </w:pPr>
            <w:r>
              <w:rPr>
                <w:rFonts w:hint="eastAsia" w:ascii="宋体" w:hAnsi="宋体"/>
                <w:szCs w:val="21"/>
              </w:rPr>
              <w:t>3.投标人具有信息技术服务标准符合性认证（ITSS），得3分。</w:t>
            </w:r>
          </w:p>
          <w:p>
            <w:pPr>
              <w:spacing w:line="440" w:lineRule="exact"/>
              <w:jc w:val="left"/>
              <w:rPr>
                <w:rFonts w:ascii="宋体" w:hAnsi="宋体"/>
                <w:szCs w:val="21"/>
              </w:rPr>
            </w:pPr>
            <w:r>
              <w:rPr>
                <w:rFonts w:hint="eastAsia" w:ascii="宋体" w:hAnsi="宋体"/>
                <w:szCs w:val="21"/>
              </w:rPr>
              <w:t>（二）评分依据：</w:t>
            </w:r>
          </w:p>
          <w:p>
            <w:pPr>
              <w:spacing w:line="440" w:lineRule="exact"/>
              <w:jc w:val="left"/>
              <w:rPr>
                <w:rFonts w:ascii="宋体" w:hAnsi="宋体"/>
                <w:szCs w:val="21"/>
              </w:rPr>
            </w:pPr>
            <w:r>
              <w:rPr>
                <w:rFonts w:hint="eastAsia" w:ascii="宋体" w:hAnsi="宋体"/>
                <w:szCs w:val="21"/>
              </w:rPr>
              <w:t>1.要求提供有效的资质证书；</w:t>
            </w:r>
          </w:p>
          <w:p>
            <w:pPr>
              <w:spacing w:line="440" w:lineRule="exact"/>
              <w:rPr>
                <w:rFonts w:ascii="宋体" w:hAnsi="宋体" w:cs="宋体"/>
                <w:sz w:val="22"/>
              </w:rPr>
            </w:pPr>
            <w:r>
              <w:rPr>
                <w:rFonts w:hint="eastAsia" w:ascii="宋体" w:hAnsi="宋体"/>
                <w:szCs w:val="21"/>
              </w:rPr>
              <w:t>2.以上资料均要求提供复印件或扫描件，并加盖投标人公章，原件备查。评分中出现无证明资料或专家无法凭所提供资料判断是否得分的情况，一律作不得分处理。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adjustRightInd w:val="0"/>
              <w:spacing w:line="440" w:lineRule="exact"/>
              <w:jc w:val="center"/>
              <w:rPr>
                <w:rFonts w:ascii="宋体" w:hAnsi="宋体" w:cs="宋体"/>
                <w:snapToGrid w:val="0"/>
                <w:kern w:val="0"/>
                <w:sz w:val="22"/>
              </w:rPr>
            </w:pPr>
          </w:p>
        </w:tc>
        <w:tc>
          <w:tcPr>
            <w:tcW w:w="1144" w:type="dxa"/>
            <w:vAlign w:val="center"/>
          </w:tcPr>
          <w:p>
            <w:pPr>
              <w:spacing w:line="440" w:lineRule="exact"/>
              <w:jc w:val="center"/>
              <w:rPr>
                <w:rFonts w:ascii="宋体" w:hAnsi="宋体" w:cs="宋体"/>
                <w:sz w:val="22"/>
              </w:rPr>
            </w:pPr>
            <w:r>
              <w:rPr>
                <w:rFonts w:hint="eastAsia" w:ascii="宋体" w:hAnsi="宋体"/>
                <w:szCs w:val="21"/>
              </w:rPr>
              <w:t>投标人同类项目业绩情况</w:t>
            </w:r>
          </w:p>
        </w:tc>
        <w:tc>
          <w:tcPr>
            <w:tcW w:w="850" w:type="dxa"/>
            <w:tcBorders>
              <w:right w:val="single" w:color="auto" w:sz="4" w:space="0"/>
            </w:tcBorders>
            <w:vAlign w:val="center"/>
          </w:tcPr>
          <w:p>
            <w:pPr>
              <w:spacing w:line="440" w:lineRule="exact"/>
              <w:jc w:val="center"/>
              <w:rPr>
                <w:rFonts w:ascii="宋体" w:hAnsi="宋体" w:cs="宋体"/>
                <w:snapToGrid w:val="0"/>
                <w:kern w:val="0"/>
                <w:sz w:val="22"/>
              </w:rPr>
            </w:pPr>
            <w:r>
              <w:rPr>
                <w:rFonts w:hint="eastAsia" w:ascii="宋体" w:hAnsi="宋体" w:cs="宋体"/>
                <w:sz w:val="22"/>
              </w:rPr>
              <w:t>7</w:t>
            </w:r>
          </w:p>
        </w:tc>
        <w:tc>
          <w:tcPr>
            <w:tcW w:w="6261" w:type="dxa"/>
            <w:tcBorders>
              <w:left w:val="single" w:color="auto" w:sz="4" w:space="0"/>
              <w:right w:val="double" w:color="auto" w:sz="4" w:space="0"/>
            </w:tcBorders>
            <w:vAlign w:val="center"/>
          </w:tcPr>
          <w:p>
            <w:pPr>
              <w:spacing w:line="440" w:lineRule="exact"/>
              <w:jc w:val="left"/>
              <w:rPr>
                <w:rFonts w:ascii="宋体" w:hAnsi="宋体"/>
                <w:szCs w:val="21"/>
              </w:rPr>
            </w:pPr>
            <w:r>
              <w:rPr>
                <w:rFonts w:hint="eastAsia" w:ascii="宋体" w:hAnsi="宋体"/>
                <w:szCs w:val="21"/>
              </w:rPr>
              <w:t>（一）评分内容：</w:t>
            </w:r>
          </w:p>
          <w:p>
            <w:pPr>
              <w:spacing w:line="440" w:lineRule="exact"/>
              <w:jc w:val="left"/>
              <w:rPr>
                <w:rFonts w:ascii="宋体" w:hAnsi="宋体"/>
                <w:szCs w:val="21"/>
              </w:rPr>
            </w:pPr>
            <w:r>
              <w:rPr>
                <w:rFonts w:hint="eastAsia" w:ascii="宋体" w:hAnsi="宋体"/>
                <w:szCs w:val="21"/>
              </w:rPr>
              <w:t>2019年1月1日至本项目投标截止日（以合同签订日期为准）投标人具有同类第三方软件测试或验收测试项目的案例，每提供一个项目案例得1分，最高得7分。</w:t>
            </w:r>
          </w:p>
          <w:p>
            <w:pPr>
              <w:spacing w:line="440" w:lineRule="exact"/>
              <w:jc w:val="left"/>
              <w:rPr>
                <w:rFonts w:ascii="宋体" w:hAnsi="宋体"/>
                <w:szCs w:val="21"/>
              </w:rPr>
            </w:pPr>
            <w:r>
              <w:rPr>
                <w:rFonts w:hint="eastAsia" w:ascii="宋体" w:hAnsi="宋体"/>
                <w:szCs w:val="21"/>
              </w:rPr>
              <w:t>（二）评分依据：</w:t>
            </w:r>
          </w:p>
          <w:p>
            <w:pPr>
              <w:spacing w:line="440" w:lineRule="exact"/>
              <w:jc w:val="left"/>
              <w:rPr>
                <w:rFonts w:ascii="宋体" w:hAnsi="宋体"/>
                <w:szCs w:val="21"/>
              </w:rPr>
            </w:pPr>
            <w:r>
              <w:rPr>
                <w:rFonts w:hint="eastAsia" w:ascii="宋体" w:hAnsi="宋体"/>
                <w:szCs w:val="21"/>
              </w:rPr>
              <w:t>1.要求提供合同关键页（关键信息包括但不仅限于合同的项目名称、服务内容、合同服务期限、合同签订日期、甲乙双方签字盖章页）及中标通知书，且提供的材料各项信息不得有任何遮挡；</w:t>
            </w:r>
          </w:p>
          <w:p>
            <w:pPr>
              <w:spacing w:line="440" w:lineRule="exact"/>
              <w:jc w:val="left"/>
              <w:rPr>
                <w:rFonts w:ascii="宋体" w:hAnsi="宋体"/>
                <w:szCs w:val="21"/>
              </w:rPr>
            </w:pPr>
            <w:r>
              <w:rPr>
                <w:rFonts w:hint="eastAsia" w:ascii="宋体" w:hAnsi="宋体"/>
                <w:szCs w:val="21"/>
              </w:rPr>
              <w:t>2.通过合同关键信息无法判断是否得分的，还须同时提供能证明得分的其它证明资料，如项目报告或合同甲方出具的证明文件等；</w:t>
            </w:r>
          </w:p>
          <w:p>
            <w:pPr>
              <w:pStyle w:val="11"/>
              <w:spacing w:after="0" w:line="440" w:lineRule="exact"/>
              <w:rPr>
                <w:rFonts w:ascii="宋体" w:hAnsi="宋体" w:cs="宋体"/>
                <w:sz w:val="22"/>
              </w:rPr>
            </w:pPr>
            <w:r>
              <w:rPr>
                <w:rFonts w:hint="eastAsia" w:ascii="宋体" w:hAnsi="宋体"/>
                <w:szCs w:val="21"/>
              </w:rPr>
              <w:t>3.以上资料均要求提供复印件或扫描件，加盖投标人公章，原件备查。评分中出现无证明资料或专家无法凭所提供资料判断是否得分的情况，一律作不得分处理。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adjustRightInd w:val="0"/>
              <w:spacing w:line="440" w:lineRule="exact"/>
              <w:jc w:val="center"/>
              <w:rPr>
                <w:rFonts w:ascii="宋体" w:hAnsi="宋体" w:cs="宋体"/>
                <w:snapToGrid w:val="0"/>
                <w:kern w:val="0"/>
                <w:sz w:val="22"/>
              </w:rPr>
            </w:pPr>
          </w:p>
        </w:tc>
        <w:tc>
          <w:tcPr>
            <w:tcW w:w="1144" w:type="dxa"/>
            <w:vAlign w:val="center"/>
          </w:tcPr>
          <w:p>
            <w:pPr>
              <w:spacing w:line="440" w:lineRule="exact"/>
              <w:jc w:val="center"/>
              <w:rPr>
                <w:rFonts w:ascii="宋体" w:hAnsi="宋体" w:cs="宋体"/>
                <w:sz w:val="22"/>
              </w:rPr>
            </w:pPr>
            <w:r>
              <w:rPr>
                <w:rFonts w:hint="eastAsia" w:ascii="宋体" w:hAnsi="宋体"/>
                <w:szCs w:val="21"/>
              </w:rPr>
              <w:t>拟安排的项目负责人情况（仅限一人）</w:t>
            </w:r>
          </w:p>
        </w:tc>
        <w:tc>
          <w:tcPr>
            <w:tcW w:w="850" w:type="dxa"/>
            <w:tcBorders>
              <w:right w:val="single" w:color="auto" w:sz="4" w:space="0"/>
            </w:tcBorders>
            <w:vAlign w:val="center"/>
          </w:tcPr>
          <w:p>
            <w:pPr>
              <w:spacing w:line="440" w:lineRule="exact"/>
              <w:jc w:val="center"/>
              <w:rPr>
                <w:rFonts w:ascii="宋体" w:hAnsi="宋体" w:cs="宋体"/>
                <w:sz w:val="22"/>
              </w:rPr>
            </w:pPr>
            <w:r>
              <w:rPr>
                <w:rFonts w:hint="eastAsia" w:ascii="宋体" w:hAnsi="宋体" w:cs="宋体"/>
                <w:sz w:val="22"/>
              </w:rPr>
              <w:t>12</w:t>
            </w:r>
          </w:p>
        </w:tc>
        <w:tc>
          <w:tcPr>
            <w:tcW w:w="6261" w:type="dxa"/>
            <w:tcBorders>
              <w:left w:val="single" w:color="auto" w:sz="4" w:space="0"/>
              <w:right w:val="double" w:color="auto" w:sz="4" w:space="0"/>
            </w:tcBorders>
            <w:vAlign w:val="center"/>
          </w:tcPr>
          <w:p>
            <w:pPr>
              <w:numPr>
                <w:ilvl w:val="255"/>
                <w:numId w:val="0"/>
              </w:numPr>
              <w:spacing w:line="440" w:lineRule="exact"/>
              <w:jc w:val="left"/>
              <w:rPr>
                <w:rFonts w:ascii="宋体" w:hAnsi="宋体"/>
                <w:szCs w:val="21"/>
              </w:rPr>
            </w:pPr>
            <w:r>
              <w:rPr>
                <w:rFonts w:hint="eastAsia" w:ascii="宋体" w:hAnsi="宋体"/>
                <w:szCs w:val="21"/>
              </w:rPr>
              <w:t>评分内容：</w:t>
            </w:r>
          </w:p>
          <w:p>
            <w:pPr>
              <w:numPr>
                <w:ilvl w:val="255"/>
                <w:numId w:val="0"/>
              </w:numPr>
              <w:spacing w:line="440" w:lineRule="exact"/>
              <w:jc w:val="left"/>
              <w:rPr>
                <w:rFonts w:ascii="宋体" w:hAnsi="宋体"/>
                <w:szCs w:val="21"/>
              </w:rPr>
            </w:pPr>
            <w:r>
              <w:rPr>
                <w:rFonts w:hint="eastAsia" w:ascii="宋体" w:hAnsi="宋体"/>
                <w:szCs w:val="21"/>
              </w:rPr>
              <w:t>投标人须拟安排的项目负责人（仅限一人）需为投标单位正式聘任员工，且具有系统分析师证书，否则本项不得分。在此基础上，按以下标准评分：</w:t>
            </w:r>
          </w:p>
          <w:p>
            <w:pPr>
              <w:numPr>
                <w:ilvl w:val="255"/>
                <w:numId w:val="0"/>
              </w:numPr>
              <w:spacing w:line="440" w:lineRule="exact"/>
              <w:jc w:val="left"/>
              <w:rPr>
                <w:rFonts w:ascii="宋体" w:hAnsi="宋体"/>
                <w:szCs w:val="21"/>
              </w:rPr>
            </w:pPr>
            <w:r>
              <w:rPr>
                <w:rFonts w:hint="eastAsia" w:ascii="宋体" w:hAnsi="宋体"/>
                <w:szCs w:val="21"/>
              </w:rPr>
              <w:t>1.具有信息系统项目管理师证书，得2分；</w:t>
            </w:r>
          </w:p>
          <w:p>
            <w:pPr>
              <w:numPr>
                <w:ilvl w:val="255"/>
                <w:numId w:val="0"/>
              </w:numPr>
              <w:spacing w:line="440" w:lineRule="exact"/>
              <w:jc w:val="left"/>
              <w:rPr>
                <w:rFonts w:ascii="宋体" w:hAnsi="宋体"/>
                <w:szCs w:val="21"/>
              </w:rPr>
            </w:pPr>
            <w:r>
              <w:rPr>
                <w:rFonts w:hint="eastAsia" w:ascii="宋体" w:hAnsi="宋体"/>
                <w:szCs w:val="21"/>
              </w:rPr>
              <w:t>2.具有信息安全保障人员CISAW（风险管理专业级）证书，得2分；</w:t>
            </w:r>
          </w:p>
          <w:p>
            <w:pPr>
              <w:numPr>
                <w:ilvl w:val="255"/>
                <w:numId w:val="0"/>
              </w:numPr>
              <w:spacing w:line="440" w:lineRule="exact"/>
              <w:jc w:val="left"/>
              <w:rPr>
                <w:rFonts w:ascii="宋体" w:hAnsi="宋体"/>
                <w:szCs w:val="21"/>
              </w:rPr>
            </w:pPr>
            <w:r>
              <w:rPr>
                <w:rFonts w:hint="eastAsia" w:ascii="宋体" w:hAnsi="宋体"/>
                <w:szCs w:val="21"/>
              </w:rPr>
              <w:t>3.具有注册信息安全专业人员（CISP）证书，得2分；</w:t>
            </w:r>
          </w:p>
          <w:p>
            <w:pPr>
              <w:numPr>
                <w:ilvl w:val="255"/>
                <w:numId w:val="0"/>
              </w:numPr>
              <w:spacing w:line="440" w:lineRule="exact"/>
              <w:jc w:val="left"/>
              <w:rPr>
                <w:rFonts w:ascii="宋体" w:hAnsi="宋体"/>
                <w:szCs w:val="21"/>
              </w:rPr>
            </w:pPr>
            <w:r>
              <w:rPr>
                <w:rFonts w:hint="eastAsia" w:ascii="宋体" w:hAnsi="宋体"/>
                <w:szCs w:val="21"/>
              </w:rPr>
              <w:t>4.具有软件评测师证书，得2分；</w:t>
            </w:r>
          </w:p>
          <w:p>
            <w:pPr>
              <w:numPr>
                <w:ilvl w:val="255"/>
                <w:numId w:val="0"/>
              </w:numPr>
              <w:spacing w:line="440" w:lineRule="exact"/>
              <w:jc w:val="left"/>
              <w:rPr>
                <w:rFonts w:ascii="宋体" w:hAnsi="宋体"/>
                <w:szCs w:val="21"/>
              </w:rPr>
            </w:pPr>
            <w:r>
              <w:rPr>
                <w:rFonts w:hint="eastAsia" w:ascii="宋体" w:hAnsi="宋体"/>
                <w:szCs w:val="21"/>
              </w:rPr>
              <w:t>5.具有硕士及以上学位证书，得2分；</w:t>
            </w:r>
          </w:p>
          <w:p>
            <w:pPr>
              <w:numPr>
                <w:ilvl w:val="255"/>
                <w:numId w:val="0"/>
              </w:numPr>
              <w:spacing w:line="440" w:lineRule="exact"/>
              <w:jc w:val="left"/>
              <w:rPr>
                <w:rFonts w:ascii="宋体" w:hAnsi="宋体"/>
                <w:szCs w:val="21"/>
              </w:rPr>
            </w:pPr>
            <w:r>
              <w:rPr>
                <w:rFonts w:hint="eastAsia" w:ascii="宋体" w:hAnsi="宋体"/>
                <w:szCs w:val="21"/>
              </w:rPr>
              <w:t>6.具有系统评测类工程师职称证书，得2分。</w:t>
            </w:r>
          </w:p>
          <w:p>
            <w:pPr>
              <w:numPr>
                <w:ilvl w:val="255"/>
                <w:numId w:val="0"/>
              </w:numPr>
              <w:spacing w:line="440" w:lineRule="exact"/>
              <w:jc w:val="left"/>
              <w:rPr>
                <w:rFonts w:ascii="宋体" w:hAnsi="宋体"/>
                <w:szCs w:val="21"/>
              </w:rPr>
            </w:pPr>
            <w:r>
              <w:rPr>
                <w:rFonts w:hint="eastAsia" w:ascii="宋体" w:hAnsi="宋体"/>
                <w:szCs w:val="21"/>
              </w:rPr>
              <w:t>本项最高得12分。</w:t>
            </w:r>
          </w:p>
          <w:p>
            <w:pPr>
              <w:numPr>
                <w:ilvl w:val="255"/>
                <w:numId w:val="0"/>
              </w:numPr>
              <w:spacing w:line="440" w:lineRule="exact"/>
              <w:jc w:val="left"/>
              <w:rPr>
                <w:rFonts w:ascii="宋体" w:hAnsi="宋体"/>
                <w:szCs w:val="21"/>
              </w:rPr>
            </w:pPr>
            <w:r>
              <w:rPr>
                <w:rFonts w:hint="eastAsia" w:ascii="宋体" w:hAnsi="宋体"/>
                <w:szCs w:val="21"/>
              </w:rPr>
              <w:t>（二）评分依据：</w:t>
            </w:r>
          </w:p>
          <w:p>
            <w:pPr>
              <w:numPr>
                <w:ilvl w:val="255"/>
                <w:numId w:val="0"/>
              </w:numPr>
              <w:spacing w:line="440" w:lineRule="exact"/>
              <w:jc w:val="left"/>
              <w:rPr>
                <w:rFonts w:ascii="宋体" w:hAnsi="宋体"/>
                <w:szCs w:val="21"/>
              </w:rPr>
            </w:pPr>
            <w:r>
              <w:rPr>
                <w:rFonts w:hint="eastAsia" w:ascii="宋体" w:hAnsi="宋体"/>
                <w:szCs w:val="21"/>
              </w:rPr>
              <w:t>1.提供项目负责人通过投标单位缴纳的载有社保部门公章的近一个月的个人社保证明，如供应商为新成立单位且成立时间不足一个月的，可提供加盖公章的情况说明；</w:t>
            </w:r>
          </w:p>
          <w:p>
            <w:pPr>
              <w:numPr>
                <w:ilvl w:val="255"/>
                <w:numId w:val="0"/>
              </w:numPr>
              <w:spacing w:line="440" w:lineRule="exact"/>
              <w:jc w:val="left"/>
              <w:rPr>
                <w:rFonts w:ascii="宋体" w:hAnsi="宋体"/>
                <w:szCs w:val="21"/>
              </w:rPr>
            </w:pPr>
            <w:r>
              <w:rPr>
                <w:rFonts w:hint="eastAsia" w:ascii="宋体" w:hAnsi="宋体"/>
                <w:szCs w:val="21"/>
              </w:rPr>
              <w:t>2.提供上述资格证书，毕业证书（或学位证书）以及学信网查询记录，对于较早颁发的学历学位证书，学信网无法查询的，还需提供毕业院校或者人社部门或者教育部门出具的证明，否则无效；</w:t>
            </w:r>
          </w:p>
          <w:p>
            <w:pPr>
              <w:spacing w:line="440" w:lineRule="exact"/>
              <w:jc w:val="left"/>
              <w:rPr>
                <w:rFonts w:ascii="宋体" w:hAnsi="宋体" w:cs="宋体"/>
                <w:sz w:val="22"/>
              </w:rPr>
            </w:pPr>
            <w:r>
              <w:rPr>
                <w:rFonts w:hint="eastAsia" w:ascii="宋体" w:hAnsi="宋体"/>
                <w:szCs w:val="21"/>
              </w:rPr>
              <w:t>3.以上资料均要求提供复印件或扫描件，并加盖投标人公章，原件备查。评分中出现无证明资料或专家无法凭所提供资料判断是否得分的情况，一律作不得分处理。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adjustRightInd w:val="0"/>
              <w:spacing w:line="440" w:lineRule="exact"/>
              <w:jc w:val="center"/>
              <w:rPr>
                <w:rFonts w:ascii="宋体" w:hAnsi="宋体" w:cs="宋体"/>
                <w:snapToGrid w:val="0"/>
                <w:kern w:val="0"/>
                <w:sz w:val="22"/>
              </w:rPr>
            </w:pPr>
          </w:p>
        </w:tc>
        <w:tc>
          <w:tcPr>
            <w:tcW w:w="1144" w:type="dxa"/>
            <w:vAlign w:val="center"/>
          </w:tcPr>
          <w:p>
            <w:pPr>
              <w:spacing w:line="440" w:lineRule="exact"/>
              <w:jc w:val="center"/>
              <w:rPr>
                <w:rFonts w:ascii="宋体" w:hAnsi="宋体" w:cs="宋体"/>
                <w:sz w:val="22"/>
              </w:rPr>
            </w:pPr>
            <w:r>
              <w:rPr>
                <w:rFonts w:hint="eastAsia" w:ascii="宋体" w:hAnsi="宋体"/>
                <w:szCs w:val="21"/>
              </w:rPr>
              <w:t>拟安排的项目主要团队成员（主要技术人员）情况（项目负责人除外）</w:t>
            </w:r>
          </w:p>
        </w:tc>
        <w:tc>
          <w:tcPr>
            <w:tcW w:w="850" w:type="dxa"/>
            <w:tcBorders>
              <w:right w:val="single" w:color="auto" w:sz="4" w:space="0"/>
            </w:tcBorders>
            <w:vAlign w:val="center"/>
          </w:tcPr>
          <w:p>
            <w:pPr>
              <w:spacing w:line="440" w:lineRule="exact"/>
              <w:jc w:val="center"/>
              <w:rPr>
                <w:rFonts w:ascii="宋体" w:hAnsi="宋体" w:cs="宋体"/>
                <w:sz w:val="22"/>
              </w:rPr>
            </w:pPr>
            <w:r>
              <w:rPr>
                <w:rFonts w:hint="eastAsia" w:ascii="宋体" w:hAnsi="宋体" w:cs="宋体"/>
                <w:sz w:val="22"/>
              </w:rPr>
              <w:t>15</w:t>
            </w:r>
          </w:p>
        </w:tc>
        <w:tc>
          <w:tcPr>
            <w:tcW w:w="6261" w:type="dxa"/>
            <w:tcBorders>
              <w:left w:val="single" w:color="auto" w:sz="4" w:space="0"/>
              <w:right w:val="double" w:color="auto" w:sz="4" w:space="0"/>
            </w:tcBorders>
            <w:vAlign w:val="center"/>
          </w:tcPr>
          <w:p>
            <w:pPr>
              <w:spacing w:line="440" w:lineRule="exact"/>
              <w:jc w:val="left"/>
              <w:rPr>
                <w:rFonts w:ascii="宋体" w:hAnsi="宋体"/>
                <w:szCs w:val="21"/>
              </w:rPr>
            </w:pPr>
            <w:r>
              <w:rPr>
                <w:rFonts w:hint="eastAsia" w:ascii="宋体" w:hAnsi="宋体"/>
                <w:szCs w:val="21"/>
              </w:rPr>
              <w:t>（一）评分内容：</w:t>
            </w:r>
          </w:p>
          <w:p>
            <w:pPr>
              <w:spacing w:line="440" w:lineRule="exact"/>
              <w:jc w:val="left"/>
              <w:rPr>
                <w:rFonts w:ascii="宋体" w:hAnsi="宋体"/>
                <w:szCs w:val="21"/>
              </w:rPr>
            </w:pPr>
            <w:r>
              <w:rPr>
                <w:rFonts w:hint="eastAsia" w:ascii="宋体" w:hAnsi="宋体"/>
                <w:szCs w:val="21"/>
              </w:rPr>
              <w:t>投标人拟安排的项目团队成员（项目负责人除外）需为本投标单位正式员工，否则本项不得分。在此基础上，按以下标准评分：</w:t>
            </w:r>
          </w:p>
          <w:p>
            <w:pPr>
              <w:spacing w:line="440" w:lineRule="exact"/>
              <w:jc w:val="left"/>
              <w:rPr>
                <w:rFonts w:ascii="宋体" w:hAnsi="宋体"/>
                <w:szCs w:val="21"/>
              </w:rPr>
            </w:pPr>
            <w:r>
              <w:rPr>
                <w:rFonts w:hint="eastAsia" w:ascii="宋体" w:hAnsi="宋体"/>
                <w:szCs w:val="21"/>
              </w:rPr>
              <w:t>1.软件专业人员不少于1人：具有系统分析师证书和软件设计师证书；</w:t>
            </w:r>
          </w:p>
          <w:p>
            <w:pPr>
              <w:spacing w:line="440" w:lineRule="exact"/>
              <w:jc w:val="left"/>
              <w:rPr>
                <w:rFonts w:ascii="宋体" w:hAnsi="宋体"/>
                <w:szCs w:val="21"/>
              </w:rPr>
            </w:pPr>
            <w:r>
              <w:rPr>
                <w:rFonts w:hint="eastAsia" w:ascii="宋体" w:hAnsi="宋体"/>
                <w:szCs w:val="21"/>
              </w:rPr>
              <w:t>2.信息安全专业人员不少于1人：具有信息安全保障人员认证证书（风险管理专业级）和软件评测师证书；</w:t>
            </w:r>
          </w:p>
          <w:p>
            <w:pPr>
              <w:spacing w:line="440" w:lineRule="exact"/>
              <w:jc w:val="left"/>
              <w:rPr>
                <w:rFonts w:ascii="宋体" w:hAnsi="宋体"/>
                <w:szCs w:val="21"/>
              </w:rPr>
            </w:pPr>
            <w:r>
              <w:rPr>
                <w:rFonts w:hint="eastAsia" w:ascii="宋体" w:hAnsi="宋体"/>
                <w:szCs w:val="21"/>
              </w:rPr>
              <w:t>3.性能测试专业人员不少于1人：具有 “软件性能测试高级工程师”证书和“信息安全管理师”专业人才证书；</w:t>
            </w:r>
          </w:p>
          <w:p>
            <w:pPr>
              <w:spacing w:line="440" w:lineRule="exact"/>
              <w:jc w:val="left"/>
              <w:rPr>
                <w:rFonts w:ascii="宋体" w:hAnsi="宋体"/>
                <w:szCs w:val="21"/>
              </w:rPr>
            </w:pPr>
            <w:r>
              <w:rPr>
                <w:rFonts w:hint="eastAsia" w:ascii="宋体" w:hAnsi="宋体"/>
                <w:szCs w:val="21"/>
              </w:rPr>
              <w:t>4.网络专业人员不少于1人：具有“网络工程管理师”专业人才证书；</w:t>
            </w:r>
          </w:p>
          <w:p>
            <w:pPr>
              <w:spacing w:line="440" w:lineRule="exact"/>
              <w:jc w:val="left"/>
              <w:rPr>
                <w:rFonts w:ascii="宋体" w:hAnsi="宋体"/>
                <w:szCs w:val="21"/>
              </w:rPr>
            </w:pPr>
            <w:r>
              <w:rPr>
                <w:rFonts w:hint="eastAsia" w:ascii="宋体" w:hAnsi="宋体"/>
                <w:szCs w:val="21"/>
              </w:rPr>
              <w:t>5.软件测试人员不少于1人：具有工业和信息化人才专业知识测评证书（软件测试高级）。</w:t>
            </w:r>
          </w:p>
          <w:p>
            <w:pPr>
              <w:spacing w:line="440" w:lineRule="exact"/>
              <w:jc w:val="left"/>
              <w:rPr>
                <w:rFonts w:ascii="宋体" w:hAnsi="宋体"/>
                <w:szCs w:val="21"/>
              </w:rPr>
            </w:pPr>
            <w:r>
              <w:rPr>
                <w:rFonts w:hint="eastAsia" w:ascii="宋体" w:hAnsi="宋体"/>
                <w:szCs w:val="21"/>
              </w:rPr>
              <w:t>上述条件每满足1项得3分，最多得15分,同一人满足多项条件的只计算一次。</w:t>
            </w:r>
          </w:p>
          <w:p>
            <w:pPr>
              <w:spacing w:line="440" w:lineRule="exact"/>
              <w:jc w:val="left"/>
              <w:rPr>
                <w:rFonts w:ascii="宋体" w:hAnsi="宋体"/>
                <w:szCs w:val="21"/>
              </w:rPr>
            </w:pPr>
            <w:r>
              <w:rPr>
                <w:rFonts w:hint="eastAsia" w:ascii="宋体" w:hAnsi="宋体"/>
                <w:szCs w:val="21"/>
              </w:rPr>
              <w:t>（二）评分依据：</w:t>
            </w:r>
          </w:p>
          <w:p>
            <w:pPr>
              <w:spacing w:line="440" w:lineRule="exact"/>
              <w:jc w:val="left"/>
              <w:rPr>
                <w:rFonts w:ascii="宋体" w:hAnsi="宋体"/>
                <w:szCs w:val="21"/>
              </w:rPr>
            </w:pPr>
            <w:r>
              <w:rPr>
                <w:rFonts w:hint="eastAsia" w:ascii="宋体" w:hAnsi="宋体"/>
                <w:szCs w:val="21"/>
              </w:rPr>
              <w:t>1. 提供项目团队成员通过投标单位缴纳的载有社保部门公章的近一个月个人社保证明，如供应商为新成立单位且成立时间不足一个月的，可提供加盖公章的情况说明；</w:t>
            </w:r>
          </w:p>
          <w:p>
            <w:pPr>
              <w:spacing w:line="440" w:lineRule="exact"/>
              <w:jc w:val="left"/>
              <w:rPr>
                <w:rFonts w:ascii="宋体" w:hAnsi="宋体"/>
                <w:szCs w:val="21"/>
              </w:rPr>
            </w:pPr>
            <w:r>
              <w:rPr>
                <w:rFonts w:hint="eastAsia" w:ascii="宋体" w:hAnsi="宋体"/>
                <w:szCs w:val="21"/>
              </w:rPr>
              <w:t>2.提供上述证书；</w:t>
            </w:r>
          </w:p>
          <w:p>
            <w:pPr>
              <w:spacing w:line="440" w:lineRule="exact"/>
              <w:jc w:val="left"/>
              <w:rPr>
                <w:rFonts w:ascii="宋体" w:hAnsi="宋体" w:cs="宋体"/>
                <w:sz w:val="22"/>
              </w:rPr>
            </w:pPr>
            <w:r>
              <w:rPr>
                <w:rFonts w:hint="eastAsia" w:ascii="宋体" w:hAnsi="宋体"/>
                <w:szCs w:val="21"/>
              </w:rPr>
              <w:t>3.以上资料均要求提供复印件或扫描件，并加盖投标人公章，原件备查。评分中出现无证明资料或专家无法凭所提供资料判断是否得分的情况，一律作不得分处理。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adjustRightInd w:val="0"/>
              <w:spacing w:line="440" w:lineRule="exact"/>
              <w:jc w:val="center"/>
              <w:rPr>
                <w:rFonts w:ascii="宋体" w:hAnsi="宋体" w:cs="宋体"/>
                <w:snapToGrid w:val="0"/>
                <w:kern w:val="0"/>
                <w:sz w:val="22"/>
              </w:rPr>
            </w:pPr>
          </w:p>
        </w:tc>
        <w:tc>
          <w:tcPr>
            <w:tcW w:w="1144" w:type="dxa"/>
            <w:vAlign w:val="center"/>
          </w:tcPr>
          <w:p>
            <w:pPr>
              <w:spacing w:line="440" w:lineRule="exact"/>
              <w:jc w:val="center"/>
              <w:rPr>
                <w:rFonts w:ascii="宋体" w:hAnsi="宋体" w:cs="宋体"/>
                <w:sz w:val="22"/>
              </w:rPr>
            </w:pPr>
            <w:r>
              <w:rPr>
                <w:rFonts w:hint="eastAsia" w:ascii="宋体" w:hAnsi="宋体"/>
                <w:szCs w:val="21"/>
              </w:rPr>
              <w:t>投标人自主知识产权产品（创新、设计）情况</w:t>
            </w:r>
          </w:p>
        </w:tc>
        <w:tc>
          <w:tcPr>
            <w:tcW w:w="850" w:type="dxa"/>
            <w:tcBorders>
              <w:right w:val="single" w:color="auto" w:sz="4" w:space="0"/>
            </w:tcBorders>
            <w:vAlign w:val="center"/>
          </w:tcPr>
          <w:p>
            <w:pPr>
              <w:spacing w:line="440" w:lineRule="exact"/>
              <w:jc w:val="center"/>
              <w:rPr>
                <w:rFonts w:ascii="宋体" w:hAnsi="宋体" w:cs="宋体"/>
                <w:sz w:val="22"/>
              </w:rPr>
            </w:pPr>
            <w:r>
              <w:rPr>
                <w:rFonts w:hint="eastAsia" w:ascii="宋体" w:hAnsi="宋体" w:cs="宋体"/>
                <w:sz w:val="22"/>
              </w:rPr>
              <w:t>6</w:t>
            </w:r>
          </w:p>
        </w:tc>
        <w:tc>
          <w:tcPr>
            <w:tcW w:w="6261" w:type="dxa"/>
            <w:tcBorders>
              <w:left w:val="single" w:color="auto" w:sz="4" w:space="0"/>
              <w:right w:val="double" w:color="auto" w:sz="4" w:space="0"/>
            </w:tcBorders>
            <w:vAlign w:val="center"/>
          </w:tcPr>
          <w:p>
            <w:pPr>
              <w:spacing w:line="440" w:lineRule="exact"/>
              <w:jc w:val="left"/>
              <w:rPr>
                <w:rFonts w:ascii="宋体" w:hAnsi="宋体"/>
                <w:szCs w:val="21"/>
              </w:rPr>
            </w:pPr>
            <w:r>
              <w:rPr>
                <w:rFonts w:hint="eastAsia" w:ascii="宋体" w:hAnsi="宋体"/>
                <w:szCs w:val="21"/>
              </w:rPr>
              <w:t>（一）评分内容：</w:t>
            </w:r>
          </w:p>
          <w:p>
            <w:pPr>
              <w:spacing w:line="440" w:lineRule="exact"/>
              <w:jc w:val="left"/>
              <w:rPr>
                <w:rFonts w:ascii="宋体" w:hAnsi="宋体"/>
                <w:szCs w:val="21"/>
              </w:rPr>
            </w:pPr>
            <w:r>
              <w:rPr>
                <w:rFonts w:hint="eastAsia" w:ascii="宋体" w:hAnsi="宋体"/>
                <w:szCs w:val="21"/>
              </w:rPr>
              <w:t>投标人具有自主开发的系统测试、测试管理、测试工具等软件著作权证书的，每提供1个证书得1分，本项最高得6分；</w:t>
            </w:r>
          </w:p>
          <w:p>
            <w:pPr>
              <w:spacing w:line="440" w:lineRule="exact"/>
              <w:jc w:val="left"/>
              <w:rPr>
                <w:rFonts w:ascii="宋体" w:hAnsi="宋体"/>
                <w:szCs w:val="21"/>
              </w:rPr>
            </w:pPr>
            <w:r>
              <w:rPr>
                <w:rFonts w:hint="eastAsia" w:ascii="宋体" w:hAnsi="宋体"/>
                <w:szCs w:val="21"/>
              </w:rPr>
              <w:t>（二）评分依据:</w:t>
            </w:r>
          </w:p>
          <w:p>
            <w:pPr>
              <w:spacing w:line="440" w:lineRule="exact"/>
              <w:jc w:val="left"/>
              <w:rPr>
                <w:rFonts w:ascii="宋体" w:hAnsi="宋体"/>
                <w:szCs w:val="21"/>
              </w:rPr>
            </w:pPr>
            <w:r>
              <w:rPr>
                <w:rFonts w:hint="eastAsia" w:ascii="宋体" w:hAnsi="宋体"/>
                <w:szCs w:val="21"/>
              </w:rPr>
              <w:t>1.要求提供软件著作权证书、已出版的国家标准规范关键页证明材料；</w:t>
            </w:r>
          </w:p>
          <w:p>
            <w:pPr>
              <w:adjustRightInd w:val="0"/>
              <w:snapToGrid w:val="0"/>
              <w:spacing w:line="440" w:lineRule="exact"/>
              <w:rPr>
                <w:rFonts w:ascii="宋体" w:hAnsi="宋体" w:cs="宋体"/>
                <w:sz w:val="22"/>
              </w:rPr>
            </w:pPr>
            <w:r>
              <w:rPr>
                <w:rFonts w:hint="eastAsia" w:ascii="宋体" w:hAnsi="宋体"/>
                <w:szCs w:val="21"/>
              </w:rPr>
              <w:t>2.以上资料均要求提供复印件或扫描件（或官方网站截图），并加盖投标人公章，原件备查。评分中出现无证明资料或专家无法凭所提供资料判断是否得分的情况，一律作不得分处理。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adjustRightInd w:val="0"/>
              <w:spacing w:line="440" w:lineRule="exact"/>
              <w:jc w:val="center"/>
              <w:rPr>
                <w:rFonts w:ascii="宋体" w:hAnsi="宋体" w:cs="宋体"/>
                <w:snapToGrid w:val="0"/>
                <w:kern w:val="0"/>
                <w:sz w:val="22"/>
              </w:rPr>
            </w:pPr>
          </w:p>
        </w:tc>
        <w:tc>
          <w:tcPr>
            <w:tcW w:w="1144" w:type="dxa"/>
            <w:vAlign w:val="center"/>
          </w:tcPr>
          <w:p>
            <w:pPr>
              <w:spacing w:line="440" w:lineRule="exact"/>
              <w:jc w:val="center"/>
              <w:rPr>
                <w:rFonts w:ascii="宋体" w:hAnsi="宋体"/>
                <w:szCs w:val="21"/>
              </w:rPr>
            </w:pPr>
            <w:r>
              <w:rPr>
                <w:rFonts w:hint="eastAsia" w:ascii="宋体" w:hAnsi="宋体"/>
                <w:szCs w:val="21"/>
              </w:rPr>
              <w:t>服务网点</w:t>
            </w:r>
          </w:p>
        </w:tc>
        <w:tc>
          <w:tcPr>
            <w:tcW w:w="850" w:type="dxa"/>
            <w:tcBorders>
              <w:right w:val="single" w:color="auto" w:sz="4" w:space="0"/>
            </w:tcBorders>
            <w:vAlign w:val="center"/>
          </w:tcPr>
          <w:p>
            <w:pPr>
              <w:spacing w:line="440" w:lineRule="exact"/>
              <w:jc w:val="center"/>
              <w:rPr>
                <w:rFonts w:ascii="宋体" w:hAnsi="宋体" w:cs="宋体"/>
                <w:sz w:val="22"/>
              </w:rPr>
            </w:pPr>
            <w:r>
              <w:rPr>
                <w:rFonts w:hint="eastAsia" w:ascii="宋体" w:hAnsi="宋体" w:cs="宋体"/>
                <w:sz w:val="22"/>
              </w:rPr>
              <w:t>3</w:t>
            </w:r>
          </w:p>
        </w:tc>
        <w:tc>
          <w:tcPr>
            <w:tcW w:w="6261" w:type="dxa"/>
            <w:tcBorders>
              <w:left w:val="single" w:color="auto" w:sz="4" w:space="0"/>
              <w:right w:val="double" w:color="auto" w:sz="4" w:space="0"/>
            </w:tcBorders>
            <w:vAlign w:val="center"/>
          </w:tcPr>
          <w:p>
            <w:pPr>
              <w:spacing w:line="440" w:lineRule="exact"/>
              <w:jc w:val="left"/>
              <w:rPr>
                <w:rFonts w:ascii="宋体" w:hAnsi="宋体"/>
                <w:szCs w:val="21"/>
              </w:rPr>
            </w:pPr>
            <w:r>
              <w:rPr>
                <w:rFonts w:hint="eastAsia" w:ascii="宋体" w:hAnsi="宋体"/>
                <w:szCs w:val="21"/>
              </w:rPr>
              <w:t>（一）评分内容：</w:t>
            </w:r>
          </w:p>
          <w:p>
            <w:pPr>
              <w:spacing w:line="440" w:lineRule="exact"/>
              <w:jc w:val="left"/>
              <w:rPr>
                <w:rFonts w:ascii="宋体" w:hAnsi="宋体"/>
                <w:szCs w:val="21"/>
              </w:rPr>
            </w:pPr>
            <w:r>
              <w:rPr>
                <w:rFonts w:hint="eastAsia" w:ascii="宋体" w:hAnsi="宋体"/>
                <w:szCs w:val="21"/>
              </w:rPr>
              <w:t>投标人在深圳市设有合法注册的售后服务机构，或承诺中标后一个月内在深圳市设立售后服务机构的，得</w:t>
            </w:r>
            <w:r>
              <w:rPr>
                <w:rFonts w:hint="eastAsia" w:ascii="宋体" w:hAnsi="宋体"/>
                <w:szCs w:val="21"/>
                <w:lang w:val="en-US" w:eastAsia="zh-CN"/>
              </w:rPr>
              <w:t>3</w:t>
            </w:r>
            <w:r>
              <w:rPr>
                <w:rFonts w:hint="eastAsia" w:ascii="宋体" w:hAnsi="宋体"/>
                <w:szCs w:val="21"/>
              </w:rPr>
              <w:t>分，其他情况不得分。</w:t>
            </w:r>
          </w:p>
          <w:p>
            <w:pPr>
              <w:spacing w:line="440" w:lineRule="exact"/>
              <w:jc w:val="left"/>
              <w:rPr>
                <w:rFonts w:ascii="宋体" w:hAnsi="宋体"/>
                <w:szCs w:val="21"/>
              </w:rPr>
            </w:pPr>
            <w:r>
              <w:rPr>
                <w:rFonts w:hint="eastAsia" w:ascii="宋体" w:hAnsi="宋体"/>
                <w:szCs w:val="21"/>
              </w:rPr>
              <w:t>（二）评分依据：</w:t>
            </w:r>
          </w:p>
          <w:p>
            <w:pPr>
              <w:spacing w:line="440" w:lineRule="exact"/>
              <w:jc w:val="left"/>
              <w:rPr>
                <w:rFonts w:ascii="宋体" w:hAnsi="宋体"/>
                <w:szCs w:val="21"/>
              </w:rPr>
            </w:pPr>
            <w:r>
              <w:rPr>
                <w:rFonts w:hint="eastAsia" w:ascii="宋体" w:hAnsi="宋体"/>
                <w:szCs w:val="21"/>
              </w:rPr>
              <w:t>1. 提供售后服务机构证明，如为与投标人签订合作协议的售后服务机构，还需同时提供相关协议或合同；</w:t>
            </w:r>
          </w:p>
          <w:p>
            <w:pPr>
              <w:spacing w:line="440" w:lineRule="exact"/>
              <w:jc w:val="left"/>
              <w:rPr>
                <w:rFonts w:ascii="宋体" w:hAnsi="宋体"/>
                <w:szCs w:val="21"/>
              </w:rPr>
            </w:pPr>
            <w:r>
              <w:rPr>
                <w:rFonts w:hint="eastAsia" w:ascii="宋体" w:hAnsi="宋体"/>
                <w:szCs w:val="21"/>
              </w:rPr>
              <w:t>2.如承诺中标后设立售后服务机构的，需提供承诺函（格式自拟）；</w:t>
            </w:r>
          </w:p>
          <w:p>
            <w:pPr>
              <w:adjustRightInd w:val="0"/>
              <w:snapToGrid w:val="0"/>
              <w:spacing w:line="440" w:lineRule="exact"/>
              <w:rPr>
                <w:rFonts w:ascii="宋体" w:hAnsi="宋体"/>
                <w:szCs w:val="21"/>
              </w:rPr>
            </w:pPr>
            <w:r>
              <w:rPr>
                <w:rFonts w:hint="eastAsia" w:ascii="宋体" w:hAnsi="宋体"/>
                <w:szCs w:val="21"/>
              </w:rPr>
              <w:t>3.以上证明文件均提供复印件或扫描件加盖投标人公章，原件备查。未按要求提供有效证明材料或提供不清晰导致评委无法识别的不计得分。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Merge w:val="continue"/>
            <w:tcBorders>
              <w:left w:val="double" w:color="auto" w:sz="4" w:space="0"/>
            </w:tcBorders>
            <w:vAlign w:val="center"/>
          </w:tcPr>
          <w:p>
            <w:pPr>
              <w:adjustRightInd w:val="0"/>
              <w:spacing w:line="440" w:lineRule="exact"/>
              <w:jc w:val="center"/>
              <w:rPr>
                <w:rFonts w:ascii="宋体" w:hAnsi="宋体" w:cs="宋体"/>
                <w:snapToGrid w:val="0"/>
                <w:kern w:val="0"/>
                <w:sz w:val="22"/>
              </w:rPr>
            </w:pPr>
          </w:p>
        </w:tc>
        <w:tc>
          <w:tcPr>
            <w:tcW w:w="1144" w:type="dxa"/>
            <w:vAlign w:val="center"/>
          </w:tcPr>
          <w:p>
            <w:pPr>
              <w:spacing w:line="440" w:lineRule="exact"/>
              <w:jc w:val="center"/>
              <w:rPr>
                <w:rFonts w:ascii="宋体" w:hAnsi="宋体" w:cs="宋体"/>
                <w:sz w:val="22"/>
              </w:rPr>
            </w:pPr>
            <w:r>
              <w:rPr>
                <w:rFonts w:hint="eastAsia" w:ascii="宋体" w:hAnsi="宋体"/>
                <w:szCs w:val="21"/>
              </w:rPr>
              <w:t>企业诚信</w:t>
            </w:r>
          </w:p>
        </w:tc>
        <w:tc>
          <w:tcPr>
            <w:tcW w:w="850" w:type="dxa"/>
            <w:tcBorders>
              <w:right w:val="single" w:color="auto" w:sz="4" w:space="0"/>
            </w:tcBorders>
            <w:vAlign w:val="center"/>
          </w:tcPr>
          <w:p>
            <w:pPr>
              <w:spacing w:line="440" w:lineRule="exact"/>
              <w:jc w:val="center"/>
              <w:rPr>
                <w:rFonts w:ascii="宋体" w:hAnsi="宋体" w:cs="宋体"/>
                <w:snapToGrid w:val="0"/>
                <w:kern w:val="0"/>
                <w:sz w:val="22"/>
              </w:rPr>
            </w:pPr>
            <w:r>
              <w:rPr>
                <w:rFonts w:hint="eastAsia" w:ascii="宋体" w:hAnsi="宋体" w:cs="宋体"/>
                <w:sz w:val="22"/>
              </w:rPr>
              <w:t>2</w:t>
            </w:r>
          </w:p>
        </w:tc>
        <w:tc>
          <w:tcPr>
            <w:tcW w:w="6261" w:type="dxa"/>
            <w:tcBorders>
              <w:left w:val="single" w:color="auto" w:sz="4" w:space="0"/>
              <w:right w:val="double" w:color="auto" w:sz="4" w:space="0"/>
            </w:tcBorders>
            <w:shd w:val="clear" w:color="auto" w:fill="auto"/>
            <w:vAlign w:val="center"/>
          </w:tcPr>
          <w:p>
            <w:pPr>
              <w:spacing w:line="440" w:lineRule="exact"/>
              <w:jc w:val="left"/>
              <w:rPr>
                <w:rFonts w:ascii="宋体" w:hAnsi="宋体" w:cs="宋体"/>
                <w:sz w:val="22"/>
              </w:rPr>
            </w:pPr>
            <w:r>
              <w:rPr>
                <w:rFonts w:hint="eastAsia" w:ascii="宋体" w:hAnsi="宋体" w:cs="宋体"/>
                <w:sz w:val="22"/>
              </w:rPr>
              <w:t>（一）评分内容：</w:t>
            </w:r>
          </w:p>
          <w:p>
            <w:pPr>
              <w:spacing w:line="440" w:lineRule="exact"/>
              <w:jc w:val="left"/>
              <w:rPr>
                <w:rFonts w:ascii="宋体" w:hAnsi="宋体" w:cs="宋体"/>
                <w:sz w:val="22"/>
              </w:rPr>
            </w:pPr>
            <w:r>
              <w:rPr>
                <w:rFonts w:hint="eastAsia" w:ascii="宋体" w:hAnsi="宋体" w:cs="宋体"/>
                <w:sz w:val="22"/>
              </w:rPr>
              <w:t>投标人参与政府采购活动在诚信管理中受过主管部门通报处理且仍在实施期限内的本项不得分，否则得2分。</w:t>
            </w:r>
          </w:p>
          <w:p>
            <w:pPr>
              <w:spacing w:line="440" w:lineRule="exact"/>
              <w:jc w:val="left"/>
              <w:rPr>
                <w:rFonts w:ascii="宋体" w:hAnsi="宋体" w:cs="宋体"/>
                <w:sz w:val="22"/>
              </w:rPr>
            </w:pPr>
            <w:r>
              <w:rPr>
                <w:rFonts w:hint="eastAsia" w:ascii="宋体" w:hAnsi="宋体" w:cs="宋体"/>
                <w:sz w:val="22"/>
              </w:rPr>
              <w:t>（二）评分依据：</w:t>
            </w:r>
          </w:p>
          <w:p>
            <w:pPr>
              <w:spacing w:line="440" w:lineRule="exact"/>
              <w:jc w:val="left"/>
              <w:rPr>
                <w:rFonts w:ascii="宋体" w:hAnsi="宋体" w:cs="宋体"/>
                <w:sz w:val="22"/>
              </w:rPr>
            </w:pPr>
            <w:r>
              <w:rPr>
                <w:rFonts w:hint="eastAsia" w:ascii="宋体" w:hAnsi="宋体" w:cs="宋体"/>
                <w:sz w:val="22"/>
              </w:rPr>
              <w:t>按招标文件格式如实提供《诚信承诺函》原件加盖投标人公章，且承诺函格式及内容不得修改，否则不得分。如若投标人承诺与实际情况不相符，将按虚假应标报相关主管部门处理。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tcBorders>
              <w:left w:val="double" w:color="auto" w:sz="4" w:space="0"/>
              <w:bottom w:val="double" w:color="auto" w:sz="4" w:space="0"/>
            </w:tcBorders>
            <w:vAlign w:val="center"/>
          </w:tcPr>
          <w:p>
            <w:pPr>
              <w:spacing w:line="440" w:lineRule="exact"/>
              <w:jc w:val="center"/>
              <w:rPr>
                <w:rFonts w:ascii="宋体" w:hAnsi="宋体" w:cs="宋体"/>
                <w:snapToGrid w:val="0"/>
                <w:kern w:val="0"/>
                <w:sz w:val="22"/>
              </w:rPr>
            </w:pPr>
            <w:r>
              <w:rPr>
                <w:rFonts w:hint="eastAsia" w:ascii="宋体" w:hAnsi="宋体" w:cs="宋体"/>
                <w:snapToGrid w:val="0"/>
                <w:kern w:val="0"/>
                <w:sz w:val="22"/>
              </w:rPr>
              <w:t>总得分（N）</w:t>
            </w:r>
          </w:p>
          <w:p>
            <w:pPr>
              <w:adjustRightInd w:val="0"/>
              <w:snapToGrid w:val="0"/>
              <w:spacing w:line="440" w:lineRule="exact"/>
              <w:jc w:val="center"/>
              <w:rPr>
                <w:rFonts w:ascii="宋体" w:hAnsi="宋体" w:cs="宋体"/>
                <w:snapToGrid w:val="0"/>
                <w:kern w:val="0"/>
                <w:sz w:val="22"/>
              </w:rPr>
            </w:pPr>
            <w:r>
              <w:rPr>
                <w:rFonts w:hint="eastAsia" w:ascii="宋体" w:hAnsi="宋体" w:cs="宋体"/>
                <w:snapToGrid w:val="0"/>
                <w:kern w:val="0"/>
                <w:sz w:val="22"/>
              </w:rPr>
              <w:t>（总分100分）</w:t>
            </w:r>
          </w:p>
        </w:tc>
        <w:tc>
          <w:tcPr>
            <w:tcW w:w="1144" w:type="dxa"/>
            <w:tcBorders>
              <w:bottom w:val="double" w:color="auto" w:sz="4" w:space="0"/>
            </w:tcBorders>
            <w:vAlign w:val="center"/>
          </w:tcPr>
          <w:p>
            <w:pPr>
              <w:adjustRightInd w:val="0"/>
              <w:snapToGrid w:val="0"/>
              <w:spacing w:line="440" w:lineRule="exact"/>
              <w:jc w:val="center"/>
              <w:rPr>
                <w:rFonts w:ascii="宋体" w:hAnsi="宋体" w:cs="宋体"/>
                <w:snapToGrid w:val="0"/>
                <w:kern w:val="0"/>
                <w:sz w:val="22"/>
              </w:rPr>
            </w:pPr>
          </w:p>
        </w:tc>
        <w:tc>
          <w:tcPr>
            <w:tcW w:w="850" w:type="dxa"/>
            <w:tcBorders>
              <w:bottom w:val="double" w:color="auto" w:sz="4" w:space="0"/>
            </w:tcBorders>
            <w:vAlign w:val="center"/>
          </w:tcPr>
          <w:p>
            <w:pPr>
              <w:adjustRightInd w:val="0"/>
              <w:snapToGrid w:val="0"/>
              <w:spacing w:line="440" w:lineRule="exact"/>
              <w:jc w:val="center"/>
              <w:rPr>
                <w:rFonts w:ascii="宋体" w:hAnsi="宋体" w:cs="宋体"/>
                <w:snapToGrid w:val="0"/>
                <w:kern w:val="0"/>
                <w:sz w:val="22"/>
              </w:rPr>
            </w:pPr>
            <w:r>
              <w:rPr>
                <w:rFonts w:hint="eastAsia" w:ascii="宋体" w:hAnsi="宋体" w:cs="宋体"/>
                <w:snapToGrid w:val="0"/>
                <w:kern w:val="0"/>
                <w:sz w:val="22"/>
              </w:rPr>
              <w:t>100</w:t>
            </w:r>
          </w:p>
        </w:tc>
        <w:tc>
          <w:tcPr>
            <w:tcW w:w="6261" w:type="dxa"/>
            <w:tcBorders>
              <w:bottom w:val="double" w:color="auto" w:sz="4" w:space="0"/>
              <w:right w:val="double" w:color="auto" w:sz="4" w:space="0"/>
            </w:tcBorders>
            <w:vAlign w:val="center"/>
          </w:tcPr>
          <w:p>
            <w:pPr>
              <w:spacing w:line="440" w:lineRule="exact"/>
              <w:jc w:val="center"/>
              <w:rPr>
                <w:rFonts w:ascii="宋体" w:hAnsi="宋体" w:cs="宋体"/>
                <w:snapToGrid w:val="0"/>
                <w:kern w:val="0"/>
                <w:sz w:val="22"/>
              </w:rPr>
            </w:pPr>
            <w:r>
              <w:rPr>
                <w:rFonts w:hint="eastAsia" w:ascii="宋体" w:hAnsi="宋体" w:cs="宋体"/>
                <w:snapToGrid w:val="0"/>
                <w:kern w:val="0"/>
                <w:sz w:val="22"/>
              </w:rPr>
              <w:t>N=J+G+S</w:t>
            </w:r>
          </w:p>
        </w:tc>
      </w:tr>
    </w:tbl>
    <w:p>
      <w:pPr>
        <w:widowControl/>
        <w:jc w:val="left"/>
        <w:rPr>
          <w:rFonts w:cs="仿宋" w:asciiTheme="minorEastAsia" w:hAnsiTheme="minorEastAsia" w:eastAsiaTheme="minorEastAsia"/>
          <w:color w:val="FF0000"/>
          <w:sz w:val="28"/>
          <w:szCs w:val="28"/>
        </w:rPr>
      </w:pPr>
    </w:p>
    <w:p>
      <w:pPr>
        <w:widowControl/>
        <w:jc w:val="left"/>
        <w:rPr>
          <w:rFonts w:cs="仿宋" w:asciiTheme="minorEastAsia" w:hAnsiTheme="minorEastAsia" w:eastAsiaTheme="minorEastAsia"/>
          <w:color w:val="FF0000"/>
          <w:sz w:val="28"/>
          <w:szCs w:val="28"/>
        </w:rPr>
      </w:pPr>
      <w:r>
        <w:rPr>
          <w:rFonts w:hint="eastAsia" w:cs="仿宋" w:asciiTheme="minorEastAsia" w:hAnsiTheme="minorEastAsia" w:eastAsiaTheme="minorEastAsia"/>
          <w:color w:val="FF0000"/>
          <w:sz w:val="28"/>
          <w:szCs w:val="28"/>
        </w:rPr>
        <w:t>注：</w:t>
      </w:r>
    </w:p>
    <w:p>
      <w:pPr>
        <w:widowControl/>
        <w:spacing w:line="360" w:lineRule="auto"/>
        <w:jc w:val="center"/>
        <w:rPr>
          <w:rFonts w:cs="仿宋" w:asciiTheme="minorEastAsia" w:hAnsiTheme="minorEastAsia" w:eastAsiaTheme="minorEastAsia"/>
          <w:b/>
          <w:bCs/>
          <w:sz w:val="28"/>
        </w:rPr>
      </w:pPr>
      <w:r>
        <w:rPr>
          <w:rFonts w:hint="eastAsia" w:cs="仿宋" w:asciiTheme="minorEastAsia" w:hAnsiTheme="minorEastAsia" w:eastAsiaTheme="minorEastAsia"/>
          <w:b/>
          <w:bCs/>
          <w:sz w:val="28"/>
        </w:rPr>
        <w:t>政府采购优惠政策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投标报价扣除</w:t>
      </w:r>
      <w:r>
        <w:rPr>
          <w:rFonts w:hint="eastAsia" w:cs="仿宋" w:asciiTheme="minorEastAsia" w:hAnsiTheme="minorEastAsia" w:eastAsiaTheme="minorEastAsia"/>
          <w:szCs w:val="21"/>
          <w:u w:val="single"/>
        </w:rPr>
        <w:t xml:space="preserve"> 10 </w:t>
      </w:r>
      <w:r>
        <w:rPr>
          <w:rFonts w:hint="eastAsia" w:cs="仿宋" w:asciiTheme="minorEastAsia" w:hAnsiTheme="minorEastAsia" w:eastAsiaTheme="minorEastAsia"/>
          <w:szCs w:val="21"/>
        </w:rPr>
        <w:t>%（请在10%-20%范围内选择）后参与评审。对于同时属于小微企业、监狱企业或残疾人福利性单位的，不重复进行投标报价扣除。</w:t>
      </w:r>
    </w:p>
    <w:p>
      <w:pPr>
        <w:spacing w:line="360" w:lineRule="auto"/>
        <w:ind w:firstLine="371" w:firstLineChars="177"/>
        <w:rPr>
          <w:rFonts w:cs="仿宋" w:asciiTheme="minorEastAsia" w:hAnsiTheme="minorEastAsia" w:eastAsiaTheme="minorEastAsia"/>
          <w:szCs w:val="21"/>
        </w:rPr>
      </w:pPr>
      <w:r>
        <w:rPr>
          <w:rFonts w:hint="eastAsia" w:cs="仿宋" w:asciiTheme="minorEastAsia" w:hAnsiTheme="minorEastAsia" w:eastAsiaTheme="minorEastAsia"/>
          <w:szCs w:val="21"/>
        </w:rPr>
        <w:t>本项目所属行业为</w:t>
      </w:r>
      <w:r>
        <w:rPr>
          <w:rFonts w:hint="eastAsia" w:cs="仿宋" w:asciiTheme="minorEastAsia" w:hAnsiTheme="minorEastAsia" w:eastAsiaTheme="minorEastAsia"/>
          <w:szCs w:val="21"/>
          <w:u w:val="single"/>
        </w:rPr>
        <w:t xml:space="preserve">  其他未列明行业  </w:t>
      </w:r>
      <w:r>
        <w:rPr>
          <w:rFonts w:hint="eastAsia" w:cs="仿宋" w:asciiTheme="minorEastAsia" w:hAnsiTheme="minorEastAsia" w:eastAsiaTheme="minorEastAsia"/>
          <w:szCs w:val="21"/>
        </w:rPr>
        <w:t>，投标人应根据《工业和信息化部、国家统计局、国家发展和改革委员会、财政部关于印发中小企业划型标准规定的通知》(工信部联企业〔2011〕300号)规定的中小企业划型标准填写《中小企业声明函》。</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（2）联合协议中约定，小型、微型企业的协议合同金额占到联合体协议合同总金额30%以上的，可给予联合体__/__% （请在2%-3%范围内选择）的价格扣除。</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联合体各方均为小型、微型企业、监狱企业和残疾人福利性单位的，联合体视同为小型、微型企业、监狱企业和残疾人福利性单位，均享受政府采购优惠政策第一款的优惠政策。</w:t>
      </w:r>
    </w:p>
    <w:p>
      <w:pPr>
        <w:widowControl/>
        <w:spacing w:line="360" w:lineRule="auto"/>
        <w:ind w:firstLine="420" w:firstLineChars="200"/>
        <w:jc w:val="left"/>
        <w:rPr>
          <w:rFonts w:cs="仿宋" w:asciiTheme="minorEastAsia" w:hAnsiTheme="minorEastAsia" w:eastAsiaTheme="minorEastAsia"/>
          <w:szCs w:val="21"/>
        </w:rPr>
      </w:pPr>
      <w:r>
        <w:rPr>
          <w:rFonts w:hint="eastAsia" w:cs="仿宋" w:asciiTheme="minorEastAsia" w:hAnsiTheme="minorEastAsia" w:eastAsiaTheme="minorEastAsia"/>
          <w:szCs w:val="21"/>
        </w:rPr>
        <w:t>（3）优惠主体资格的认定资料为《中小企业声明函》、《残疾人福利性单位声明函》以及《监狱企业声明函》等承诺性质的资料（格式详见招标文件第三章）；监狱企业或者代理提供监狱企业货物的投标人如需享受优惠政策，除上述资料外，还须提供省级以上监狱管理局、戒毒管理局出具的监狱企业证明文件。</w:t>
      </w:r>
    </w:p>
    <w:p>
      <w:pPr>
        <w:spacing w:line="360" w:lineRule="auto"/>
        <w:ind w:firstLine="405" w:firstLineChars="193"/>
        <w:jc w:val="left"/>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对符合条件的获证产品（强制采购产品除外），根据该投标产品报价给予</w:t>
      </w:r>
      <w:r>
        <w:rPr>
          <w:rFonts w:hint="eastAsia" w:cs="仿宋" w:asciiTheme="minorEastAsia" w:hAnsiTheme="minorEastAsia" w:eastAsiaTheme="minorEastAsia"/>
          <w:szCs w:val="21"/>
          <w:u w:val="single"/>
        </w:rPr>
        <w:t xml:space="preserve"> 1 </w:t>
      </w:r>
      <w:r>
        <w:rPr>
          <w:rFonts w:hint="eastAsia" w:cs="仿宋" w:asciiTheme="minorEastAsia" w:hAnsiTheme="minorEastAsia" w:eastAsiaTheme="minorEastAsia"/>
          <w:szCs w:val="21"/>
        </w:rPr>
        <w:t>%的价格扣除，用扣除后的价格参与价格分的评审（需按投标文件格式部分“列入政府优先采购清单的投标产品一览表”的要求提供证明材料，否则不予价格扣除）。</w:t>
      </w: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rPr>
          <w:rFonts w:cs="仿宋" w:asciiTheme="minorEastAsia" w:hAnsiTheme="minorEastAsia" w:eastAsiaTheme="minorEastAsia"/>
          <w:b/>
          <w:bCs/>
          <w:snapToGrid w:val="0"/>
          <w:kern w:val="0"/>
          <w:sz w:val="56"/>
          <w:szCs w:val="96"/>
        </w:rPr>
      </w:pPr>
    </w:p>
    <w:p>
      <w:pPr>
        <w:adjustRightInd w:val="0"/>
        <w:snapToGrid w:val="0"/>
        <w:spacing w:line="300" w:lineRule="auto"/>
        <w:jc w:val="center"/>
        <w:rPr>
          <w:rFonts w:cs="仿宋" w:asciiTheme="minorEastAsia" w:hAnsiTheme="minorEastAsia" w:eastAsiaTheme="minorEastAsia"/>
          <w:b/>
          <w:bCs/>
          <w:snapToGrid w:val="0"/>
          <w:kern w:val="0"/>
          <w:sz w:val="56"/>
          <w:szCs w:val="96"/>
        </w:rPr>
      </w:pPr>
    </w:p>
    <w:p>
      <w:pPr>
        <w:pStyle w:val="2"/>
        <w:ind w:firstLine="1124"/>
        <w:rPr>
          <w:rFonts w:cs="仿宋" w:asciiTheme="minorEastAsia" w:hAnsiTheme="minorEastAsia" w:eastAsiaTheme="minorEastAsia"/>
          <w:b/>
          <w:bCs/>
          <w:snapToGrid w:val="0"/>
          <w:kern w:val="0"/>
          <w:sz w:val="56"/>
          <w:szCs w:val="96"/>
        </w:rPr>
      </w:pPr>
    </w:p>
    <w:p>
      <w:pPr>
        <w:pStyle w:val="2"/>
        <w:ind w:left="0" w:leftChars="0" w:firstLine="0" w:firstLineChars="0"/>
        <w:rPr>
          <w:rFonts w:cs="仿宋" w:asciiTheme="minorEastAsia" w:hAnsiTheme="minorEastAsia" w:eastAsiaTheme="minorEastAsia"/>
          <w:b/>
          <w:bCs/>
          <w:snapToGrid w:val="0"/>
          <w:kern w:val="0"/>
          <w:sz w:val="56"/>
          <w:szCs w:val="96"/>
        </w:rPr>
      </w:pPr>
    </w:p>
    <w:p>
      <w:pPr>
        <w:adjustRightInd w:val="0"/>
        <w:snapToGrid w:val="0"/>
        <w:spacing w:line="300" w:lineRule="auto"/>
        <w:jc w:val="center"/>
        <w:rPr>
          <w:rFonts w:cs="仿宋" w:asciiTheme="minorEastAsia" w:hAnsiTheme="minorEastAsia" w:eastAsiaTheme="minorEastAsia"/>
          <w:b/>
          <w:bCs/>
          <w:snapToGrid w:val="0"/>
          <w:kern w:val="0"/>
          <w:sz w:val="56"/>
          <w:szCs w:val="96"/>
        </w:rPr>
      </w:pPr>
    </w:p>
    <w:p>
      <w:pPr>
        <w:pStyle w:val="2"/>
        <w:rPr>
          <w:rFonts w:cs="仿宋" w:asciiTheme="minorEastAsia" w:hAnsiTheme="minorEastAsia" w:eastAsiaTheme="minorEastAsia"/>
          <w:b/>
          <w:bCs/>
          <w:snapToGrid w:val="0"/>
          <w:kern w:val="0"/>
          <w:sz w:val="56"/>
          <w:szCs w:val="96"/>
        </w:rPr>
      </w:pPr>
    </w:p>
    <w:p>
      <w:pPr>
        <w:pStyle w:val="2"/>
        <w:ind w:left="0" w:leftChars="0" w:firstLine="0" w:firstLineChars="0"/>
        <w:rPr>
          <w:rFonts w:cs="仿宋" w:asciiTheme="minorEastAsia" w:hAnsiTheme="minorEastAsia" w:eastAsiaTheme="minorEastAsia"/>
          <w:b/>
          <w:bCs/>
          <w:snapToGrid w:val="0"/>
          <w:kern w:val="0"/>
          <w:sz w:val="56"/>
          <w:szCs w:val="96"/>
        </w:rPr>
      </w:pPr>
    </w:p>
    <w:p>
      <w:pPr>
        <w:adjustRightInd w:val="0"/>
        <w:snapToGrid w:val="0"/>
        <w:spacing w:line="300" w:lineRule="auto"/>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第二部分</w:t>
      </w:r>
    </w:p>
    <w:p>
      <w:pPr>
        <w:jc w:val="center"/>
        <w:rPr>
          <w:rFonts w:cs="仿宋" w:asciiTheme="minorEastAsia" w:hAnsiTheme="minorEastAsia" w:eastAsiaTheme="minorEastAsia"/>
          <w:b/>
          <w:bCs/>
          <w:snapToGrid w:val="0"/>
          <w:kern w:val="0"/>
          <w:sz w:val="56"/>
          <w:szCs w:val="96"/>
        </w:rPr>
      </w:pPr>
      <w:r>
        <w:rPr>
          <w:rFonts w:hint="eastAsia" w:cs="仿宋" w:asciiTheme="minorEastAsia" w:hAnsiTheme="minorEastAsia" w:eastAsiaTheme="minorEastAsia"/>
          <w:b/>
          <w:bCs/>
          <w:snapToGrid w:val="0"/>
          <w:kern w:val="0"/>
          <w:sz w:val="56"/>
          <w:szCs w:val="96"/>
        </w:rPr>
        <w:t>采购项目需求</w:t>
      </w:r>
    </w:p>
    <w:p>
      <w:pPr>
        <w:widowControl/>
        <w:jc w:val="left"/>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br w:type="page"/>
      </w:r>
    </w:p>
    <w:p>
      <w:pPr>
        <w:spacing w:after="156" w:afterLines="50" w:line="360" w:lineRule="auto"/>
        <w:ind w:left="2"/>
        <w:jc w:val="center"/>
        <w:rPr>
          <w:rFonts w:ascii="宋体" w:hAnsi="宋体"/>
          <w:sz w:val="28"/>
          <w:szCs w:val="28"/>
        </w:rPr>
      </w:pPr>
      <w:r>
        <w:rPr>
          <w:rFonts w:hint="eastAsia" w:ascii="宋体" w:hAnsi="宋体"/>
          <w:b/>
          <w:bCs/>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1、采购项目需求中所出现的工艺、材料、设备或参照的品牌等仅为方便描述而没有限制性，投标人可以在其提供的文件资料中选用替代标准，但这些替代标准要优于或相当于采购项目需求中要求的标准。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采购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3、技术参数设置为区间要求的（例如：潮气量：</w:t>
      </w:r>
      <w:r>
        <w:rPr>
          <w:rFonts w:ascii="仿宋_GB2312" w:eastAsia="仿宋_GB2312"/>
          <w:sz w:val="24"/>
        </w:rPr>
        <w:t>0-2000ML</w:t>
      </w:r>
      <w:r>
        <w:rPr>
          <w:rFonts w:hint="eastAsia" w:ascii="仿宋_GB2312" w:eastAsia="仿宋_GB2312"/>
          <w:sz w:val="24"/>
        </w:rPr>
        <w:t>），投标产品参数区间与征集要求不完全一致的均视为负偏离。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5、加注▲的条款为重要条款要求，如不满足将按照第一部分“评审信息”进行扣分。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highlight w:val="yellow"/>
        </w:rPr>
        <w:t>6、加注★的条款为不可负偏离条款，任一项未响应或不满足要求的，将导致投标无效。</w:t>
      </w:r>
    </w:p>
    <w:p>
      <w:pPr>
        <w:rPr>
          <w:rFonts w:cs="仿宋" w:asciiTheme="minorEastAsia" w:hAnsiTheme="minorEastAsia" w:eastAsiaTheme="minorEastAsia"/>
          <w:sz w:val="36"/>
          <w:szCs w:val="36"/>
        </w:rPr>
      </w:pPr>
    </w:p>
    <w:p>
      <w:pPr>
        <w:rPr>
          <w:rFonts w:cs="仿宋" w:asciiTheme="minorEastAsia" w:hAnsiTheme="minorEastAsia" w:eastAsiaTheme="minorEastAsia"/>
          <w:sz w:val="36"/>
          <w:szCs w:val="36"/>
        </w:rPr>
      </w:pPr>
      <w:r>
        <w:rPr>
          <w:rFonts w:hint="eastAsia" w:cs="仿宋" w:asciiTheme="minorEastAsia" w:hAnsiTheme="minorEastAsia" w:eastAsiaTheme="minorEastAsia"/>
          <w:sz w:val="36"/>
          <w:szCs w:val="36"/>
        </w:rPr>
        <w:br w:type="page"/>
      </w:r>
    </w:p>
    <w:p>
      <w:pPr>
        <w:spacing w:line="440" w:lineRule="exact"/>
        <w:ind w:firstLine="723" w:firstLineChars="200"/>
        <w:jc w:val="center"/>
        <w:rPr>
          <w:rFonts w:ascii="宋体" w:hAnsi="宋体" w:cs="宋体"/>
          <w:b/>
          <w:bCs/>
          <w:szCs w:val="21"/>
        </w:rPr>
      </w:pPr>
      <w:r>
        <w:rPr>
          <w:rFonts w:hint="eastAsia" w:cs="仿宋" w:asciiTheme="minorEastAsia" w:hAnsiTheme="minorEastAsia" w:eastAsiaTheme="minorEastAsia"/>
          <w:b/>
          <w:bCs/>
          <w:sz w:val="36"/>
          <w:szCs w:val="36"/>
        </w:rPr>
        <w:t>采购项目需求</w:t>
      </w:r>
    </w:p>
    <w:p>
      <w:pPr>
        <w:widowControl/>
        <w:numPr>
          <w:ilvl w:val="0"/>
          <w:numId w:val="4"/>
        </w:numPr>
        <w:spacing w:line="440" w:lineRule="exact"/>
        <w:ind w:firstLine="482"/>
        <w:jc w:val="left"/>
        <w:rPr>
          <w:rFonts w:ascii="宋体" w:hAnsi="宋体" w:cs="宋体"/>
          <w:b/>
          <w:bCs/>
          <w:sz w:val="24"/>
          <w:szCs w:val="24"/>
        </w:rPr>
      </w:pPr>
      <w:r>
        <w:rPr>
          <w:rFonts w:hint="eastAsia" w:ascii="宋体" w:hAnsi="宋体" w:cs="宋体"/>
          <w:b/>
          <w:bCs/>
          <w:sz w:val="24"/>
          <w:szCs w:val="24"/>
        </w:rPr>
        <w:t>项目基本情况</w:t>
      </w:r>
    </w:p>
    <w:p>
      <w:pPr>
        <w:pStyle w:val="11"/>
        <w:spacing w:after="0" w:line="440" w:lineRule="exact"/>
        <w:ind w:firstLine="422" w:firstLineChars="200"/>
        <w:rPr>
          <w:rFonts w:ascii="宋体" w:hAnsi="宋体" w:cs="宋体"/>
          <w:b/>
          <w:bCs/>
          <w:szCs w:val="21"/>
        </w:rPr>
      </w:pPr>
      <w:r>
        <w:rPr>
          <w:rFonts w:hint="eastAsia" w:ascii="宋体" w:hAnsi="宋体" w:cs="宋体"/>
          <w:b/>
          <w:bCs/>
          <w:szCs w:val="21"/>
        </w:rPr>
        <w:t>（一）采购需求</w:t>
      </w:r>
    </w:p>
    <w:tbl>
      <w:tblPr>
        <w:tblStyle w:val="19"/>
        <w:tblW w:w="4998" w:type="pct"/>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2"/>
        <w:gridCol w:w="3393"/>
        <w:gridCol w:w="808"/>
        <w:gridCol w:w="883"/>
        <w:gridCol w:w="1979"/>
        <w:gridCol w:w="7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00" w:type="pct"/>
            <w:shd w:val="clear" w:color="auto" w:fill="C6D9F1"/>
            <w:vAlign w:val="center"/>
          </w:tcPr>
          <w:p>
            <w:pPr>
              <w:spacing w:line="440" w:lineRule="exact"/>
              <w:jc w:val="center"/>
              <w:rPr>
                <w:rFonts w:ascii="宋体" w:hAnsi="宋体" w:cs="宋体"/>
                <w:szCs w:val="21"/>
              </w:rPr>
            </w:pPr>
            <w:r>
              <w:rPr>
                <w:rFonts w:hint="eastAsia" w:ascii="宋体" w:hAnsi="宋体" w:cs="宋体"/>
                <w:szCs w:val="21"/>
              </w:rPr>
              <w:t>序号</w:t>
            </w:r>
          </w:p>
        </w:tc>
        <w:tc>
          <w:tcPr>
            <w:tcW w:w="1990" w:type="pct"/>
            <w:shd w:val="clear" w:color="auto" w:fill="C6D9F1"/>
            <w:vAlign w:val="center"/>
          </w:tcPr>
          <w:p>
            <w:pPr>
              <w:spacing w:line="440" w:lineRule="exact"/>
              <w:jc w:val="center"/>
              <w:rPr>
                <w:rFonts w:ascii="宋体" w:hAnsi="宋体" w:cs="宋体"/>
                <w:szCs w:val="21"/>
              </w:rPr>
            </w:pPr>
            <w:r>
              <w:rPr>
                <w:rFonts w:hint="eastAsia" w:ascii="宋体" w:hAnsi="宋体" w:cs="宋体"/>
                <w:szCs w:val="21"/>
              </w:rPr>
              <w:t>项目名称</w:t>
            </w:r>
          </w:p>
        </w:tc>
        <w:tc>
          <w:tcPr>
            <w:tcW w:w="474" w:type="pct"/>
            <w:shd w:val="clear" w:color="auto" w:fill="C6D9F1"/>
            <w:vAlign w:val="center"/>
          </w:tcPr>
          <w:p>
            <w:pPr>
              <w:spacing w:line="440" w:lineRule="exact"/>
              <w:jc w:val="center"/>
              <w:rPr>
                <w:rFonts w:ascii="宋体" w:hAnsi="宋体" w:cs="宋体"/>
                <w:szCs w:val="21"/>
              </w:rPr>
            </w:pPr>
            <w:r>
              <w:rPr>
                <w:rFonts w:hint="eastAsia" w:ascii="宋体" w:hAnsi="宋体" w:cs="宋体"/>
                <w:szCs w:val="21"/>
              </w:rPr>
              <w:t>数量</w:t>
            </w:r>
          </w:p>
        </w:tc>
        <w:tc>
          <w:tcPr>
            <w:tcW w:w="518" w:type="pct"/>
            <w:shd w:val="clear" w:color="auto" w:fill="C6D9F1"/>
            <w:vAlign w:val="center"/>
          </w:tcPr>
          <w:p>
            <w:pPr>
              <w:spacing w:line="440" w:lineRule="exact"/>
              <w:jc w:val="center"/>
              <w:rPr>
                <w:rFonts w:ascii="宋体" w:hAnsi="宋体" w:cs="宋体"/>
                <w:szCs w:val="21"/>
              </w:rPr>
            </w:pPr>
            <w:r>
              <w:rPr>
                <w:rFonts w:hint="eastAsia" w:ascii="宋体" w:hAnsi="宋体" w:cs="宋体"/>
                <w:szCs w:val="21"/>
              </w:rPr>
              <w:t>单位</w:t>
            </w:r>
          </w:p>
        </w:tc>
        <w:tc>
          <w:tcPr>
            <w:tcW w:w="1161" w:type="pct"/>
            <w:shd w:val="clear" w:color="auto" w:fill="C6D9F1"/>
            <w:vAlign w:val="center"/>
          </w:tcPr>
          <w:p>
            <w:pPr>
              <w:widowControl/>
              <w:adjustRightInd w:val="0"/>
              <w:snapToGrid w:val="0"/>
              <w:spacing w:line="440" w:lineRule="exact"/>
              <w:jc w:val="center"/>
              <w:textAlignment w:val="center"/>
              <w:rPr>
                <w:rFonts w:ascii="宋体" w:hAnsi="宋体" w:cs="宋体"/>
                <w:szCs w:val="21"/>
              </w:rPr>
            </w:pPr>
            <w:r>
              <w:rPr>
                <w:rFonts w:hint="eastAsia" w:ascii="宋体" w:hAnsi="宋体" w:cs="宋体"/>
                <w:szCs w:val="21"/>
              </w:rPr>
              <w:t>采购预算金额</w:t>
            </w:r>
          </w:p>
          <w:p>
            <w:pPr>
              <w:spacing w:line="440" w:lineRule="exact"/>
              <w:jc w:val="center"/>
              <w:rPr>
                <w:rFonts w:ascii="宋体" w:hAnsi="宋体" w:cs="宋体"/>
                <w:szCs w:val="21"/>
              </w:rPr>
            </w:pPr>
            <w:r>
              <w:rPr>
                <w:rFonts w:hint="eastAsia" w:ascii="宋体" w:hAnsi="宋体" w:cs="宋体"/>
                <w:szCs w:val="21"/>
              </w:rPr>
              <w:t>（人民币元）</w:t>
            </w:r>
          </w:p>
        </w:tc>
        <w:tc>
          <w:tcPr>
            <w:tcW w:w="454" w:type="pct"/>
            <w:shd w:val="clear" w:color="auto" w:fill="C6D9F1"/>
            <w:vAlign w:val="center"/>
          </w:tcPr>
          <w:p>
            <w:pPr>
              <w:spacing w:line="440" w:lineRule="exact"/>
              <w:jc w:val="center"/>
              <w:rPr>
                <w:rFonts w:ascii="宋体" w:hAnsi="宋体" w:cs="宋体"/>
                <w:szCs w:val="21"/>
              </w:rPr>
            </w:pPr>
            <w:r>
              <w:rPr>
                <w:rFonts w:hint="eastAsia" w:ascii="宋体" w:hAnsi="宋体" w:cs="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00" w:type="pct"/>
            <w:vAlign w:val="center"/>
          </w:tcPr>
          <w:p>
            <w:pPr>
              <w:spacing w:line="440" w:lineRule="exact"/>
              <w:jc w:val="center"/>
              <w:rPr>
                <w:rFonts w:ascii="宋体" w:hAnsi="宋体" w:cs="宋体"/>
                <w:szCs w:val="21"/>
              </w:rPr>
            </w:pPr>
            <w:r>
              <w:rPr>
                <w:rFonts w:hint="eastAsia" w:ascii="宋体" w:hAnsi="宋体" w:cs="宋体"/>
                <w:szCs w:val="21"/>
              </w:rPr>
              <w:t>1</w:t>
            </w:r>
          </w:p>
        </w:tc>
        <w:tc>
          <w:tcPr>
            <w:tcW w:w="1990" w:type="pct"/>
            <w:vAlign w:val="center"/>
          </w:tcPr>
          <w:p>
            <w:pPr>
              <w:spacing w:line="440" w:lineRule="exact"/>
              <w:jc w:val="center"/>
              <w:rPr>
                <w:rFonts w:ascii="宋体" w:hAnsi="宋体" w:cs="宋体"/>
                <w:szCs w:val="21"/>
              </w:rPr>
            </w:pPr>
            <w:r>
              <w:rPr>
                <w:rFonts w:hint="eastAsia" w:ascii="宋体" w:hAnsi="宋体" w:cs="宋体"/>
                <w:szCs w:val="21"/>
              </w:rPr>
              <w:t>深圳市公安局交警支队新能源汽车号牌试点工作配套改革创新项目第三方评测服务项目</w:t>
            </w:r>
          </w:p>
        </w:tc>
        <w:tc>
          <w:tcPr>
            <w:tcW w:w="474" w:type="pct"/>
            <w:vAlign w:val="center"/>
          </w:tcPr>
          <w:p>
            <w:pPr>
              <w:spacing w:line="440" w:lineRule="exact"/>
              <w:jc w:val="center"/>
              <w:rPr>
                <w:rFonts w:ascii="宋体" w:hAnsi="宋体" w:cs="宋体"/>
                <w:szCs w:val="21"/>
              </w:rPr>
            </w:pPr>
            <w:r>
              <w:rPr>
                <w:rFonts w:hint="eastAsia" w:ascii="宋体" w:hAnsi="宋体" w:cs="宋体"/>
                <w:szCs w:val="21"/>
              </w:rPr>
              <w:t>1</w:t>
            </w:r>
          </w:p>
        </w:tc>
        <w:tc>
          <w:tcPr>
            <w:tcW w:w="518" w:type="pct"/>
            <w:vAlign w:val="center"/>
          </w:tcPr>
          <w:p>
            <w:pPr>
              <w:spacing w:line="440" w:lineRule="exact"/>
              <w:jc w:val="center"/>
              <w:rPr>
                <w:rFonts w:ascii="宋体" w:hAnsi="宋体" w:cs="宋体"/>
                <w:szCs w:val="21"/>
              </w:rPr>
            </w:pPr>
            <w:r>
              <w:rPr>
                <w:rFonts w:hint="eastAsia" w:ascii="宋体" w:hAnsi="宋体" w:cs="宋体"/>
                <w:szCs w:val="21"/>
              </w:rPr>
              <w:t>项</w:t>
            </w:r>
          </w:p>
        </w:tc>
        <w:tc>
          <w:tcPr>
            <w:tcW w:w="1161" w:type="pct"/>
            <w:vAlign w:val="center"/>
          </w:tcPr>
          <w:p>
            <w:pPr>
              <w:spacing w:line="440" w:lineRule="exact"/>
              <w:jc w:val="center"/>
              <w:rPr>
                <w:rFonts w:ascii="宋体" w:hAnsi="宋体" w:cs="宋体"/>
                <w:szCs w:val="21"/>
              </w:rPr>
            </w:pPr>
            <w:r>
              <w:rPr>
                <w:rFonts w:hint="eastAsia" w:ascii="宋体" w:hAnsi="宋体" w:cs="宋体"/>
                <w:szCs w:val="21"/>
              </w:rPr>
              <w:t>320,000.00</w:t>
            </w:r>
          </w:p>
        </w:tc>
        <w:tc>
          <w:tcPr>
            <w:tcW w:w="454" w:type="pct"/>
            <w:vAlign w:val="center"/>
          </w:tcPr>
          <w:p>
            <w:pPr>
              <w:spacing w:line="440" w:lineRule="exact"/>
              <w:jc w:val="center"/>
              <w:rPr>
                <w:rFonts w:ascii="宋体" w:hAnsi="宋体" w:cs="宋体"/>
                <w:szCs w:val="21"/>
              </w:rPr>
            </w:pPr>
          </w:p>
        </w:tc>
      </w:tr>
    </w:tbl>
    <w:p>
      <w:pPr>
        <w:widowControl/>
        <w:spacing w:line="440" w:lineRule="exact"/>
        <w:ind w:firstLine="420" w:firstLineChars="200"/>
        <w:jc w:val="left"/>
        <w:rPr>
          <w:rFonts w:ascii="宋体" w:hAnsi="宋体" w:cs="宋体"/>
          <w:szCs w:val="21"/>
        </w:rPr>
      </w:pPr>
      <w:r>
        <w:rPr>
          <w:rFonts w:hint="eastAsia" w:ascii="宋体" w:hAnsi="宋体" w:cs="宋体"/>
          <w:color w:val="FF0000"/>
          <w:szCs w:val="21"/>
        </w:rPr>
        <w:t>注：</w:t>
      </w:r>
      <w:r>
        <w:rPr>
          <w:rFonts w:hint="eastAsia" w:ascii="宋体" w:hAnsi="宋体" w:cs="宋体"/>
          <w:szCs w:val="21"/>
          <w:highlight w:val="yellow"/>
        </w:rPr>
        <w:t>★投标人的投标报价超过采购预算金额的将导致投标无效。</w:t>
      </w:r>
    </w:p>
    <w:p>
      <w:pPr>
        <w:pStyle w:val="11"/>
        <w:spacing w:after="0" w:line="440" w:lineRule="exact"/>
        <w:ind w:firstLine="422" w:firstLineChars="200"/>
        <w:rPr>
          <w:rFonts w:ascii="宋体" w:hAnsi="宋体" w:cs="宋体"/>
          <w:b/>
          <w:bCs/>
          <w:szCs w:val="21"/>
        </w:rPr>
      </w:pPr>
    </w:p>
    <w:p>
      <w:pPr>
        <w:pStyle w:val="11"/>
        <w:spacing w:after="0" w:line="440" w:lineRule="exact"/>
        <w:ind w:firstLine="422" w:firstLineChars="200"/>
        <w:rPr>
          <w:rFonts w:ascii="宋体" w:hAnsi="宋体" w:cs="宋体"/>
          <w:b/>
          <w:bCs/>
          <w:szCs w:val="21"/>
        </w:rPr>
      </w:pPr>
      <w:r>
        <w:rPr>
          <w:rFonts w:hint="eastAsia" w:ascii="宋体" w:hAnsi="宋体" w:cs="宋体"/>
          <w:b/>
          <w:bCs/>
          <w:szCs w:val="21"/>
        </w:rPr>
        <w:t>（二）建设内容</w:t>
      </w:r>
    </w:p>
    <w:p>
      <w:pPr>
        <w:pStyle w:val="11"/>
        <w:spacing w:after="0" w:line="440" w:lineRule="exact"/>
        <w:ind w:firstLine="420" w:firstLineChars="200"/>
        <w:rPr>
          <w:rFonts w:ascii="宋体" w:hAnsi="宋体" w:cs="宋体"/>
          <w:szCs w:val="21"/>
        </w:rPr>
      </w:pPr>
      <w:r>
        <w:rPr>
          <w:rFonts w:hint="eastAsia" w:ascii="宋体" w:hAnsi="宋体" w:cs="宋体"/>
          <w:szCs w:val="21"/>
        </w:rPr>
        <w:t>新能源汽车号牌试点工作配套改革创新包括如下三大部分：车驾管档案扫描影像化应用软件开发、新能源汽车远程监控系统、新能源汽车号牌制作点。</w:t>
      </w:r>
    </w:p>
    <w:p>
      <w:pPr>
        <w:pStyle w:val="11"/>
        <w:spacing w:after="0" w:line="440" w:lineRule="exact"/>
        <w:ind w:firstLine="420" w:firstLineChars="200"/>
        <w:rPr>
          <w:rFonts w:ascii="宋体" w:hAnsi="宋体" w:cs="宋体"/>
          <w:szCs w:val="21"/>
        </w:rPr>
      </w:pPr>
      <w:r>
        <w:rPr>
          <w:rFonts w:hint="eastAsia" w:ascii="宋体" w:hAnsi="宋体" w:cs="宋体"/>
          <w:szCs w:val="21"/>
        </w:rPr>
        <w:t>车驾管档案扫描影像化应用软件开发，主要包括影像采集系统、电子档案管理系统、档案综合利用平台、接口管理系统四个部分；</w:t>
      </w:r>
    </w:p>
    <w:p>
      <w:pPr>
        <w:pStyle w:val="11"/>
        <w:spacing w:after="0" w:line="440" w:lineRule="exact"/>
        <w:ind w:firstLine="420" w:firstLineChars="200"/>
        <w:rPr>
          <w:rFonts w:ascii="宋体" w:hAnsi="宋体" w:cs="宋体"/>
          <w:szCs w:val="21"/>
        </w:rPr>
      </w:pPr>
      <w:r>
        <w:rPr>
          <w:rFonts w:hint="eastAsia" w:ascii="宋体" w:hAnsi="宋体" w:cs="宋体"/>
          <w:szCs w:val="21"/>
        </w:rPr>
        <w:t>新能源汽车远程监控系统，主要包括车管业务监管平台、远程视频监控系统、大屏显示系统、车管所“数据墙”、车驾管数据实时比对、远程监控大厅基础环境六个部分；</w:t>
      </w:r>
    </w:p>
    <w:p>
      <w:pPr>
        <w:pStyle w:val="11"/>
        <w:spacing w:after="0" w:line="440" w:lineRule="exact"/>
        <w:ind w:firstLine="420" w:firstLineChars="200"/>
        <w:rPr>
          <w:rFonts w:ascii="宋体" w:hAnsi="宋体" w:cs="宋体"/>
          <w:szCs w:val="21"/>
        </w:rPr>
      </w:pPr>
      <w:r>
        <w:rPr>
          <w:rFonts w:hint="eastAsia" w:ascii="宋体" w:hAnsi="宋体" w:cs="宋体"/>
          <w:szCs w:val="21"/>
        </w:rPr>
        <w:t>新能源汽车号牌制作点，主要包括智能车牌成型液压机、车牌烫印机、二维码与车牌号牌绑定检验设备三个部分。</w:t>
      </w:r>
    </w:p>
    <w:p>
      <w:pPr>
        <w:pStyle w:val="11"/>
        <w:spacing w:after="0" w:line="440" w:lineRule="exact"/>
        <w:ind w:firstLine="420" w:firstLineChars="200"/>
        <w:rPr>
          <w:rFonts w:ascii="宋体" w:hAnsi="宋体" w:cs="宋体"/>
          <w:szCs w:val="21"/>
        </w:rPr>
      </w:pPr>
      <w:r>
        <w:rPr>
          <w:rFonts w:hint="eastAsia" w:ascii="宋体" w:hAnsi="宋体" w:cs="宋体"/>
          <w:szCs w:val="21"/>
        </w:rPr>
        <w:t>采购方拟委托第三方测评机构进行系统验收测评和设备核查，保证项目质量，出具相应的测评报告。</w:t>
      </w:r>
    </w:p>
    <w:p/>
    <w:p>
      <w:pPr>
        <w:pStyle w:val="11"/>
        <w:numPr>
          <w:ilvl w:val="0"/>
          <w:numId w:val="4"/>
        </w:numPr>
        <w:spacing w:after="0" w:line="440" w:lineRule="exact"/>
        <w:ind w:firstLine="482"/>
        <w:rPr>
          <w:rFonts w:ascii="宋体" w:hAnsi="宋体" w:cs="宋体"/>
          <w:b/>
          <w:bCs/>
          <w:sz w:val="24"/>
          <w:szCs w:val="24"/>
        </w:rPr>
      </w:pPr>
      <w:r>
        <w:rPr>
          <w:rFonts w:hint="eastAsia" w:ascii="宋体" w:hAnsi="宋体" w:cs="宋体"/>
          <w:b/>
          <w:bCs/>
          <w:sz w:val="24"/>
          <w:szCs w:val="24"/>
        </w:rPr>
        <w:t>项目服务要求</w:t>
      </w:r>
    </w:p>
    <w:p>
      <w:pPr>
        <w:pStyle w:val="11"/>
        <w:spacing w:after="0" w:line="440" w:lineRule="exact"/>
        <w:ind w:left="420" w:leftChars="200"/>
        <w:rPr>
          <w:rFonts w:ascii="宋体" w:hAnsi="宋体" w:cs="宋体"/>
          <w:b/>
          <w:bCs/>
          <w:sz w:val="24"/>
          <w:szCs w:val="24"/>
        </w:rPr>
      </w:pPr>
      <w:r>
        <w:rPr>
          <w:rFonts w:hint="eastAsia" w:ascii="宋体" w:hAnsi="宋体" w:cs="宋体"/>
          <w:b/>
          <w:bCs/>
          <w:sz w:val="24"/>
          <w:szCs w:val="24"/>
        </w:rPr>
        <w:t>（一）测评范围</w:t>
      </w:r>
    </w:p>
    <w:p>
      <w:pPr>
        <w:pStyle w:val="11"/>
        <w:spacing w:after="0" w:line="440" w:lineRule="exact"/>
        <w:ind w:firstLine="420" w:firstLineChars="200"/>
        <w:rPr>
          <w:rFonts w:ascii="宋体" w:hAnsi="宋体" w:cs="宋体"/>
          <w:szCs w:val="21"/>
        </w:rPr>
      </w:pPr>
      <w:r>
        <w:rPr>
          <w:rFonts w:hint="eastAsia" w:ascii="宋体" w:hAnsi="宋体" w:cs="宋体"/>
          <w:szCs w:val="21"/>
        </w:rPr>
        <w:t>本项目的测评范围为本项目的各子项目和相关软硬件。包括：在测评实施过程中，如该项目有调整，中标方需按照调整后的范围展开测评工作。</w:t>
      </w:r>
    </w:p>
    <w:p>
      <w:pPr>
        <w:spacing w:line="360" w:lineRule="auto"/>
        <w:ind w:firstLine="420"/>
        <w:rPr>
          <w:rFonts w:ascii="宋体" w:hAnsi="宋体" w:cs="宋体"/>
          <w:b/>
          <w:bCs/>
          <w:sz w:val="24"/>
          <w:szCs w:val="21"/>
        </w:rPr>
      </w:pPr>
      <w:r>
        <w:rPr>
          <w:rFonts w:hint="eastAsia" w:ascii="宋体" w:hAnsi="宋体" w:cs="宋体"/>
          <w:b/>
          <w:bCs/>
          <w:sz w:val="24"/>
          <w:szCs w:val="21"/>
        </w:rPr>
        <w:t>（二）测评标准服务要求</w:t>
      </w:r>
    </w:p>
    <w:p>
      <w:pPr>
        <w:spacing w:line="440" w:lineRule="exact"/>
        <w:ind w:firstLine="420" w:firstLineChars="200"/>
        <w:rPr>
          <w:rFonts w:ascii="宋体" w:hAnsi="宋体" w:cs="宋体"/>
          <w:szCs w:val="21"/>
        </w:rPr>
      </w:pPr>
      <w:r>
        <w:rPr>
          <w:rFonts w:hint="eastAsia" w:ascii="宋体" w:hAnsi="宋体" w:cs="宋体"/>
          <w:szCs w:val="21"/>
        </w:rPr>
        <w:t>（1）公平：中标方应遵循“面向应用、保证质量、客观公正、诚信守诺”的原则开展软件测评工作。</w:t>
      </w:r>
    </w:p>
    <w:p>
      <w:pPr>
        <w:spacing w:line="440" w:lineRule="exact"/>
        <w:ind w:firstLine="420" w:firstLineChars="200"/>
        <w:rPr>
          <w:rFonts w:ascii="宋体" w:hAnsi="宋体" w:cs="宋体"/>
          <w:szCs w:val="21"/>
        </w:rPr>
      </w:pPr>
      <w:r>
        <w:rPr>
          <w:rFonts w:hint="eastAsia" w:ascii="宋体" w:hAnsi="宋体" w:cs="宋体"/>
          <w:szCs w:val="21"/>
        </w:rPr>
        <w:t>（2）标准化：中标方应依据相关国家标准、行业标准开展测评工作。本测评要求所使用的标准和规范如与中标方所执行的标准不一致时，按较高标准执行。</w:t>
      </w:r>
    </w:p>
    <w:p>
      <w:pPr>
        <w:spacing w:line="440" w:lineRule="exact"/>
        <w:ind w:firstLine="420" w:firstLineChars="200"/>
        <w:rPr>
          <w:rFonts w:ascii="宋体" w:hAnsi="宋体" w:cs="宋体"/>
          <w:szCs w:val="21"/>
        </w:rPr>
      </w:pPr>
      <w:r>
        <w:rPr>
          <w:rFonts w:hint="eastAsia" w:ascii="宋体" w:hAnsi="宋体" w:cs="宋体"/>
          <w:szCs w:val="21"/>
        </w:rPr>
        <w:t>（3）优质服务：本测试要求中标方提供的是最低限度的要求，中标方应保证提供符合本测评要求和有关标准的优质服务，并确保测评报告符合项目最终验收的所有要求。</w:t>
      </w:r>
    </w:p>
    <w:p>
      <w:pPr>
        <w:spacing w:line="440" w:lineRule="exact"/>
        <w:ind w:firstLine="420" w:firstLineChars="200"/>
        <w:rPr>
          <w:rFonts w:ascii="宋体" w:hAnsi="宋体" w:cs="宋体"/>
          <w:szCs w:val="21"/>
        </w:rPr>
      </w:pPr>
      <w:r>
        <w:rPr>
          <w:rFonts w:hint="eastAsia" w:ascii="宋体" w:hAnsi="宋体" w:cs="宋体"/>
          <w:szCs w:val="21"/>
        </w:rPr>
        <w:t>（4）保密：对测评服务过程中接触到的各种信息，不得泄漏给任何单位和个人，未经允许不得利用这些信息从事与服务无关的活动。</w:t>
      </w:r>
    </w:p>
    <w:p>
      <w:pPr>
        <w:widowControl/>
        <w:spacing w:line="440" w:lineRule="exact"/>
        <w:ind w:firstLine="482" w:firstLineChars="200"/>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w:t>
      </w:r>
      <w:r>
        <w:rPr>
          <w:rFonts w:hint="eastAsia" w:ascii="宋体" w:hAnsi="宋体" w:cs="宋体"/>
          <w:b/>
          <w:bCs/>
          <w:sz w:val="24"/>
          <w:szCs w:val="21"/>
        </w:rPr>
        <w:t>测评依据</w:t>
      </w:r>
      <w:r>
        <w:rPr>
          <w:rFonts w:hint="eastAsia" w:ascii="宋体" w:hAnsi="宋体" w:cs="宋体"/>
          <w:b/>
          <w:bCs/>
          <w:color w:val="000000" w:themeColor="text1"/>
          <w:sz w:val="24"/>
          <w:szCs w:val="24"/>
          <w14:textFill>
            <w14:solidFill>
              <w14:schemeClr w14:val="tx1"/>
            </w14:solidFill>
          </w14:textFill>
        </w:rPr>
        <w:t>：</w:t>
      </w:r>
    </w:p>
    <w:p>
      <w:pPr>
        <w:spacing w:line="440" w:lineRule="exact"/>
        <w:ind w:firstLine="420" w:firstLineChars="200"/>
        <w:rPr>
          <w:rFonts w:ascii="宋体" w:hAnsi="宋体" w:cs="宋体"/>
          <w:szCs w:val="21"/>
        </w:rPr>
      </w:pPr>
      <w:r>
        <w:rPr>
          <w:rFonts w:hint="eastAsia" w:ascii="宋体" w:hAnsi="宋体" w:cs="宋体"/>
          <w:szCs w:val="21"/>
        </w:rPr>
        <w:t>（1）测评依据主要以国家标准及项目文档为主，具体标准包括如下内容：</w:t>
      </w:r>
    </w:p>
    <w:p>
      <w:pPr>
        <w:spacing w:line="440" w:lineRule="exact"/>
        <w:ind w:firstLine="420" w:firstLineChars="200"/>
        <w:rPr>
          <w:rFonts w:ascii="宋体" w:hAnsi="宋体" w:cs="宋体"/>
          <w:szCs w:val="21"/>
        </w:rPr>
      </w:pPr>
      <w:r>
        <w:rPr>
          <w:rFonts w:hint="eastAsia" w:ascii="宋体" w:hAnsi="宋体" w:cs="宋体"/>
          <w:szCs w:val="21"/>
        </w:rPr>
        <w:t>GB/T 25000.10-2016 《系统与软件工程 系统与软件质量要求和评价(SQuaRE) 第10部分:系统与软件质量模型》</w:t>
      </w:r>
    </w:p>
    <w:p>
      <w:pPr>
        <w:spacing w:line="440" w:lineRule="exact"/>
        <w:ind w:firstLine="420" w:firstLineChars="200"/>
        <w:rPr>
          <w:rFonts w:ascii="宋体" w:hAnsi="宋体" w:cs="宋体"/>
          <w:szCs w:val="21"/>
        </w:rPr>
      </w:pPr>
      <w:r>
        <w:rPr>
          <w:rFonts w:hint="eastAsia" w:ascii="宋体" w:hAnsi="宋体" w:cs="宋体"/>
          <w:szCs w:val="21"/>
        </w:rPr>
        <w:t>GB/T 25000.51:2016《系统与软件工程 系统与软件质量要求和评价(SQuaRE) 第51部分:就绪可用软件产品(RUSP)的质量要求和测试细则》</w:t>
      </w:r>
    </w:p>
    <w:p>
      <w:pPr>
        <w:spacing w:line="440" w:lineRule="exact"/>
        <w:ind w:firstLine="420" w:firstLineChars="200"/>
        <w:rPr>
          <w:rFonts w:ascii="宋体" w:hAnsi="宋体" w:cs="宋体"/>
          <w:szCs w:val="21"/>
        </w:rPr>
      </w:pPr>
      <w:r>
        <w:rPr>
          <w:rFonts w:hint="eastAsia" w:ascii="宋体" w:hAnsi="宋体" w:cs="宋体"/>
          <w:szCs w:val="21"/>
        </w:rPr>
        <w:t>国办发〔2019〕57号文件《国家政务信息化项目建设管理办法》</w:t>
      </w:r>
    </w:p>
    <w:p>
      <w:pPr>
        <w:spacing w:line="440" w:lineRule="exact"/>
        <w:ind w:firstLine="420" w:firstLineChars="200"/>
        <w:rPr>
          <w:rFonts w:ascii="宋体" w:hAnsi="宋体" w:cs="宋体"/>
          <w:szCs w:val="21"/>
        </w:rPr>
      </w:pPr>
      <w:r>
        <w:rPr>
          <w:rFonts w:hint="eastAsia" w:ascii="宋体" w:hAnsi="宋体" w:cs="宋体"/>
          <w:szCs w:val="21"/>
        </w:rPr>
        <w:t>GB/T20984-2007《信息安全技术 信息安全风险评估规范》</w:t>
      </w:r>
    </w:p>
    <w:p>
      <w:pPr>
        <w:spacing w:line="440" w:lineRule="exact"/>
        <w:ind w:firstLine="420" w:firstLineChars="200"/>
        <w:rPr>
          <w:rFonts w:ascii="宋体" w:hAnsi="宋体" w:cs="宋体"/>
          <w:szCs w:val="21"/>
        </w:rPr>
      </w:pPr>
      <w:r>
        <w:rPr>
          <w:rFonts w:hint="eastAsia" w:ascii="宋体" w:hAnsi="宋体" w:cs="宋体"/>
          <w:szCs w:val="21"/>
        </w:rPr>
        <w:t>GB/T 15532-2008 计算机软件测试规范</w:t>
      </w:r>
    </w:p>
    <w:p>
      <w:pPr>
        <w:spacing w:line="440" w:lineRule="exact"/>
        <w:ind w:firstLine="420" w:firstLineChars="200"/>
        <w:rPr>
          <w:rFonts w:ascii="宋体" w:hAnsi="宋体" w:cs="宋体"/>
          <w:szCs w:val="21"/>
        </w:rPr>
      </w:pPr>
      <w:r>
        <w:rPr>
          <w:rFonts w:hint="eastAsia" w:ascii="宋体" w:hAnsi="宋体" w:cs="宋体"/>
          <w:szCs w:val="21"/>
        </w:rPr>
        <w:t>（2）项目相关文档</w:t>
      </w:r>
    </w:p>
    <w:p>
      <w:pPr>
        <w:spacing w:line="440" w:lineRule="exact"/>
        <w:ind w:firstLine="420" w:firstLineChars="200"/>
        <w:rPr>
          <w:rFonts w:ascii="宋体" w:hAnsi="宋体" w:cs="宋体"/>
          <w:szCs w:val="21"/>
        </w:rPr>
      </w:pPr>
      <w:r>
        <w:rPr>
          <w:rFonts w:hint="eastAsia" w:ascii="宋体" w:hAnsi="宋体" w:cs="宋体"/>
          <w:szCs w:val="21"/>
        </w:rPr>
        <w:t>《项目招标文件》</w:t>
      </w:r>
    </w:p>
    <w:p>
      <w:pPr>
        <w:spacing w:line="440" w:lineRule="exact"/>
        <w:ind w:firstLine="420" w:firstLineChars="200"/>
        <w:rPr>
          <w:rFonts w:ascii="宋体" w:hAnsi="宋体" w:cs="宋体"/>
          <w:szCs w:val="21"/>
        </w:rPr>
      </w:pPr>
      <w:r>
        <w:rPr>
          <w:rFonts w:hint="eastAsia" w:ascii="宋体" w:hAnsi="宋体" w:cs="宋体"/>
          <w:szCs w:val="21"/>
        </w:rPr>
        <w:t>《项目投标文件》</w:t>
      </w:r>
    </w:p>
    <w:p>
      <w:pPr>
        <w:spacing w:line="440" w:lineRule="exact"/>
        <w:ind w:firstLine="420" w:firstLineChars="200"/>
        <w:rPr>
          <w:rFonts w:ascii="宋体" w:hAnsi="宋体" w:cs="宋体"/>
          <w:szCs w:val="21"/>
        </w:rPr>
      </w:pPr>
      <w:r>
        <w:rPr>
          <w:rFonts w:hint="eastAsia" w:ascii="宋体" w:hAnsi="宋体" w:cs="宋体"/>
          <w:szCs w:val="21"/>
        </w:rPr>
        <w:t>《项目合同书》</w:t>
      </w:r>
    </w:p>
    <w:p>
      <w:pPr>
        <w:spacing w:line="440" w:lineRule="exact"/>
        <w:ind w:firstLine="420" w:firstLineChars="200"/>
        <w:rPr>
          <w:rFonts w:ascii="宋体" w:hAnsi="宋体" w:cs="宋体"/>
          <w:szCs w:val="21"/>
        </w:rPr>
      </w:pPr>
      <w:r>
        <w:rPr>
          <w:rFonts w:hint="eastAsia" w:ascii="宋体" w:hAnsi="宋体" w:cs="宋体"/>
          <w:szCs w:val="21"/>
        </w:rPr>
        <w:t>《系统设计方案》</w:t>
      </w:r>
    </w:p>
    <w:p>
      <w:pPr>
        <w:spacing w:line="440" w:lineRule="exact"/>
        <w:ind w:firstLine="420" w:firstLineChars="200"/>
        <w:rPr>
          <w:rFonts w:ascii="宋体" w:hAnsi="宋体" w:cs="宋体"/>
          <w:szCs w:val="21"/>
        </w:rPr>
      </w:pPr>
      <w:r>
        <w:rPr>
          <w:rFonts w:hint="eastAsia" w:ascii="宋体" w:hAnsi="宋体" w:cs="宋体"/>
          <w:szCs w:val="21"/>
        </w:rPr>
        <w:t>《工程变更单》</w:t>
      </w:r>
    </w:p>
    <w:p>
      <w:pPr>
        <w:spacing w:line="360" w:lineRule="auto"/>
        <w:ind w:firstLine="420"/>
        <w:rPr>
          <w:rFonts w:ascii="宋体" w:hAnsi="宋体" w:cs="宋体"/>
          <w:b/>
          <w:bCs/>
          <w:sz w:val="24"/>
          <w:szCs w:val="21"/>
        </w:rPr>
      </w:pPr>
      <w:r>
        <w:rPr>
          <w:rFonts w:hint="eastAsia" w:ascii="宋体" w:hAnsi="宋体" w:cs="宋体"/>
          <w:b/>
          <w:bCs/>
          <w:sz w:val="24"/>
          <w:szCs w:val="21"/>
        </w:rPr>
        <w:t>（四）测评内容要求</w:t>
      </w:r>
    </w:p>
    <w:p>
      <w:pPr>
        <w:pStyle w:val="9"/>
        <w:spacing w:line="440" w:lineRule="exact"/>
        <w:rPr>
          <w:rFonts w:ascii="宋体" w:hAnsi="宋体" w:cs="宋体"/>
        </w:rPr>
      </w:pPr>
      <w:r>
        <w:rPr>
          <w:rFonts w:hint="eastAsia" w:ascii="宋体" w:hAnsi="宋体" w:cs="宋体"/>
        </w:rPr>
        <w:t>依据国家标准、政策法规、项目建设合同等相关要求，提供第三方测评服务，出具相应的测评报告。具体服务内容如下：</w:t>
      </w:r>
    </w:p>
    <w:p>
      <w:pPr>
        <w:pStyle w:val="9"/>
        <w:spacing w:line="440" w:lineRule="exact"/>
        <w:rPr>
          <w:rFonts w:ascii="宋体" w:hAnsi="宋体" w:cs="宋体"/>
        </w:rPr>
      </w:pPr>
      <w:r>
        <w:rPr>
          <w:rFonts w:hint="eastAsia" w:ascii="宋体" w:hAnsi="宋体" w:cs="宋体"/>
        </w:rPr>
        <w:t>（1）项目文档测试：根据相关标准规范及项目建设要求，对项目开发过程文档的完整性、正确性、一致性、易理解性、易浏览性进行测试。</w:t>
      </w:r>
    </w:p>
    <w:p>
      <w:pPr>
        <w:pStyle w:val="9"/>
        <w:spacing w:line="440" w:lineRule="exact"/>
        <w:rPr>
          <w:rFonts w:ascii="宋体" w:hAnsi="宋体" w:cs="宋体"/>
        </w:rPr>
      </w:pPr>
      <w:r>
        <w:rPr>
          <w:rFonts w:hint="eastAsia" w:ascii="宋体" w:hAnsi="宋体" w:cs="宋体"/>
        </w:rPr>
        <w:t>（2）功能性测试：软件系统的功能性是指当软件在指定条件下使用时，软件产品提供满足明确和隐含要求的功能和能力。功能测试主要依据标准规范及项目建设要求，对项目整体功能和业务流程进行测试，验证功能的完备性、适合性及正确性。</w:t>
      </w:r>
    </w:p>
    <w:p>
      <w:pPr>
        <w:pStyle w:val="9"/>
        <w:spacing w:line="440" w:lineRule="exact"/>
        <w:rPr>
          <w:rFonts w:ascii="宋体" w:hAnsi="宋体" w:cs="宋体"/>
        </w:rPr>
      </w:pPr>
      <w:r>
        <w:rPr>
          <w:rFonts w:hint="eastAsia" w:ascii="宋体" w:hAnsi="宋体" w:cs="宋体"/>
        </w:rPr>
        <w:t>（3）可靠性测试：也称软件的可靠性评估，指根据软件系统可靠性结构(单元与系统间可靠性关系)、寿命类型和各单元的可靠性试验信息，利用概率统计方法，评估出系统的可靠性特征量。软件可靠性是软件系统在规定的时间内以及规定的环境条件下，完成规定功能的能力。</w:t>
      </w:r>
    </w:p>
    <w:p>
      <w:pPr>
        <w:pStyle w:val="9"/>
        <w:spacing w:line="440" w:lineRule="exact"/>
        <w:rPr>
          <w:rFonts w:ascii="宋体" w:hAnsi="宋体" w:cs="宋体"/>
        </w:rPr>
      </w:pPr>
      <w:r>
        <w:rPr>
          <w:rFonts w:hint="eastAsia" w:ascii="宋体" w:hAnsi="宋体" w:cs="宋体"/>
        </w:rPr>
        <w:t>（4）性能效率测试：性能测试是指软件系统在规定的条件下，相对于所用资源的数量，软件/信息应用系统可提供适当性能的能力。验证软件的相关性能指标是否满足招标文件和采购方使用的要求。</w:t>
      </w:r>
    </w:p>
    <w:p>
      <w:pPr>
        <w:pStyle w:val="9"/>
        <w:spacing w:line="440" w:lineRule="exact"/>
        <w:rPr>
          <w:rFonts w:ascii="宋体" w:hAnsi="宋体" w:cs="宋体"/>
        </w:rPr>
      </w:pPr>
      <w:r>
        <w:rPr>
          <w:rFonts w:hint="eastAsia" w:ascii="宋体" w:hAnsi="宋体" w:cs="宋体"/>
        </w:rPr>
        <w:t>（5）易用性测试：易用性的好坏，直接影响了采购方的使用。测试包括：可辨识性、易学性、易操作性、用户差错防御性、用户界面舒适性、易访问性。</w:t>
      </w:r>
    </w:p>
    <w:p>
      <w:pPr>
        <w:pStyle w:val="9"/>
        <w:spacing w:line="440" w:lineRule="exact"/>
        <w:rPr>
          <w:rFonts w:ascii="宋体" w:hAnsi="宋体" w:cs="宋体"/>
        </w:rPr>
      </w:pPr>
      <w:r>
        <w:rPr>
          <w:rFonts w:hint="eastAsia" w:ascii="宋体" w:hAnsi="宋体" w:cs="宋体"/>
        </w:rPr>
        <w:t>（6）信息安全性测试：验证软件产品或系统保护信息和数据的程度，以使采购方、软件产品或系统具有与其授权类型和授权级别一致的数据访问度。主要对应用软件的漏洞进行扫描，对软件系统的保密性、完整性、可用性、抗抵赖性等进行测试验证。</w:t>
      </w:r>
    </w:p>
    <w:p>
      <w:pPr>
        <w:pStyle w:val="9"/>
        <w:spacing w:line="440" w:lineRule="exact"/>
        <w:rPr>
          <w:rFonts w:ascii="宋体" w:hAnsi="宋体" w:cs="宋体"/>
        </w:rPr>
      </w:pPr>
      <w:r>
        <w:rPr>
          <w:rFonts w:hint="eastAsia" w:ascii="宋体" w:hAnsi="宋体" w:cs="宋体"/>
        </w:rPr>
        <w:t>（7）兼容性测试：保障的是系统中各功能模块的兼容能力，不能因为功能的扩展与对接造成内部的冲突。</w:t>
      </w:r>
    </w:p>
    <w:p>
      <w:pPr>
        <w:pStyle w:val="9"/>
        <w:spacing w:line="440" w:lineRule="exact"/>
        <w:rPr>
          <w:rFonts w:ascii="宋体" w:hAnsi="宋体" w:cs="宋体"/>
        </w:rPr>
      </w:pPr>
      <w:r>
        <w:rPr>
          <w:rFonts w:hint="eastAsia" w:ascii="宋体" w:hAnsi="宋体" w:cs="宋体"/>
        </w:rPr>
        <w:t>（8）硬件设备和软件许可核查：依据建设项目的合同及相关文档，对采购的硬件设备进行核对检查，测评是否符合合同及招投标文件的要求，包括品牌，型号，规格，数量等，并对设备部署后加电测试，确定硬件设备是否可正常运行。对采购的软件产品进行核对检查，测评是否符合合同及招投标文件的要求，包括软件名称、许可证及许可信息等。</w:t>
      </w:r>
    </w:p>
    <w:p>
      <w:pPr>
        <w:spacing w:line="360" w:lineRule="auto"/>
        <w:ind w:firstLine="420"/>
        <w:rPr>
          <w:rFonts w:ascii="宋体" w:hAnsi="宋体" w:cs="宋体"/>
          <w:b/>
          <w:bCs/>
          <w:sz w:val="24"/>
          <w:szCs w:val="21"/>
        </w:rPr>
      </w:pPr>
      <w:r>
        <w:rPr>
          <w:rFonts w:hint="eastAsia" w:ascii="宋体" w:hAnsi="宋体" w:cs="宋体"/>
          <w:b/>
          <w:bCs/>
          <w:sz w:val="24"/>
          <w:szCs w:val="21"/>
        </w:rPr>
        <w:t>（五）技术要求</w:t>
      </w:r>
    </w:p>
    <w:p>
      <w:pPr>
        <w:pStyle w:val="9"/>
        <w:spacing w:line="440" w:lineRule="exact"/>
        <w:rPr>
          <w:rFonts w:ascii="宋体" w:hAnsi="宋体" w:cs="宋体"/>
        </w:rPr>
      </w:pPr>
      <w:r>
        <w:rPr>
          <w:rFonts w:hint="eastAsia" w:ascii="宋体" w:hAnsi="宋体" w:cs="宋体"/>
        </w:rPr>
        <w:t>5.1 测评实施要求</w:t>
      </w:r>
    </w:p>
    <w:p>
      <w:pPr>
        <w:pStyle w:val="9"/>
        <w:spacing w:line="440" w:lineRule="exact"/>
        <w:rPr>
          <w:rFonts w:ascii="宋体" w:hAnsi="宋体" w:cs="宋体"/>
        </w:rPr>
      </w:pPr>
      <w:r>
        <w:rPr>
          <w:rFonts w:hint="eastAsia" w:ascii="宋体" w:hAnsi="宋体" w:cs="宋体"/>
        </w:rPr>
        <w:t>投标人应在规定的周期内通过规范的流程完成各阶段性工作，并提交相关的测试文档。实施要求如下：</w:t>
      </w:r>
    </w:p>
    <w:p>
      <w:pPr>
        <w:pStyle w:val="9"/>
        <w:spacing w:line="440" w:lineRule="exact"/>
        <w:rPr>
          <w:rFonts w:ascii="宋体" w:hAnsi="宋体" w:cs="宋体"/>
        </w:rPr>
      </w:pPr>
      <w:r>
        <w:rPr>
          <w:rFonts w:hint="eastAsia" w:ascii="宋体" w:hAnsi="宋体" w:cs="宋体"/>
        </w:rPr>
        <w:t>（1）需求分析阶段：通过对用户需求及开发需求的分析，对需求进行理解和梳理，最终形成具有针对性的第三方测评实施方案；</w:t>
      </w:r>
    </w:p>
    <w:p>
      <w:pPr>
        <w:pStyle w:val="9"/>
        <w:spacing w:line="440" w:lineRule="exact"/>
        <w:rPr>
          <w:rFonts w:ascii="宋体" w:hAnsi="宋体" w:cs="宋体"/>
        </w:rPr>
      </w:pPr>
      <w:r>
        <w:rPr>
          <w:rFonts w:hint="eastAsia" w:ascii="宋体" w:hAnsi="宋体" w:cs="宋体"/>
        </w:rPr>
        <w:t>（2）测试设计阶段：依据测评实施方案中相关要求，结合实际系统进行测试用例设计，并最终生成测试用例文档；</w:t>
      </w:r>
    </w:p>
    <w:p>
      <w:pPr>
        <w:pStyle w:val="9"/>
        <w:spacing w:line="440" w:lineRule="exact"/>
        <w:rPr>
          <w:rFonts w:ascii="宋体" w:hAnsi="宋体" w:cs="宋体"/>
        </w:rPr>
      </w:pPr>
      <w:r>
        <w:rPr>
          <w:rFonts w:hint="eastAsia" w:ascii="宋体" w:hAnsi="宋体" w:cs="宋体"/>
        </w:rPr>
        <w:t>（3）测试执行阶段：依据测试文档，针对实际系统执行测试工作，最终生成测试执行记录及问题报告；</w:t>
      </w:r>
    </w:p>
    <w:p>
      <w:pPr>
        <w:pStyle w:val="9"/>
        <w:spacing w:line="440" w:lineRule="exact"/>
        <w:rPr>
          <w:rFonts w:ascii="宋体" w:hAnsi="宋体" w:cs="宋体"/>
        </w:rPr>
      </w:pPr>
      <w:r>
        <w:rPr>
          <w:rFonts w:hint="eastAsia" w:ascii="宋体" w:hAnsi="宋体" w:cs="宋体"/>
        </w:rPr>
        <w:t>（4）测试总结阶段：总结测评过程的全部工作，文档及数据，最终生成第三方测评报告。</w:t>
      </w:r>
    </w:p>
    <w:p>
      <w:pPr>
        <w:pStyle w:val="9"/>
        <w:spacing w:line="440" w:lineRule="exact"/>
        <w:rPr>
          <w:rFonts w:ascii="宋体" w:hAnsi="宋体" w:cs="宋体"/>
        </w:rPr>
      </w:pPr>
      <w:r>
        <w:rPr>
          <w:rFonts w:hint="eastAsia" w:ascii="宋体" w:hAnsi="宋体" w:cs="宋体"/>
        </w:rPr>
        <w:t>5.2 测评流程要求</w:t>
      </w:r>
    </w:p>
    <w:p>
      <w:pPr>
        <w:pStyle w:val="9"/>
        <w:spacing w:line="440" w:lineRule="exact"/>
        <w:rPr>
          <w:rFonts w:ascii="宋体" w:hAnsi="宋体" w:cs="宋体"/>
        </w:rPr>
      </w:pPr>
      <w:r>
        <w:rPr>
          <w:rFonts w:hint="eastAsia" w:ascii="宋体" w:hAnsi="宋体" w:cs="宋体"/>
        </w:rPr>
        <w:t>投标人应规范测评流程，具体要求如下：</w:t>
      </w:r>
    </w:p>
    <w:p>
      <w:pPr>
        <w:pStyle w:val="9"/>
        <w:spacing w:line="440" w:lineRule="exact"/>
        <w:rPr>
          <w:rFonts w:ascii="宋体" w:hAnsi="宋体" w:cs="宋体"/>
        </w:rPr>
      </w:pPr>
      <w:r>
        <w:rPr>
          <w:rFonts w:hint="eastAsia" w:ascii="宋体" w:hAnsi="宋体" w:cs="宋体"/>
        </w:rPr>
        <w:t>（1）前期准备：采购人与投标人正式形成委托关系后，采购人与投标人进行细致的需求确认，确定最终测试需求。投标人根据被测项目的具体情况及技术要求，组建项目组并与采购人就测试数据、文档资料、样品光盘等必要前期准备进行沟通及确认；</w:t>
      </w:r>
    </w:p>
    <w:p>
      <w:pPr>
        <w:pStyle w:val="9"/>
        <w:spacing w:line="440" w:lineRule="exact"/>
        <w:rPr>
          <w:rFonts w:ascii="宋体" w:hAnsi="宋体" w:cs="宋体"/>
        </w:rPr>
      </w:pPr>
      <w:r>
        <w:rPr>
          <w:rFonts w:hint="eastAsia" w:ascii="宋体" w:hAnsi="宋体" w:cs="宋体"/>
        </w:rPr>
        <w:t>（2）被测软硬件评估：结合测评需求对被测软件、硬件进行评估；</w:t>
      </w:r>
    </w:p>
    <w:p>
      <w:pPr>
        <w:pStyle w:val="9"/>
        <w:spacing w:line="440" w:lineRule="exact"/>
        <w:rPr>
          <w:rFonts w:ascii="宋体" w:hAnsi="宋体" w:cs="宋体"/>
        </w:rPr>
      </w:pPr>
      <w:r>
        <w:rPr>
          <w:rFonts w:hint="eastAsia" w:ascii="宋体" w:hAnsi="宋体" w:cs="宋体"/>
        </w:rPr>
        <w:t>（3）测评方案：中标方项目组应根据测评需求编写测试方案，对其进行内部评审后，提交采购人评审；</w:t>
      </w:r>
    </w:p>
    <w:p>
      <w:pPr>
        <w:pStyle w:val="9"/>
        <w:spacing w:line="440" w:lineRule="exact"/>
        <w:rPr>
          <w:rFonts w:ascii="宋体" w:hAnsi="宋体" w:cs="宋体"/>
        </w:rPr>
      </w:pPr>
      <w:r>
        <w:rPr>
          <w:rFonts w:hint="eastAsia" w:ascii="宋体" w:hAnsi="宋体" w:cs="宋体"/>
        </w:rPr>
        <w:t>（4）测试环境搭建：中标方项目组搭建正式测评环境，并对测评环境中的配置及软硬件情况进行确认；</w:t>
      </w:r>
    </w:p>
    <w:p>
      <w:pPr>
        <w:pStyle w:val="9"/>
        <w:spacing w:line="440" w:lineRule="exact"/>
        <w:rPr>
          <w:rFonts w:ascii="宋体" w:hAnsi="宋体" w:cs="宋体"/>
        </w:rPr>
      </w:pPr>
      <w:r>
        <w:rPr>
          <w:rFonts w:hint="eastAsia" w:ascii="宋体" w:hAnsi="宋体" w:cs="宋体"/>
        </w:rPr>
        <w:t>（5）测试设计，中标方项目组对测试需求及实际系统进行用例设计，经项目组内部评审后，提交采购人评审；</w:t>
      </w:r>
    </w:p>
    <w:p>
      <w:pPr>
        <w:pStyle w:val="9"/>
        <w:spacing w:line="440" w:lineRule="exact"/>
        <w:rPr>
          <w:rFonts w:ascii="宋体" w:hAnsi="宋体" w:cs="宋体"/>
        </w:rPr>
      </w:pPr>
      <w:r>
        <w:rPr>
          <w:rFonts w:hint="eastAsia" w:ascii="宋体" w:hAnsi="宋体" w:cs="宋体"/>
        </w:rPr>
        <w:t>（6）被测软件试运行：测试其是否可正常运行，是否无高危漏洞、无重大缺陷；</w:t>
      </w:r>
    </w:p>
    <w:p>
      <w:pPr>
        <w:pStyle w:val="9"/>
        <w:spacing w:line="440" w:lineRule="exact"/>
        <w:rPr>
          <w:rFonts w:ascii="宋体" w:hAnsi="宋体" w:cs="宋体"/>
        </w:rPr>
      </w:pPr>
      <w:r>
        <w:rPr>
          <w:rFonts w:hint="eastAsia" w:ascii="宋体" w:hAnsi="宋体" w:cs="宋体"/>
        </w:rPr>
        <w:t>（7）提交缺陷：中标方项目组完成一轮测试后生成问题报告及缺陷列表，经中标方项目组评审确认后，提交采购人；</w:t>
      </w:r>
    </w:p>
    <w:p>
      <w:pPr>
        <w:pStyle w:val="9"/>
        <w:spacing w:line="440" w:lineRule="exact"/>
        <w:rPr>
          <w:rFonts w:ascii="宋体" w:hAnsi="宋体" w:cs="宋体"/>
        </w:rPr>
      </w:pPr>
      <w:r>
        <w:rPr>
          <w:rFonts w:hint="eastAsia" w:ascii="宋体" w:hAnsi="宋体" w:cs="宋体"/>
        </w:rPr>
        <w:t>（8）回归测试：项目承建单位根据项目组提交的问题报告和缺陷列表对被测软件进行修改后，中标方项目组应入场进行回归测试；</w:t>
      </w:r>
    </w:p>
    <w:p>
      <w:pPr>
        <w:pStyle w:val="9"/>
        <w:spacing w:line="440" w:lineRule="exact"/>
        <w:rPr>
          <w:rFonts w:ascii="宋体" w:hAnsi="宋体" w:cs="宋体"/>
        </w:rPr>
      </w:pPr>
      <w:r>
        <w:rPr>
          <w:rFonts w:hint="eastAsia" w:ascii="宋体" w:hAnsi="宋体" w:cs="宋体"/>
        </w:rPr>
        <w:t>（9）测评报告：中标方项目组依据整体测试情况编制测试报告；</w:t>
      </w:r>
    </w:p>
    <w:p>
      <w:pPr>
        <w:pStyle w:val="9"/>
        <w:spacing w:line="440" w:lineRule="exact"/>
        <w:rPr>
          <w:rFonts w:ascii="宋体" w:hAnsi="宋体" w:cs="宋体"/>
        </w:rPr>
      </w:pPr>
      <w:r>
        <w:rPr>
          <w:rFonts w:hint="eastAsia" w:ascii="宋体" w:hAnsi="宋体" w:cs="宋体"/>
        </w:rPr>
        <w:t>（10）测评报告评审：中标方项目组对测试报告进行评审后，提交采购人确认；确认无问题后，中标方项目组应出具签章的正式测试报告；</w:t>
      </w:r>
    </w:p>
    <w:p>
      <w:pPr>
        <w:pStyle w:val="9"/>
        <w:spacing w:line="440" w:lineRule="exact"/>
        <w:rPr>
          <w:rFonts w:ascii="宋体" w:hAnsi="宋体" w:cs="宋体"/>
        </w:rPr>
      </w:pPr>
      <w:r>
        <w:rPr>
          <w:rFonts w:hint="eastAsia" w:ascii="宋体" w:hAnsi="宋体" w:cs="宋体"/>
        </w:rPr>
        <w:t>（11）文件整理提交：中标方项目组对涉及到的全部过程文档及测试文档进行整理，并经中标方项目组负责人确认后，提交采购人。</w:t>
      </w:r>
    </w:p>
    <w:p>
      <w:pPr>
        <w:pStyle w:val="9"/>
        <w:spacing w:line="440" w:lineRule="exact"/>
        <w:rPr>
          <w:rFonts w:ascii="宋体" w:hAnsi="宋体" w:cs="宋体"/>
        </w:rPr>
      </w:pPr>
      <w:r>
        <w:rPr>
          <w:rFonts w:hint="eastAsia" w:ascii="宋体" w:hAnsi="宋体" w:cs="宋体"/>
        </w:rPr>
        <w:t>5.3 测评管理要求</w:t>
      </w:r>
    </w:p>
    <w:p>
      <w:pPr>
        <w:pStyle w:val="9"/>
        <w:spacing w:line="440" w:lineRule="exact"/>
        <w:rPr>
          <w:rFonts w:ascii="宋体" w:hAnsi="宋体" w:cs="宋体"/>
        </w:rPr>
      </w:pPr>
      <w:r>
        <w:rPr>
          <w:rFonts w:hint="eastAsia" w:ascii="宋体" w:hAnsi="宋体" w:cs="宋体"/>
        </w:rPr>
        <w:t>投标人应对整体测评进行规范的内部管理，以保证测评工作的顺利进行，具体要求如下：</w:t>
      </w:r>
    </w:p>
    <w:p>
      <w:pPr>
        <w:pStyle w:val="9"/>
        <w:spacing w:line="440" w:lineRule="exact"/>
        <w:rPr>
          <w:rFonts w:ascii="宋体" w:hAnsi="宋体" w:cs="宋体"/>
        </w:rPr>
      </w:pPr>
      <w:r>
        <w:rPr>
          <w:rFonts w:hint="eastAsia" w:ascii="宋体" w:hAnsi="宋体" w:cs="宋体"/>
        </w:rPr>
        <w:t>（1）需求管理：测评过程中涉及到的用户需求、开发需求及测试需求均存在版本多次变更的情况，投标人应结合测评行业的经验对需求进行一致性及真实性的管理，以确保需求准确无误；</w:t>
      </w:r>
    </w:p>
    <w:p>
      <w:pPr>
        <w:pStyle w:val="9"/>
        <w:spacing w:line="440" w:lineRule="exact"/>
        <w:rPr>
          <w:rFonts w:ascii="宋体" w:hAnsi="宋体" w:cs="宋体"/>
        </w:rPr>
      </w:pPr>
      <w:r>
        <w:rPr>
          <w:rFonts w:hint="eastAsia" w:ascii="宋体" w:hAnsi="宋体" w:cs="宋体"/>
        </w:rPr>
        <w:t>（2）进度管理：投标人应评估测评工作量，并在采购人的认可情况下，对进度进行规划及管理，确保整体测评工作按照规划的方向执行，最终保证按照采购人和投标人一致确认的进度情况；</w:t>
      </w:r>
    </w:p>
    <w:p>
      <w:pPr>
        <w:pStyle w:val="9"/>
        <w:spacing w:line="440" w:lineRule="exact"/>
        <w:rPr>
          <w:rFonts w:ascii="宋体" w:hAnsi="宋体" w:cs="宋体"/>
        </w:rPr>
      </w:pPr>
      <w:r>
        <w:rPr>
          <w:rFonts w:hint="eastAsia" w:ascii="宋体" w:hAnsi="宋体" w:cs="宋体"/>
        </w:rPr>
        <w:t>（3）人员管理：投标人应指派一名项目经理对测评团队进行管理，包括技术人员的安排、汇报及工作成果的收集和版本控制；</w:t>
      </w:r>
    </w:p>
    <w:p>
      <w:pPr>
        <w:pStyle w:val="9"/>
        <w:spacing w:line="440" w:lineRule="exact"/>
        <w:rPr>
          <w:rFonts w:ascii="宋体" w:hAnsi="宋体" w:cs="宋体"/>
        </w:rPr>
      </w:pPr>
      <w:r>
        <w:rPr>
          <w:rFonts w:hint="eastAsia" w:ascii="宋体" w:hAnsi="宋体" w:cs="宋体"/>
        </w:rPr>
        <w:t>（4）变更管理：投标人应具有变更控制的能力，可以针对测评过程中的变更情况规范地进行处理，并对变更过程中所产生的意见、解决办法等相关信息进行收集和确定，最终将变更对项目的影响降到最低；</w:t>
      </w:r>
    </w:p>
    <w:p>
      <w:pPr>
        <w:pStyle w:val="9"/>
        <w:spacing w:line="440" w:lineRule="exact"/>
        <w:rPr>
          <w:rFonts w:ascii="宋体" w:hAnsi="宋体" w:cs="宋体"/>
        </w:rPr>
      </w:pPr>
      <w:r>
        <w:rPr>
          <w:rFonts w:hint="eastAsia" w:ascii="宋体" w:hAnsi="宋体" w:cs="宋体"/>
        </w:rPr>
        <w:t>（5）风险管理：投标人应对风险进行识别，并可对风险进行分析和处理，确保风险在最初的情况下得到解决，保障项目顺利执行。</w:t>
      </w:r>
    </w:p>
    <w:p>
      <w:pPr>
        <w:spacing w:line="360" w:lineRule="auto"/>
        <w:ind w:firstLine="420"/>
        <w:rPr>
          <w:rFonts w:ascii="宋体" w:hAnsi="宋体" w:cs="宋体"/>
          <w:b/>
          <w:bCs/>
          <w:sz w:val="24"/>
          <w:szCs w:val="21"/>
        </w:rPr>
      </w:pPr>
      <w:r>
        <w:rPr>
          <w:rFonts w:hint="eastAsia" w:ascii="宋体" w:hAnsi="宋体" w:cs="宋体"/>
          <w:b/>
          <w:bCs/>
          <w:sz w:val="24"/>
          <w:szCs w:val="21"/>
        </w:rPr>
        <w:t>（六）人员要求</w:t>
      </w:r>
    </w:p>
    <w:p>
      <w:pPr>
        <w:pStyle w:val="9"/>
        <w:spacing w:line="440" w:lineRule="exact"/>
        <w:rPr>
          <w:rFonts w:ascii="宋体" w:hAnsi="宋体" w:cs="宋体"/>
        </w:rPr>
      </w:pPr>
      <w:r>
        <w:rPr>
          <w:rFonts w:hint="eastAsia" w:ascii="宋体" w:hAnsi="宋体" w:cs="宋体"/>
        </w:rPr>
        <w:t>6.1 项目负责人要求</w:t>
      </w:r>
    </w:p>
    <w:p>
      <w:pPr>
        <w:pStyle w:val="9"/>
        <w:spacing w:line="440" w:lineRule="exact"/>
        <w:rPr>
          <w:rFonts w:ascii="宋体" w:hAnsi="宋体" w:cs="宋体"/>
        </w:rPr>
      </w:pPr>
      <w:r>
        <w:rPr>
          <w:rFonts w:hint="eastAsia" w:ascii="宋体" w:hAnsi="宋体" w:cs="宋体"/>
        </w:rPr>
        <w:t>投标人应安排项目负责人一人，需为投标单位正式聘任员工，且具有系统分析师证书，同时具备一定的软件分析和测试能力、相应的管理能力和风险管控能力。</w:t>
      </w:r>
    </w:p>
    <w:p>
      <w:pPr>
        <w:pStyle w:val="9"/>
        <w:spacing w:line="440" w:lineRule="exact"/>
        <w:rPr>
          <w:rFonts w:ascii="宋体" w:hAnsi="宋体" w:cs="宋体"/>
        </w:rPr>
      </w:pPr>
      <w:r>
        <w:rPr>
          <w:rFonts w:hint="eastAsia" w:ascii="宋体" w:hAnsi="宋体" w:cs="宋体"/>
        </w:rPr>
        <w:t>6.2 项目团队人员要求</w:t>
      </w:r>
    </w:p>
    <w:p>
      <w:pPr>
        <w:pStyle w:val="9"/>
        <w:spacing w:line="440" w:lineRule="exact"/>
        <w:rPr>
          <w:rFonts w:ascii="宋体" w:hAnsi="宋体" w:cs="宋体"/>
        </w:rPr>
      </w:pPr>
      <w:r>
        <w:rPr>
          <w:rFonts w:hint="eastAsia" w:ascii="宋体" w:hAnsi="宋体" w:cs="宋体"/>
        </w:rPr>
        <w:t>投标人应确保项目团队成员为投标人单位正式员工。具体要求如下：</w:t>
      </w:r>
    </w:p>
    <w:p>
      <w:pPr>
        <w:pStyle w:val="9"/>
        <w:spacing w:line="440" w:lineRule="exact"/>
        <w:rPr>
          <w:rFonts w:ascii="宋体" w:hAnsi="宋体" w:cs="宋体"/>
        </w:rPr>
      </w:pPr>
      <w:r>
        <w:rPr>
          <w:rFonts w:hint="eastAsia" w:ascii="宋体" w:hAnsi="宋体" w:cs="宋体"/>
        </w:rPr>
        <w:t>1.软件专业人员不少于1人：具有系统分析师证书和软件设计师证书；</w:t>
      </w:r>
    </w:p>
    <w:p>
      <w:pPr>
        <w:pStyle w:val="9"/>
        <w:spacing w:line="440" w:lineRule="exact"/>
        <w:rPr>
          <w:rFonts w:ascii="宋体" w:hAnsi="宋体" w:cs="宋体"/>
        </w:rPr>
      </w:pPr>
      <w:r>
        <w:rPr>
          <w:rFonts w:hint="eastAsia" w:ascii="宋体" w:hAnsi="宋体" w:cs="宋体"/>
        </w:rPr>
        <w:t>2.信息安全专业人员不少于1人：具有信息安全保障人员认证证书（风险管理专业级）和软件评测师证书；</w:t>
      </w:r>
    </w:p>
    <w:p>
      <w:pPr>
        <w:pStyle w:val="9"/>
        <w:spacing w:line="440" w:lineRule="exact"/>
        <w:rPr>
          <w:rFonts w:ascii="宋体" w:hAnsi="宋体" w:cs="宋体"/>
        </w:rPr>
      </w:pPr>
      <w:r>
        <w:rPr>
          <w:rFonts w:hint="eastAsia" w:ascii="宋体" w:hAnsi="宋体" w:cs="宋体"/>
        </w:rPr>
        <w:t>3.性能测试专业人员不少于1人：具有 “软件性能测试高级工程师”证书和“信息安全管理师”专业人才证书；</w:t>
      </w:r>
    </w:p>
    <w:p>
      <w:pPr>
        <w:pStyle w:val="9"/>
        <w:spacing w:line="440" w:lineRule="exact"/>
        <w:rPr>
          <w:rFonts w:ascii="宋体" w:hAnsi="宋体" w:cs="宋体"/>
        </w:rPr>
      </w:pPr>
      <w:r>
        <w:rPr>
          <w:rFonts w:hint="eastAsia" w:ascii="宋体" w:hAnsi="宋体" w:cs="宋体"/>
        </w:rPr>
        <w:t>4.网络专业人员不少于1人：具有“网络工程管理师”专业人才证书；</w:t>
      </w:r>
    </w:p>
    <w:p>
      <w:pPr>
        <w:pStyle w:val="9"/>
        <w:spacing w:line="440" w:lineRule="exact"/>
        <w:rPr>
          <w:rFonts w:ascii="宋体" w:hAnsi="宋体" w:cs="宋体"/>
        </w:rPr>
      </w:pPr>
      <w:r>
        <w:rPr>
          <w:rFonts w:hint="eastAsia" w:ascii="宋体" w:hAnsi="宋体" w:cs="宋体"/>
        </w:rPr>
        <w:t>5.软件测试人员不少于1人：具有工业和信息化人才专业知识测评证书（软件测试高级）。</w:t>
      </w:r>
    </w:p>
    <w:p>
      <w:pPr>
        <w:widowControl/>
        <w:spacing w:line="440" w:lineRule="exact"/>
        <w:ind w:firstLine="482" w:firstLineChars="200"/>
        <w:jc w:val="left"/>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三、项目商务要求：</w:t>
      </w:r>
    </w:p>
    <w:p>
      <w:pPr>
        <w:pStyle w:val="11"/>
        <w:spacing w:after="0" w:line="440" w:lineRule="exact"/>
        <w:ind w:firstLine="480" w:firstLineChars="200"/>
        <w:rPr>
          <w:rFonts w:ascii="宋体" w:hAnsi="宋体" w:cs="宋体"/>
          <w:szCs w:val="21"/>
          <w:highlight w:val="yellow"/>
        </w:rPr>
      </w:pPr>
      <w:r>
        <w:rPr>
          <w:rFonts w:hint="eastAsia" w:asciiTheme="minorEastAsia" w:hAnsiTheme="minorEastAsia" w:eastAsiaTheme="minorEastAsia"/>
          <w:sz w:val="24"/>
          <w:szCs w:val="28"/>
          <w:highlight w:val="yellow"/>
        </w:rPr>
        <w:t>★</w:t>
      </w:r>
      <w:r>
        <w:rPr>
          <w:rFonts w:hint="eastAsia" w:ascii="宋体" w:hAnsi="宋体" w:cs="宋体"/>
          <w:b/>
          <w:bCs/>
          <w:sz w:val="24"/>
          <w:szCs w:val="24"/>
          <w:highlight w:val="yellow"/>
        </w:rPr>
        <w:t>（一）服务期限：</w:t>
      </w:r>
      <w:r>
        <w:rPr>
          <w:rFonts w:hint="eastAsia" w:ascii="宋体" w:hAnsi="宋体" w:cs="宋体"/>
          <w:szCs w:val="21"/>
          <w:highlight w:val="yellow"/>
        </w:rPr>
        <w:t>本项目服务期从合同签订之日起45个工作日，项目通过最终验收止。</w:t>
      </w:r>
    </w:p>
    <w:p>
      <w:pPr>
        <w:pStyle w:val="11"/>
        <w:spacing w:after="0" w:line="440" w:lineRule="exact"/>
        <w:ind w:firstLine="420" w:firstLineChars="200"/>
        <w:rPr>
          <w:rFonts w:ascii="宋体" w:hAnsi="宋体" w:cs="宋体"/>
          <w:szCs w:val="21"/>
          <w:highlight w:val="yellow"/>
        </w:rPr>
      </w:pPr>
      <w:r>
        <w:rPr>
          <w:rFonts w:hint="eastAsia" w:ascii="宋体" w:hAnsi="宋体" w:cs="宋体"/>
          <w:szCs w:val="21"/>
          <w:highlight w:val="yellow"/>
        </w:rPr>
        <w:t>中标人需在项目提出测评申请后10个工作日内，安排相应人员入场进行测评；测评完成后的10个工作日内出具相关测评报告。</w:t>
      </w:r>
    </w:p>
    <w:p>
      <w:pPr>
        <w:spacing w:line="440" w:lineRule="exact"/>
        <w:ind w:firstLine="482" w:firstLineChars="200"/>
        <w:outlineLvl w:val="1"/>
        <w:rPr>
          <w:rFonts w:ascii="宋体" w:hAnsi="宋体" w:cs="宋体"/>
          <w:b/>
          <w:bCs/>
          <w:sz w:val="24"/>
          <w:szCs w:val="24"/>
        </w:rPr>
      </w:pPr>
      <w:r>
        <w:rPr>
          <w:rFonts w:hint="eastAsia" w:ascii="宋体" w:hAnsi="宋体" w:cs="宋体"/>
          <w:b/>
          <w:bCs/>
          <w:sz w:val="24"/>
          <w:szCs w:val="24"/>
        </w:rPr>
        <w:t>（二）验收要求：</w:t>
      </w:r>
    </w:p>
    <w:p>
      <w:pPr>
        <w:spacing w:line="440" w:lineRule="exact"/>
        <w:ind w:firstLine="420" w:firstLineChars="200"/>
        <w:rPr>
          <w:rFonts w:ascii="宋体" w:hAnsi="宋体" w:cs="宋体"/>
          <w:szCs w:val="21"/>
        </w:rPr>
      </w:pPr>
      <w:r>
        <w:rPr>
          <w:rFonts w:hint="eastAsia" w:ascii="宋体" w:hAnsi="宋体" w:cs="宋体"/>
          <w:szCs w:val="21"/>
        </w:rPr>
        <w:t>在项目合同期限内，完成采购人服务内容要求，输出测评相关文档，包括：</w:t>
      </w:r>
    </w:p>
    <w:p>
      <w:pPr>
        <w:spacing w:line="440" w:lineRule="exact"/>
        <w:ind w:firstLine="420" w:firstLineChars="200"/>
        <w:rPr>
          <w:rFonts w:ascii="宋体" w:hAnsi="宋体" w:cs="宋体"/>
          <w:szCs w:val="21"/>
        </w:rPr>
      </w:pPr>
      <w:r>
        <w:rPr>
          <w:rFonts w:hint="eastAsia" w:ascii="宋体" w:hAnsi="宋体" w:cs="宋体"/>
          <w:szCs w:val="21"/>
        </w:rPr>
        <w:t>（1）测评方案书；</w:t>
      </w:r>
    </w:p>
    <w:p>
      <w:pPr>
        <w:spacing w:line="440" w:lineRule="exact"/>
        <w:ind w:firstLine="420" w:firstLineChars="200"/>
        <w:rPr>
          <w:rFonts w:ascii="宋体" w:hAnsi="宋体" w:cs="宋体"/>
          <w:szCs w:val="21"/>
        </w:rPr>
      </w:pPr>
      <w:r>
        <w:rPr>
          <w:rFonts w:hint="eastAsia" w:ascii="宋体" w:hAnsi="宋体" w:cs="宋体"/>
          <w:szCs w:val="21"/>
        </w:rPr>
        <w:t>（2）测评过程文档；</w:t>
      </w:r>
    </w:p>
    <w:p>
      <w:pPr>
        <w:spacing w:line="440" w:lineRule="exact"/>
        <w:ind w:firstLine="420" w:firstLineChars="200"/>
        <w:rPr>
          <w:rFonts w:ascii="宋体" w:hAnsi="宋体" w:cs="宋体"/>
          <w:szCs w:val="21"/>
        </w:rPr>
      </w:pPr>
      <w:r>
        <w:rPr>
          <w:rFonts w:hint="eastAsia" w:ascii="宋体" w:hAnsi="宋体" w:cs="宋体"/>
          <w:szCs w:val="21"/>
        </w:rPr>
        <w:t>（3）第三方测评报告；</w:t>
      </w:r>
    </w:p>
    <w:p>
      <w:pPr>
        <w:spacing w:line="440" w:lineRule="exact"/>
        <w:ind w:firstLine="420" w:firstLineChars="200"/>
        <w:rPr>
          <w:rFonts w:ascii="宋体" w:hAnsi="宋体" w:cs="宋体"/>
          <w:szCs w:val="21"/>
        </w:rPr>
      </w:pPr>
      <w:r>
        <w:rPr>
          <w:rFonts w:hint="eastAsia" w:ascii="宋体" w:hAnsi="宋体" w:cs="宋体"/>
          <w:szCs w:val="21"/>
        </w:rPr>
        <w:t>（4）由采购人与中标人协商确定的其他文档。</w:t>
      </w:r>
    </w:p>
    <w:p>
      <w:pPr>
        <w:spacing w:line="440" w:lineRule="exact"/>
        <w:ind w:firstLine="482" w:firstLineChars="200"/>
        <w:outlineLvl w:val="0"/>
        <w:rPr>
          <w:rFonts w:ascii="宋体" w:hAnsi="宋体" w:cs="宋体"/>
          <w:b/>
          <w:bCs/>
          <w:sz w:val="24"/>
          <w:szCs w:val="24"/>
        </w:rPr>
      </w:pPr>
      <w:r>
        <w:rPr>
          <w:rFonts w:hint="eastAsia" w:ascii="宋体" w:hAnsi="宋体" w:cs="宋体"/>
          <w:b/>
          <w:bCs/>
          <w:sz w:val="24"/>
          <w:szCs w:val="24"/>
        </w:rPr>
        <w:t>（三）保密要求：</w:t>
      </w:r>
    </w:p>
    <w:p>
      <w:pPr>
        <w:spacing w:line="440" w:lineRule="exact"/>
        <w:ind w:firstLine="420" w:firstLineChars="200"/>
        <w:rPr>
          <w:rFonts w:ascii="宋体" w:hAnsi="宋体" w:cs="宋体"/>
          <w:szCs w:val="21"/>
        </w:rPr>
      </w:pPr>
      <w:r>
        <w:rPr>
          <w:rFonts w:hint="eastAsia" w:ascii="宋体" w:hAnsi="宋体" w:cs="宋体"/>
          <w:szCs w:val="21"/>
        </w:rPr>
        <w:t>中标方与采购人签订《保密协议》，加强保密管理，各种系统主机、数据库、网络设备的运维资料、系统应用数据、网络安全架构、拓扑图、技术文档等敏感信息、检查结果不得对外发布或提供给无关机构。对造成泄密事件和信息安全事故的，依法追究当事人的责任。</w:t>
      </w:r>
    </w:p>
    <w:p>
      <w:pPr>
        <w:spacing w:line="440" w:lineRule="exact"/>
        <w:ind w:firstLine="482" w:firstLineChars="200"/>
        <w:outlineLvl w:val="0"/>
        <w:rPr>
          <w:rFonts w:ascii="宋体" w:hAnsi="宋体" w:cs="宋体"/>
          <w:b/>
          <w:bCs/>
          <w:sz w:val="24"/>
          <w:szCs w:val="24"/>
        </w:rPr>
      </w:pPr>
      <w:r>
        <w:rPr>
          <w:rFonts w:hint="eastAsia" w:ascii="宋体" w:hAnsi="宋体" w:cs="宋体"/>
          <w:b/>
          <w:bCs/>
          <w:sz w:val="24"/>
          <w:szCs w:val="24"/>
        </w:rPr>
        <w:t>（四）付款方式：</w:t>
      </w:r>
    </w:p>
    <w:p>
      <w:pPr>
        <w:spacing w:line="440" w:lineRule="exact"/>
        <w:ind w:firstLine="420" w:firstLineChars="200"/>
        <w:rPr>
          <w:rFonts w:ascii="宋体" w:hAnsi="宋体" w:cs="宋体"/>
          <w:szCs w:val="21"/>
        </w:rPr>
      </w:pPr>
      <w:r>
        <w:rPr>
          <w:rFonts w:hint="eastAsia" w:ascii="宋体" w:hAnsi="宋体" w:cs="宋体"/>
          <w:szCs w:val="21"/>
        </w:rPr>
        <w:t>预付款：双方正式签订合同且中标单位提供等额增值税专用发票后，10个工作日内，采购方支付中标单位合同总金额的30%；</w:t>
      </w:r>
    </w:p>
    <w:p>
      <w:pPr>
        <w:spacing w:line="440" w:lineRule="exact"/>
        <w:ind w:firstLine="420" w:firstLineChars="200"/>
        <w:rPr>
          <w:rFonts w:cs="仿宋" w:asciiTheme="minorEastAsia" w:hAnsiTheme="minorEastAsia"/>
          <w:snapToGrid w:val="0"/>
          <w:kern w:val="0"/>
          <w:sz w:val="56"/>
          <w:szCs w:val="96"/>
        </w:rPr>
      </w:pPr>
      <w:r>
        <w:rPr>
          <w:rFonts w:hint="eastAsia" w:ascii="宋体" w:hAnsi="宋体" w:cs="宋体"/>
          <w:szCs w:val="21"/>
        </w:rPr>
        <w:t>尾款：中标单位交付测评成果，并通过采购方确认验收，中标单位提供等额增值税专用发票后，十个工作日内，采购方支付合同总金额的70%。</w:t>
      </w: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pStyle w:val="11"/>
        <w:rPr>
          <w:rFonts w:cs="仿宋" w:asciiTheme="minorEastAsia" w:hAnsiTheme="minorEastAsia" w:eastAsiaTheme="minorEastAsia"/>
          <w:snapToGrid w:val="0"/>
          <w:kern w:val="0"/>
          <w:sz w:val="56"/>
          <w:szCs w:val="96"/>
        </w:rPr>
      </w:pPr>
    </w:p>
    <w:p>
      <w:pPr>
        <w:rPr>
          <w:rFonts w:cs="仿宋" w:asciiTheme="minorEastAsia" w:hAnsiTheme="minorEastAsia" w:eastAsiaTheme="minorEastAsia"/>
          <w:snapToGrid w:val="0"/>
          <w:kern w:val="0"/>
          <w:sz w:val="56"/>
          <w:szCs w:val="96"/>
        </w:rPr>
      </w:pPr>
    </w:p>
    <w:p>
      <w:pPr>
        <w:pStyle w:val="11"/>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pStyle w:val="9"/>
        <w:ind w:firstLine="1120"/>
        <w:rPr>
          <w:rFonts w:cs="仿宋" w:asciiTheme="minorEastAsia" w:hAnsiTheme="minorEastAsia" w:eastAsiaTheme="minorEastAsia"/>
          <w:snapToGrid w:val="0"/>
          <w:kern w:val="0"/>
          <w:sz w:val="56"/>
          <w:szCs w:val="96"/>
        </w:rPr>
      </w:pPr>
    </w:p>
    <w:p>
      <w:pPr>
        <w:pStyle w:val="9"/>
        <w:ind w:firstLine="1120"/>
        <w:rPr>
          <w:rFonts w:cs="仿宋" w:asciiTheme="minorEastAsia" w:hAnsiTheme="minorEastAsia" w:eastAsiaTheme="minorEastAsia"/>
          <w:snapToGrid w:val="0"/>
          <w:kern w:val="0"/>
          <w:sz w:val="56"/>
          <w:szCs w:val="96"/>
        </w:rPr>
      </w:pPr>
    </w:p>
    <w:p>
      <w:pPr>
        <w:pStyle w:val="9"/>
        <w:ind w:firstLine="1120"/>
        <w:rPr>
          <w:rFonts w:cs="仿宋" w:asciiTheme="minorEastAsia" w:hAnsiTheme="minorEastAsia" w:eastAsiaTheme="minorEastAsia"/>
          <w:snapToGrid w:val="0"/>
          <w:kern w:val="0"/>
          <w:sz w:val="56"/>
          <w:szCs w:val="96"/>
        </w:rPr>
      </w:pPr>
    </w:p>
    <w:p>
      <w:pPr>
        <w:pStyle w:val="9"/>
        <w:ind w:firstLine="1120"/>
        <w:rPr>
          <w:rFonts w:cs="仿宋" w:asciiTheme="minorEastAsia" w:hAnsiTheme="minorEastAsia" w:eastAsiaTheme="minorEastAsia"/>
          <w:snapToGrid w:val="0"/>
          <w:kern w:val="0"/>
          <w:sz w:val="56"/>
          <w:szCs w:val="96"/>
        </w:rPr>
      </w:pPr>
    </w:p>
    <w:p>
      <w:pPr>
        <w:pStyle w:val="9"/>
        <w:ind w:firstLine="1120"/>
        <w:rPr>
          <w:rFonts w:cs="仿宋" w:asciiTheme="minorEastAsia" w:hAnsiTheme="minorEastAsia" w:eastAsiaTheme="minorEastAsia"/>
          <w:snapToGrid w:val="0"/>
          <w:kern w:val="0"/>
          <w:sz w:val="56"/>
          <w:szCs w:val="96"/>
        </w:rPr>
      </w:pPr>
    </w:p>
    <w:p>
      <w:pPr>
        <w:pStyle w:val="9"/>
        <w:ind w:firstLine="1120"/>
        <w:rPr>
          <w:rFonts w:cs="仿宋" w:asciiTheme="minorEastAsia" w:hAnsiTheme="minorEastAsia" w:eastAsiaTheme="minorEastAsia"/>
          <w:snapToGrid w:val="0"/>
          <w:kern w:val="0"/>
          <w:sz w:val="56"/>
          <w:szCs w:val="96"/>
        </w:rPr>
      </w:pPr>
    </w:p>
    <w:p>
      <w:pPr>
        <w:pStyle w:val="9"/>
        <w:ind w:firstLine="1120"/>
        <w:rPr>
          <w:rFonts w:cs="仿宋" w:asciiTheme="minorEastAsia" w:hAnsiTheme="minorEastAsia" w:eastAsiaTheme="minorEastAsia"/>
          <w:snapToGrid w:val="0"/>
          <w:kern w:val="0"/>
          <w:sz w:val="56"/>
          <w:szCs w:val="96"/>
        </w:rPr>
      </w:pPr>
    </w:p>
    <w:p>
      <w:pPr>
        <w:pStyle w:val="9"/>
        <w:ind w:firstLine="1120"/>
        <w:rPr>
          <w:rFonts w:cs="仿宋" w:asciiTheme="minorEastAsia" w:hAnsiTheme="minorEastAsia" w:eastAsiaTheme="minorEastAsia"/>
          <w:snapToGrid w:val="0"/>
          <w:kern w:val="0"/>
          <w:sz w:val="56"/>
          <w:szCs w:val="96"/>
        </w:rPr>
      </w:pPr>
    </w:p>
    <w:p>
      <w:pPr>
        <w:pStyle w:val="9"/>
        <w:ind w:firstLine="1120"/>
        <w:rPr>
          <w:rFonts w:cs="仿宋" w:asciiTheme="minorEastAsia" w:hAnsiTheme="minorEastAsia" w:eastAsiaTheme="minorEastAsia"/>
          <w:snapToGrid w:val="0"/>
          <w:kern w:val="0"/>
          <w:sz w:val="56"/>
          <w:szCs w:val="96"/>
        </w:rPr>
      </w:pPr>
    </w:p>
    <w:p>
      <w:pPr>
        <w:pStyle w:val="9"/>
        <w:ind w:left="0" w:leftChars="0" w:firstLine="0" w:firstLineChars="0"/>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第三部分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投标文件格式</w:t>
      </w: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sz w:val="36"/>
          <w:szCs w:val="36"/>
        </w:rPr>
      </w:pPr>
      <w:r>
        <w:rPr>
          <w:rFonts w:hint="eastAsia" w:cs="仿宋" w:asciiTheme="minorEastAsia" w:hAnsiTheme="minorEastAsia" w:eastAsiaTheme="minorEastAsia"/>
          <w:sz w:val="36"/>
          <w:szCs w:val="36"/>
        </w:rPr>
        <w:t>投标文件格式</w:t>
      </w:r>
    </w:p>
    <w:tbl>
      <w:tblPr>
        <w:tblStyle w:val="20"/>
        <w:tblpPr w:leftFromText="180" w:rightFromText="180" w:vertAnchor="text" w:horzAnchor="page" w:tblpX="1785" w:tblpY="301"/>
        <w:tblOverlap w:val="never"/>
        <w:tblW w:w="83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asciiTheme="minorEastAsia" w:hAnsiTheme="minorEastAsia" w:eastAsiaTheme="minorEastAsia"/>
              </w:rPr>
            </w:pPr>
            <w:r>
              <w:rPr>
                <w:rFonts w:hint="eastAsia" w:cs="仿宋" w:asciiTheme="minorEastAsia" w:hAnsiTheme="minorEastAsia" w:eastAsiaTheme="minorEastAsia"/>
                <w:sz w:val="24"/>
              </w:rPr>
              <w:t>一、投标文件目录（自拟）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二、政府采购违法行为风险知悉确认书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三、评审指引表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四、声明函（格式1）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五、投标人资格证明文件（格式2）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六、评分中涉及的承诺及声明函（格式3）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七、开标一览表（格式4）</w:t>
            </w:r>
          </w:p>
          <w:p>
            <w:pPr>
              <w:widowControl/>
              <w:spacing w:line="360" w:lineRule="auto"/>
              <w:rPr>
                <w:rFonts w:cs="仿宋" w:asciiTheme="minorEastAsia" w:hAnsiTheme="minorEastAsia" w:eastAsiaTheme="minorEastAsia"/>
                <w:color w:val="FF0000"/>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color w:val="FF0000"/>
              </w:rPr>
              <w:t>注：此表应与“法定代表人（负责人）证明书、法定代表人（负责人）授权委托书”一起密封于一信封，在递交投标文件时单独交与采购代理机构。（如法定代表人递交，则无需法定代表人（负责人）授权委托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八、报价表（格式5）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九、服务方案（格式6）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十、投标人情况介绍（格式7）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十一、偏离表（格式8）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340" w:type="dxa"/>
            <w:vAlign w:val="center"/>
          </w:tcPr>
          <w:p>
            <w:pPr>
              <w:widowControl/>
              <w:spacing w:line="360" w:lineRule="auto"/>
              <w:rPr>
                <w:rFonts w:cs="仿宋" w:asciiTheme="minorEastAsia" w:hAnsiTheme="minorEastAsia" w:eastAsiaTheme="minorEastAsia"/>
                <w:sz w:val="24"/>
              </w:rPr>
            </w:pPr>
            <w:r>
              <w:rPr>
                <w:rFonts w:hint="eastAsia" w:cs="仿宋" w:asciiTheme="minorEastAsia" w:hAnsiTheme="minorEastAsia" w:eastAsiaTheme="minorEastAsia"/>
                <w:sz w:val="24"/>
              </w:rPr>
              <w:t>十二、其他招标文件要求的资料或投标人认为需要补充的资料（格式9）</w:t>
            </w:r>
          </w:p>
        </w:tc>
      </w:tr>
    </w:tbl>
    <w:p>
      <w:pPr>
        <w:rPr>
          <w:rFonts w:cs="仿宋" w:asciiTheme="minorEastAsia" w:hAnsiTheme="minorEastAsia" w:eastAsiaTheme="minorEastAsia"/>
        </w:rPr>
      </w:pPr>
    </w:p>
    <w:p>
      <w:pPr>
        <w:rPr>
          <w:rFonts w:cs="仿宋" w:asciiTheme="minorEastAsia" w:hAnsiTheme="minorEastAsia" w:eastAsiaTheme="minorEastAsia"/>
        </w:rPr>
      </w:pPr>
    </w:p>
    <w:p>
      <w:pPr>
        <w:jc w:val="left"/>
        <w:rPr>
          <w:rFonts w:cs="仿宋" w:asciiTheme="minorEastAsia" w:hAnsiTheme="minorEastAsia" w:eastAsiaTheme="minorEastAsia"/>
        </w:rPr>
      </w:pPr>
      <w:r>
        <w:rPr>
          <w:rFonts w:hint="eastAsia" w:cs="仿宋" w:asciiTheme="minorEastAsia" w:hAnsiTheme="minorEastAsia" w:eastAsiaTheme="minorEastAsia"/>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56"/>
          <w:szCs w:val="56"/>
        </w:rPr>
      </w:pPr>
      <w:r>
        <w:rPr>
          <w:rFonts w:hint="eastAsia" w:cs="仿宋" w:asciiTheme="minorEastAsia" w:hAnsiTheme="minorEastAsia" w:eastAsiaTheme="minorEastAsia"/>
          <w:sz w:val="56"/>
          <w:szCs w:val="56"/>
        </w:rPr>
        <w:t>投 标 文 件</w:t>
      </w:r>
    </w:p>
    <w:p>
      <w:pPr>
        <w:rPr>
          <w:rFonts w:cs="仿宋" w:asciiTheme="minorEastAsia" w:hAnsiTheme="minorEastAsia" w:eastAsiaTheme="minorEastAsia"/>
        </w:rPr>
      </w:pPr>
    </w:p>
    <w:p>
      <w:pPr>
        <w:rPr>
          <w:rFonts w:cs="仿宋" w:asciiTheme="minorEastAsia" w:hAnsiTheme="minorEastAsia" w:eastAsiaTheme="minorEastAsia"/>
        </w:rPr>
      </w:pPr>
    </w:p>
    <w:p>
      <w:pPr>
        <w:jc w:val="center"/>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（正本/副本）</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tbl>
      <w:tblPr>
        <w:tblStyle w:val="20"/>
        <w:tblW w:w="69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8"/>
        <w:gridCol w:w="47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项 目 名 称：</w:t>
            </w:r>
          </w:p>
        </w:tc>
        <w:tc>
          <w:tcPr>
            <w:tcW w:w="4774" w:type="dxa"/>
            <w:vAlign w:val="center"/>
          </w:tcPr>
          <w:p>
            <w:pPr>
              <w:widowControl/>
              <w:spacing w:line="480" w:lineRule="auto"/>
              <w:rPr>
                <w:rFonts w:cs="仿宋" w:asciiTheme="minorEastAsia" w:hAnsiTheme="minorEastAsia" w:eastAsiaTheme="minorEastAsia"/>
                <w:sz w:val="24"/>
                <w:u w:val="single"/>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276"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法定代表人：</w:t>
            </w:r>
          </w:p>
          <w:p>
            <w:pPr>
              <w:widowControl/>
              <w:spacing w:line="276"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（授权代理人）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投标人：</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8" w:type="dxa"/>
            <w:vAlign w:val="center"/>
          </w:tcPr>
          <w:p>
            <w:pPr>
              <w:widowControl/>
              <w:spacing w:line="48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日       期：</w:t>
            </w:r>
          </w:p>
        </w:tc>
        <w:tc>
          <w:tcPr>
            <w:tcW w:w="4774" w:type="dxa"/>
            <w:vAlign w:val="center"/>
          </w:tcPr>
          <w:p>
            <w:pPr>
              <w:widowControl/>
              <w:spacing w:line="480" w:lineRule="auto"/>
              <w:rPr>
                <w:rFonts w:cs="仿宋" w:asciiTheme="minorEastAsia" w:hAnsiTheme="minorEastAsia" w:eastAsiaTheme="minorEastAsia"/>
                <w:sz w:val="24"/>
              </w:rPr>
            </w:pPr>
            <w:r>
              <w:rPr>
                <w:rFonts w:hint="eastAsia" w:cs="仿宋" w:asciiTheme="minorEastAsia" w:hAnsiTheme="minorEastAsia" w:eastAsiaTheme="minorEastAsia"/>
                <w:sz w:val="24"/>
                <w:u w:val="single"/>
              </w:rPr>
              <w:t xml:space="preserve">                              </w:t>
            </w:r>
          </w:p>
        </w:tc>
      </w:tr>
    </w:tbl>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keepNext/>
        <w:keepLines/>
        <w:spacing w:before="260" w:after="260" w:line="400" w:lineRule="exact"/>
        <w:jc w:val="center"/>
        <w:outlineLvl w:val="1"/>
        <w:rPr>
          <w:rFonts w:asciiTheme="minorEastAsia" w:hAnsiTheme="minorEastAsia" w:eastAsiaTheme="minorEastAsia"/>
          <w:sz w:val="28"/>
          <w:szCs w:val="32"/>
        </w:rPr>
      </w:pPr>
      <w:bookmarkStart w:id="4" w:name="_Toc110410380"/>
      <w:r>
        <w:rPr>
          <w:rFonts w:hint="eastAsia" w:asciiTheme="minorEastAsia" w:hAnsiTheme="minorEastAsia" w:eastAsiaTheme="minorEastAsia"/>
          <w:sz w:val="28"/>
          <w:szCs w:val="32"/>
        </w:rPr>
        <w:t>政府采购违法行为风险知悉确认书</w:t>
      </w:r>
      <w:bookmarkEnd w:id="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一、本公司已充分知悉“隐瞒真实情况，提供虚假资料”的法定情形，相关情形包括但不限于：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（一）通过转让或者租借等方式从其他单位获取资格或者资质证书投标的。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（二）由其他单位或者其他单位负责人在投标人编制的投标文件上加盖印章或者签字的。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（三）项目负责人或者主要技术人员不是本单位人员的。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（四）投标保证金不是从投标人基本账户转出的。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（五）其他隐瞒真实情况、提供虚假资料的行为。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二、本公司已充分知悉“与其他采购参加人串通投标”的法定情形，相关情形包括但不限于：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（一）投标人之间相互约定给予未中标的人利益补偿。</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（二）不同投标人的法定代表人、主要经营负责人、项目投标授权代表人、项目负责人、主要技术人员为同一人、属同一单位或者在同一单位缴纳社会保险。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（三）不同投标人的投标文件由同一单位或者同一人编制，或者由同一人分阶段参与编制的。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（四）不同投标人的投标文件或部分投标文件相互混装。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（五）不同投标人的投标文件内容存在非正常一致。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（六）由同一单位工作人员为两家以上（含两家）人进行同一项投标活动的。</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（七）不同投标人的投标报价呈规律性差异。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（八）不同投标人的投标保证金从同一单位或者个人的账户转出。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（九）主管部门依照法律、法规认定的其他情形。</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三、本公司已充分知悉下列情形所对应的法律风险，并在投标前已对相关风险事项进行排查。</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对于从其他主体获取的投标资料，人应审慎核查，确保投标资料的真实性。如主管部门查实投标文件中存在虚假资料的，无论相关资料是否由第三方或本公司员工提供，均不影响主管部门对人存在“隐瞒真实情况，提供虚假资料”违法行为的认定。</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（三）对于涉及安全生产、特种作业、抢险救灾、防疫等政府采购项目，人实施提供虚假资料、串通投标等违法行为的，主管部门将依法从严处理。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人应严格规范项目授权代表、员工参与招标投标的行为，加强对投标文件的审核。项目授权代表、员工编制、上传投标文件等行为违反政府采购法律法规或招标文件要求的，投标人应当依法承担相应法律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人对投标电子密钥负有妥善保管、及时变更和续期等主体责任。人使用电子密钥在深圳政府采购网站进行的活动，均具有法律效力，须承担相应的法律后果。人擅自将投标密钥出借他人使用所造成的法律后果，由人自行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（六）单位负责人为同一人或者存在直接控股、管理关系的不同人，不得参加同一合同项下的政府采购活动。相关情形如查实，依法作投标无效处理；涉嫌串通投标等违法行为的，主管部门将依法调查处理。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本公司已充分知悉政府采购违法、违规行为的法律后果。经查实，若投标人存在政府采购违法、违规行为，主管部门将依据《深圳经济特区政府采购条例》第五十七条的规定，处以一至三年内禁止参与本市政府采购，并由主管部门记入人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以下文字请投标人抄写并确认：“本公司已仔细阅读《政府采购违法行为风险知悉确认书》，充分知悉违法行为的法律后果，并承诺将严谨、诚信、依法依规参与政府采购活动”。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rPr>
          <w:rFonts w:asciiTheme="minorEastAsia" w:hAnsiTheme="minorEastAsia" w:eastAsiaTheme="minorEastAsia" w:cstheme="minorBidi"/>
          <w:szCs w:val="21"/>
          <w:u w:val="single"/>
        </w:rPr>
      </w:pPr>
      <w:r>
        <w:rPr>
          <w:rFonts w:hint="eastAsia" w:asciiTheme="minorEastAsia" w:hAnsiTheme="minorEastAsia" w:eastAsiaTheme="minorEastAsia" w:cstheme="minorBidi"/>
          <w:szCs w:val="21"/>
          <w:u w:val="single"/>
        </w:rPr>
        <w:t xml:space="preserve">                                                                                            </w:t>
      </w:r>
    </w:p>
    <w:p>
      <w:pPr>
        <w:spacing w:line="360" w:lineRule="auto"/>
        <w:ind w:firstLine="420" w:firstLineChars="200"/>
        <w:rPr>
          <w:rFonts w:asciiTheme="minorEastAsia" w:hAnsiTheme="minorEastAsia" w:eastAsiaTheme="minorEastAsia"/>
          <w:szCs w:val="21"/>
          <w:u w:val="single"/>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负责人</w:t>
      </w:r>
      <w:r>
        <w:rPr>
          <w:rFonts w:asciiTheme="minorEastAsia" w:hAnsiTheme="minorEastAsia" w:eastAsiaTheme="minorEastAsia"/>
          <w:szCs w:val="21"/>
        </w:rPr>
        <w:t>/</w:t>
      </w:r>
      <w:r>
        <w:rPr>
          <w:rFonts w:hint="eastAsia" w:asciiTheme="minorEastAsia" w:hAnsiTheme="minorEastAsia" w:eastAsiaTheme="minorEastAsia"/>
          <w:szCs w:val="21"/>
        </w:rPr>
        <w:t>投标授权代表签名：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知悉人（公章）：</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日期：</w:t>
      </w:r>
    </w:p>
    <w:p>
      <w:pPr>
        <w:rPr>
          <w:rFonts w:cs="仿宋" w:asciiTheme="minorEastAsia" w:hAnsiTheme="minorEastAsia" w:eastAsiaTheme="minorEastAsia"/>
          <w:sz w:val="36"/>
          <w:szCs w:val="36"/>
        </w:rPr>
      </w:pPr>
      <w:r>
        <w:rPr>
          <w:rFonts w:hint="eastAsia" w:cs="仿宋" w:asciiTheme="minorEastAsia" w:hAnsiTheme="minorEastAsia" w:eastAsiaTheme="minorEastAsia"/>
          <w:sz w:val="36"/>
          <w:szCs w:val="36"/>
        </w:rPr>
        <w:br w:type="page"/>
      </w:r>
    </w:p>
    <w:p>
      <w:pPr>
        <w:jc w:val="center"/>
        <w:rPr>
          <w:rFonts w:cs="仿宋" w:asciiTheme="minorEastAsia" w:hAnsiTheme="minorEastAsia" w:eastAsiaTheme="minorEastAsia"/>
          <w:sz w:val="36"/>
          <w:szCs w:val="36"/>
        </w:rPr>
      </w:pPr>
      <w:r>
        <w:rPr>
          <w:rFonts w:hint="eastAsia" w:cs="仿宋" w:asciiTheme="minorEastAsia" w:hAnsiTheme="minorEastAsia" w:eastAsiaTheme="minorEastAsia"/>
          <w:sz w:val="36"/>
          <w:szCs w:val="36"/>
        </w:rPr>
        <w:t>评审指引表</w:t>
      </w:r>
    </w:p>
    <w:p>
      <w:pPr>
        <w:ind w:left="424" w:leftChars="202" w:firstLine="424" w:firstLineChars="202"/>
        <w:rPr>
          <w:rFonts w:cs="仿宋" w:asciiTheme="minorEastAsia" w:hAnsiTheme="minorEastAsia" w:eastAsiaTheme="minorEastAsia"/>
        </w:rPr>
      </w:pPr>
    </w:p>
    <w:p>
      <w:pPr>
        <w:ind w:left="424" w:leftChars="202" w:right="792" w:rightChars="377" w:firstLine="424" w:firstLineChars="202"/>
        <w:rPr>
          <w:rFonts w:cs="仿宋" w:asciiTheme="minorEastAsia" w:hAnsiTheme="minorEastAsia" w:eastAsiaTheme="minorEastAsia"/>
          <w:sz w:val="22"/>
        </w:rPr>
      </w:pPr>
      <w:r>
        <w:rPr>
          <w:rFonts w:hint="eastAsia" w:cs="仿宋" w:asciiTheme="minorEastAsia" w:hAnsiTheme="minorEastAsia" w:eastAsiaTheme="minorEastAsia"/>
        </w:rPr>
        <w:t>为方便参与该项目的评委专家的评审，快速找到评审事项与该项目投标文件所对应的位置，请投标人参照下表格式，编制本项目评审指引表。</w:t>
      </w:r>
    </w:p>
    <w:p>
      <w:pPr>
        <w:ind w:left="424" w:leftChars="202" w:right="792" w:rightChars="377" w:firstLine="444" w:firstLineChars="202"/>
        <w:rPr>
          <w:rFonts w:cs="仿宋" w:asciiTheme="minorEastAsia" w:hAnsiTheme="minorEastAsia" w:eastAsiaTheme="minorEastAsia"/>
          <w:sz w:val="22"/>
        </w:rPr>
      </w:pPr>
    </w:p>
    <w:tbl>
      <w:tblPr>
        <w:tblStyle w:val="20"/>
        <w:tblW w:w="753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50"/>
        <w:gridCol w:w="3544"/>
        <w:gridCol w:w="1559"/>
        <w:gridCol w:w="16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38" w:type="dxa"/>
            <w:gridSpan w:val="4"/>
            <w:shd w:val="clear" w:color="auto" w:fill="C6D9F0" w:themeFill="text2" w:themeFillTint="33"/>
            <w:vAlign w:val="center"/>
          </w:tcPr>
          <w:p>
            <w:pPr>
              <w:spacing w:line="360" w:lineRule="auto"/>
              <w:jc w:val="center"/>
              <w:rPr>
                <w:rFonts w:cs="仿宋" w:asciiTheme="minorEastAsia" w:hAnsiTheme="minorEastAsia" w:eastAsiaTheme="minorEastAsia"/>
                <w:sz w:val="22"/>
              </w:rPr>
            </w:pPr>
            <w:r>
              <w:rPr>
                <w:rFonts w:hint="eastAsia" w:cs="仿宋" w:asciiTheme="minorEastAsia" w:hAnsiTheme="minorEastAsia" w:eastAsiaTheme="minorEastAsia"/>
              </w:rPr>
              <w:t>综合评分指引（参见评审方法和详细评审）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评分类型</w:t>
            </w:r>
          </w:p>
        </w:tc>
        <w:tc>
          <w:tcPr>
            <w:tcW w:w="3544"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评分项目</w:t>
            </w:r>
          </w:p>
        </w:tc>
        <w:tc>
          <w:tcPr>
            <w:tcW w:w="1559"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分值</w:t>
            </w:r>
          </w:p>
          <w:p>
            <w:pPr>
              <w:jc w:val="center"/>
              <w:rPr>
                <w:rFonts w:cs="仿宋" w:asciiTheme="minorEastAsia" w:hAnsiTheme="minorEastAsia" w:eastAsiaTheme="minorEastAsia"/>
              </w:rPr>
            </w:pPr>
            <w:r>
              <w:rPr>
                <w:rFonts w:hint="eastAsia" w:cs="仿宋" w:asciiTheme="minorEastAsia" w:hAnsiTheme="minorEastAsia" w:eastAsiaTheme="minorEastAsia"/>
              </w:rPr>
              <w:t>（或权重）</w:t>
            </w:r>
          </w:p>
        </w:tc>
        <w:tc>
          <w:tcPr>
            <w:tcW w:w="1685" w:type="dxa"/>
            <w:vAlign w:val="center"/>
          </w:tcPr>
          <w:p>
            <w:pPr>
              <w:jc w:val="center"/>
              <w:rPr>
                <w:rFonts w:cs="仿宋" w:asciiTheme="minorEastAsia" w:hAnsiTheme="minorEastAsia" w:eastAsiaTheme="minorEastAsia"/>
              </w:rPr>
            </w:pPr>
            <w:r>
              <w:rPr>
                <w:rFonts w:hint="eastAsia" w:cs="仿宋" w:asciiTheme="minorEastAsia" w:hAnsiTheme="minorEastAsia" w:eastAsiaTheme="minorEastAsia"/>
              </w:rPr>
              <w:t>对应页码</w:t>
            </w:r>
          </w:p>
          <w:p>
            <w:pPr>
              <w:jc w:val="center"/>
              <w:rPr>
                <w:rFonts w:cs="仿宋" w:asciiTheme="minorEastAsia" w:hAnsiTheme="minorEastAsia" w:eastAsiaTheme="minorEastAsia"/>
              </w:rPr>
            </w:pPr>
            <w:r>
              <w:rPr>
                <w:rFonts w:hint="eastAsia" w:cs="仿宋" w:asciiTheme="minorEastAsia" w:hAnsiTheme="minorEastAsia" w:eastAsiaTheme="minorEastAsia"/>
              </w:rPr>
              <w:t>（对应章节）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价格部分</w:t>
            </w:r>
          </w:p>
        </w:tc>
        <w:tc>
          <w:tcPr>
            <w:tcW w:w="3544" w:type="dxa"/>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sz w:val="16"/>
              </w:rPr>
              <w:t>小型企业、微型企业、监狱企业、残疾人福利性单位声明、节能产品、环境标志产品等 ，详见评审信息政府采购优惠政策</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商务部分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276"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restart"/>
            <w:vAlign w:val="center"/>
          </w:tcPr>
          <w:p>
            <w:pPr>
              <w:spacing w:line="276" w:lineRule="auto"/>
              <w:jc w:val="center"/>
              <w:rPr>
                <w:rFonts w:cs="仿宋" w:asciiTheme="minorEastAsia" w:hAnsiTheme="minorEastAsia" w:eastAsiaTheme="minorEastAsia"/>
              </w:rPr>
            </w:pPr>
            <w:r>
              <w:rPr>
                <w:rFonts w:hint="eastAsia" w:cs="仿宋" w:asciiTheme="minorEastAsia" w:hAnsiTheme="minorEastAsia" w:eastAsiaTheme="minorEastAsia"/>
              </w:rPr>
              <w:t>技术部分</w:t>
            </w: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1...</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2...</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50" w:type="dxa"/>
            <w:vMerge w:val="continue"/>
            <w:vAlign w:val="center"/>
          </w:tcPr>
          <w:p>
            <w:pPr>
              <w:spacing w:line="360" w:lineRule="auto"/>
              <w:jc w:val="center"/>
              <w:rPr>
                <w:rFonts w:cs="仿宋" w:asciiTheme="minorEastAsia" w:hAnsiTheme="minorEastAsia" w:eastAsiaTheme="minorEastAsia"/>
              </w:rPr>
            </w:pPr>
          </w:p>
        </w:tc>
        <w:tc>
          <w:tcPr>
            <w:tcW w:w="3544" w:type="dxa"/>
            <w:vAlign w:val="center"/>
          </w:tcPr>
          <w:p>
            <w:pPr>
              <w:spacing w:line="360" w:lineRule="auto"/>
              <w:rPr>
                <w:rFonts w:cs="仿宋" w:asciiTheme="minorEastAsia" w:hAnsiTheme="minorEastAsia" w:eastAsiaTheme="minorEastAsia"/>
              </w:rPr>
            </w:pPr>
            <w:r>
              <w:rPr>
                <w:rFonts w:hint="eastAsia" w:cs="仿宋" w:asciiTheme="minorEastAsia" w:hAnsiTheme="minorEastAsia" w:eastAsiaTheme="minorEastAsia"/>
              </w:rPr>
              <w:t>3...</w:t>
            </w:r>
          </w:p>
        </w:tc>
        <w:tc>
          <w:tcPr>
            <w:tcW w:w="1559" w:type="dxa"/>
            <w:vAlign w:val="center"/>
          </w:tcPr>
          <w:p>
            <w:pPr>
              <w:spacing w:line="360" w:lineRule="auto"/>
              <w:jc w:val="center"/>
              <w:rPr>
                <w:rFonts w:cs="仿宋" w:asciiTheme="minorEastAsia" w:hAnsiTheme="minorEastAsia" w:eastAsiaTheme="minorEastAsia"/>
              </w:rPr>
            </w:pPr>
          </w:p>
        </w:tc>
        <w:tc>
          <w:tcPr>
            <w:tcW w:w="1685" w:type="dxa"/>
            <w:vAlign w:val="center"/>
          </w:tcPr>
          <w:p>
            <w:pPr>
              <w:spacing w:line="360" w:lineRule="auto"/>
              <w:jc w:val="center"/>
              <w:rPr>
                <w:rFonts w:cs="仿宋" w:asciiTheme="minorEastAsia" w:hAnsiTheme="minorEastAsia" w:eastAsiaTheme="minorEastAsia"/>
              </w:rPr>
            </w:pPr>
          </w:p>
        </w:tc>
      </w:tr>
    </w:tbl>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格式1  声 明 函</w:t>
      </w:r>
    </w:p>
    <w:p>
      <w:pPr>
        <w:jc w:val="center"/>
        <w:rPr>
          <w:rFonts w:cs="仿宋" w:asciiTheme="minorEastAsia" w:hAnsiTheme="minorEastAsia" w:eastAsiaTheme="minorEastAsia"/>
          <w:sz w:val="36"/>
          <w:szCs w:val="36"/>
        </w:rPr>
      </w:pP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我们收到你们组织的 （</w:t>
      </w:r>
      <w:r>
        <w:rPr>
          <w:rFonts w:hint="eastAsia" w:cs="仿宋" w:asciiTheme="minorEastAsia" w:hAnsiTheme="minorEastAsia" w:eastAsiaTheme="minorEastAsia"/>
          <w:u w:val="single"/>
        </w:rPr>
        <w:t xml:space="preserve">项目名称：    </w:t>
      </w:r>
      <w:r>
        <w:rPr>
          <w:rFonts w:hint="eastAsia" w:cs="仿宋" w:asciiTheme="minorEastAsia" w:hAnsiTheme="minorEastAsia" w:eastAsiaTheme="minorEastAsia"/>
        </w:rPr>
        <w:t>）招标文件，经详细研究，我们决定参加该项目 （</w:t>
      </w:r>
      <w:r>
        <w:rPr>
          <w:rFonts w:hint="eastAsia" w:cs="仿宋" w:asciiTheme="minorEastAsia" w:hAnsiTheme="minorEastAsia" w:eastAsiaTheme="minorEastAsia"/>
          <w:u w:val="single"/>
        </w:rPr>
        <w:t xml:space="preserve">项目编号：    </w:t>
      </w:r>
      <w:r>
        <w:rPr>
          <w:rFonts w:hint="eastAsia" w:cs="仿宋" w:asciiTheme="minorEastAsia" w:hAnsiTheme="minorEastAsia" w:eastAsiaTheme="minorEastAsia"/>
        </w:rPr>
        <w:t>）采购的有关活动并投标。为此，我方谨郑重声明以下诸点，并对之负法律责任。</w:t>
      </w:r>
    </w:p>
    <w:p>
      <w:pPr>
        <w:spacing w:line="360" w:lineRule="auto"/>
        <w:ind w:firstLine="424" w:firstLineChars="202"/>
        <w:jc w:val="left"/>
        <w:rPr>
          <w:rFonts w:cs="仿宋" w:asciiTheme="minorEastAsia" w:hAnsiTheme="minorEastAsia" w:eastAsiaTheme="minorEastAsia"/>
        </w:rPr>
      </w:pPr>
      <w:r>
        <w:rPr>
          <w:rFonts w:hint="eastAsia" w:cs="仿宋" w:asciiTheme="minorEastAsia" w:hAnsiTheme="minorEastAsia" w:eastAsiaTheme="minorEastAsia"/>
        </w:rPr>
        <w:t>1．我方愿以《开标一览表》中填写的投标总价并按照招标文件中的一切要求，承担上述项目的全部工作。</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2．我方提交的投标文件为：投标书正本两份，副本四份，电子档文件（正本彩色扫描件PDF格式）一份。</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3．如果我们投标文件被接受，我们将履行招标文件中规定的每一项要求，按期、按质、按量完成任务。</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4．我们愿意提供采购代理机构在招标文件中要求的所有资料，且所递交的投标文件在投标有效期（即90天）内有效，在此期间内我方的投标有可能中标，我方将受此约束。如果在投标有效期内撤销投标文件，贵司有权无条件不退还本司已提交的项目保证金。</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5．我们理解，最低报价不是中标的唯一条件。我们认为你们有选择或拒绝任何投标者中标的权利。</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6．我方愿按《中华人民共和国民法典》履行自己的全部责任。</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7．我们同意招标文件之规定，遵守有关采购的各项规定。</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8. 我们同意中标后向采购代理机构支付招标文件要求数额的采购代理服务费。</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9．所有有关本标书的函电，请按下列地址联系：</w:t>
      </w:r>
    </w:p>
    <w:p>
      <w:pPr>
        <w:adjustRightInd w:val="0"/>
        <w:snapToGrid w:val="0"/>
        <w:spacing w:line="360" w:lineRule="auto"/>
        <w:ind w:firstLine="600"/>
        <w:rPr>
          <w:rFonts w:cs="仿宋" w:asciiTheme="minorEastAsia" w:hAnsiTheme="minorEastAsia" w:eastAsiaTheme="minorEastAsia"/>
        </w:rPr>
      </w:pP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单    位： （盖章）</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授权代表或法定代表人： （签字）</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地    址：</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电    话：</w:t>
      </w:r>
    </w:p>
    <w:p>
      <w:pPr>
        <w:adjustRightInd w:val="0"/>
        <w:snapToGrid w:val="0"/>
        <w:spacing w:line="360" w:lineRule="auto"/>
        <w:ind w:firstLine="600"/>
        <w:rPr>
          <w:rFonts w:cs="仿宋" w:asciiTheme="minorEastAsia" w:hAnsiTheme="minorEastAsia" w:eastAsiaTheme="minorEastAsia"/>
        </w:rPr>
      </w:pPr>
      <w:r>
        <w:rPr>
          <w:rFonts w:hint="eastAsia" w:cs="仿宋" w:asciiTheme="minorEastAsia" w:hAnsiTheme="minorEastAsia" w:eastAsiaTheme="minorEastAsia"/>
        </w:rPr>
        <w:t>联 系 人：</w:t>
      </w:r>
    </w:p>
    <w:p>
      <w:pPr>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jc w:val="left"/>
        <w:rPr>
          <w:rFonts w:cs="仿宋" w:asciiTheme="minorEastAsia" w:hAnsiTheme="minorEastAsia" w:eastAsiaTheme="minorEastAsia"/>
        </w:rPr>
      </w:pPr>
    </w:p>
    <w:p>
      <w:pPr>
        <w:widowControl/>
        <w:jc w:val="left"/>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br w:type="page"/>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格式2  投标人资格证明文件</w:t>
      </w:r>
    </w:p>
    <w:p>
      <w:pPr>
        <w:ind w:firstLine="1274" w:firstLineChars="607"/>
        <w:rPr>
          <w:rFonts w:cs="仿宋" w:asciiTheme="minorEastAsia" w:hAnsiTheme="minorEastAsia" w:eastAsiaTheme="minorEastAsia"/>
        </w:rPr>
      </w:pPr>
    </w:p>
    <w:p>
      <w:pPr>
        <w:jc w:val="center"/>
        <w:rPr>
          <w:rFonts w:cs="仿宋" w:asciiTheme="minorEastAsia" w:hAnsiTheme="minorEastAsia" w:eastAsiaTheme="minorEastAsia"/>
        </w:rPr>
      </w:pP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1、营业执照或法人证书等证明文件【扫描件或复印件】</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2、法定代表人（负责人）证明书【原件】</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3、法定代表人（负责人）授权委托书【原件】</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4、承诺函【详见格式《承诺函》】</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5、国家企业信用信息公示系统（https://www.gsxt.gov.cn/index.html）或机关赋码和事业单位登记管理网（http://www.gjsy.gov.cn/sydwfrxxcx/）或全国社会组织信用信息公示平台（https://xxgs.chinanpo.mca.gov.cn/gsxt/newList）网站供应商信息查询截图</w:t>
      </w:r>
    </w:p>
    <w:p>
      <w:pPr>
        <w:spacing w:line="360" w:lineRule="auto"/>
        <w:ind w:firstLine="424" w:firstLineChars="202"/>
        <w:rPr>
          <w:rFonts w:cs="仿宋" w:asciiTheme="minorEastAsia" w:hAnsiTheme="minorEastAsia" w:eastAsiaTheme="minorEastAsia"/>
        </w:rPr>
      </w:pPr>
      <w:r>
        <w:rPr>
          <w:rFonts w:hint="eastAsia" w:cs="仿宋" w:asciiTheme="minorEastAsia" w:hAnsiTheme="minorEastAsia" w:eastAsiaTheme="minorEastAsia"/>
        </w:rPr>
        <w:t>6、信用查询截图</w:t>
      </w:r>
    </w:p>
    <w:p>
      <w:pPr>
        <w:spacing w:line="360" w:lineRule="auto"/>
        <w:ind w:firstLine="424" w:firstLineChars="202"/>
        <w:rPr>
          <w:rFonts w:cs="仿宋" w:asciiTheme="minorEastAsia" w:hAnsiTheme="minorEastAsia" w:eastAsiaTheme="minorEastAsia"/>
          <w:color w:val="FF0000"/>
          <w:sz w:val="22"/>
        </w:rPr>
      </w:pPr>
      <w:r>
        <w:rPr>
          <w:rFonts w:hint="eastAsia" w:cs="仿宋" w:asciiTheme="minorEastAsia" w:hAnsiTheme="minorEastAsia" w:eastAsiaTheme="minorEastAsia"/>
        </w:rPr>
        <w:t>7、其他【如有，按采购公告“申请人的资格要求”提供】</w:t>
      </w:r>
    </w:p>
    <w:p>
      <w:pPr>
        <w:adjustRightInd w:val="0"/>
        <w:snapToGrid w:val="0"/>
        <w:spacing w:line="360" w:lineRule="auto"/>
        <w:ind w:firstLine="991" w:firstLineChars="472"/>
        <w:rPr>
          <w:rFonts w:cs="仿宋" w:asciiTheme="minorEastAsia" w:hAnsiTheme="minorEastAsia" w:eastAsiaTheme="minorEastAsia"/>
        </w:rPr>
      </w:pPr>
    </w:p>
    <w:p>
      <w:pPr>
        <w:spacing w:line="360" w:lineRule="auto"/>
        <w:ind w:left="1394" w:leftChars="474" w:hanging="399" w:hangingChars="190"/>
        <w:rPr>
          <w:rFonts w:cs="仿宋" w:asciiTheme="minorEastAsia" w:hAnsiTheme="minorEastAsia" w:eastAsiaTheme="minorEastAsia"/>
        </w:rPr>
      </w:pPr>
    </w:p>
    <w:p>
      <w:pPr>
        <w:spacing w:line="360" w:lineRule="auto"/>
        <w:ind w:left="1413" w:leftChars="474" w:hanging="418" w:hangingChars="190"/>
        <w:rPr>
          <w:rFonts w:cs="仿宋" w:asciiTheme="minorEastAsia" w:hAnsiTheme="minorEastAsia" w:eastAsiaTheme="minorEastAsia"/>
          <w:color w:val="FF0000"/>
          <w:sz w:val="22"/>
        </w:rPr>
      </w:pPr>
      <w:r>
        <w:rPr>
          <w:rFonts w:hint="eastAsia" w:cs="仿宋" w:asciiTheme="minorEastAsia" w:hAnsiTheme="minorEastAsia" w:eastAsiaTheme="minorEastAsia"/>
          <w:color w:val="FF0000"/>
          <w:sz w:val="22"/>
        </w:rPr>
        <w:t>注：以上资料均须加盖投标人公章，原件备查</w:t>
      </w:r>
    </w:p>
    <w:p>
      <w:pPr>
        <w:spacing w:line="360" w:lineRule="auto"/>
        <w:ind w:left="1413" w:leftChars="474" w:hanging="418" w:hangingChars="190"/>
        <w:rPr>
          <w:rFonts w:cs="仿宋" w:asciiTheme="minorEastAsia" w:hAnsiTheme="minorEastAsia" w:eastAsiaTheme="minorEastAsia"/>
          <w:color w:val="FF0000"/>
          <w:sz w:val="22"/>
        </w:rPr>
      </w:pPr>
    </w:p>
    <w:p>
      <w:pPr>
        <w:widowControl/>
        <w:jc w:val="left"/>
        <w:rPr>
          <w:rFonts w:cs="仿宋" w:asciiTheme="minorEastAsia" w:hAnsiTheme="minorEastAsia" w:eastAsiaTheme="minorEastAsia"/>
          <w:color w:val="FF0000"/>
          <w:sz w:val="22"/>
        </w:rPr>
      </w:pPr>
      <w:r>
        <w:rPr>
          <w:rFonts w:hint="eastAsia" w:cs="仿宋" w:asciiTheme="minorEastAsia" w:hAnsiTheme="minorEastAsia" w:eastAsiaTheme="minorEastAsia"/>
          <w:color w:val="FF0000"/>
          <w:sz w:val="22"/>
        </w:rPr>
        <w:br w:type="page"/>
      </w:r>
    </w:p>
    <w:p>
      <w:pPr>
        <w:adjustRightInd w:val="0"/>
        <w:spacing w:line="300" w:lineRule="auto"/>
        <w:ind w:hanging="2"/>
        <w:jc w:val="center"/>
        <w:rPr>
          <w:rFonts w:cs="仿宋" w:asciiTheme="minorEastAsia" w:hAnsiTheme="minorEastAsia" w:eastAsiaTheme="minorEastAsia"/>
        </w:rPr>
      </w:pPr>
      <w:r>
        <w:rPr>
          <w:rFonts w:hint="eastAsia" w:cs="仿宋" w:asciiTheme="minorEastAsia" w:hAnsiTheme="minorEastAsia" w:eastAsiaTheme="minorEastAsia"/>
          <w:snapToGrid w:val="0"/>
          <w:kern w:val="0"/>
          <w:sz w:val="28"/>
        </w:rPr>
        <w:t>承诺函</w:t>
      </w:r>
    </w:p>
    <w:p>
      <w:pPr>
        <w:spacing w:line="400" w:lineRule="exact"/>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400" w:lineRule="exact"/>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我单位承诺：</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1.我单位参与本项目</w:t>
      </w:r>
      <w:r>
        <w:rPr>
          <w:rFonts w:hint="eastAsia" w:cs="仿宋" w:asciiTheme="minorEastAsia" w:hAnsiTheme="minorEastAsia" w:eastAsiaTheme="minorEastAsia"/>
          <w:snapToGrid w:val="0"/>
        </w:rPr>
        <w:t>采购活动</w:t>
      </w:r>
      <w:r>
        <w:rPr>
          <w:rFonts w:hint="eastAsia" w:cs="仿宋" w:asciiTheme="minorEastAsia" w:hAnsiTheme="minorEastAsia" w:eastAsiaTheme="minorEastAsia"/>
          <w:szCs w:val="21"/>
        </w:rPr>
        <w:t>前三年内，在经营活动中没有重大违法记录。</w:t>
      </w:r>
    </w:p>
    <w:p>
      <w:pPr>
        <w:spacing w:line="40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szCs w:val="21"/>
        </w:rPr>
        <w:t>2.我单位参与本项目</w:t>
      </w:r>
      <w:r>
        <w:rPr>
          <w:rFonts w:hint="eastAsia" w:cs="仿宋" w:asciiTheme="minorEastAsia" w:hAnsiTheme="minorEastAsia" w:eastAsiaTheme="minorEastAsia"/>
        </w:rPr>
        <w:t>采购活动时不存在被有关部门禁止参与政府采购活动且在有效期内的情况。</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3.我单位满足《中华人民共和国政府采购法》第二十二条规定</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4.我单位</w:t>
      </w:r>
      <w:r>
        <w:rPr>
          <w:rFonts w:hint="eastAsia" w:cs="仿宋" w:asciiTheme="minorEastAsia" w:hAnsiTheme="minorEastAsia" w:eastAsiaTheme="minorEastAsia"/>
          <w:snapToGrid w:val="0"/>
          <w:szCs w:val="18"/>
        </w:rPr>
        <w:t>与其他投标人不存在“单位负责人为同一人或者存在直接控股、管理关系”的情况；</w:t>
      </w:r>
      <w:r>
        <w:rPr>
          <w:rFonts w:hint="eastAsia" w:cs="仿宋" w:asciiTheme="minorEastAsia" w:hAnsiTheme="minorEastAsia" w:eastAsiaTheme="minorEastAsia"/>
          <w:szCs w:val="21"/>
        </w:rPr>
        <w:t>除单一来源采购项目外，如为采购项目提供整体设计、规范编制或者项目管理、监理、检测等服务，不再参加该采购项目的其他采购活动</w:t>
      </w:r>
      <w:r>
        <w:rPr>
          <w:rFonts w:hint="eastAsia" w:cs="仿宋" w:asciiTheme="minorEastAsia" w:hAnsiTheme="minorEastAsia" w:eastAsiaTheme="minorEastAsia"/>
        </w:rPr>
        <w:t>。</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5.我单位承诺非联合体投标，不非法转包或分包。</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6.我单位参与本项目所提供的货物或服务未侵犯知识产权。</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7.我单位参与该项目投标，严格遵循公平竞争的原则，不恶意串通，不妨碍其他投标人的竞争行为，不损害采购人或者其他投标人的合法权益。我单位已清楚，如违反上述要求，将作投标无效处理。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8.我单位如果中标，做到守信，不偷工减料，依照本项目招标文件需求内容、签署的采购合同及本单位在投标中所作的一切承诺履约。</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以上承诺，如有违反，愿依照相关法律法规处理，并承担由此给采购人带来的损失。</w:t>
      </w:r>
    </w:p>
    <w:p>
      <w:pPr>
        <w:spacing w:line="360" w:lineRule="auto"/>
        <w:ind w:firstLine="6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投标人：（盖章）</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ind w:right="420"/>
        <w:rPr>
          <w:rFonts w:cs="仿宋" w:asciiTheme="minorEastAsia" w:hAnsiTheme="minorEastAsia" w:eastAsiaTheme="minorEastAsia"/>
          <w:snapToGrid w:val="0"/>
          <w:kern w:val="0"/>
        </w:rPr>
      </w:pPr>
    </w:p>
    <w:p>
      <w:pPr>
        <w:snapToGrid w:val="0"/>
        <w:spacing w:line="360" w:lineRule="auto"/>
        <w:ind w:left="560"/>
        <w:jc w:val="right"/>
        <w:rPr>
          <w:rFonts w:cs="仿宋" w:asciiTheme="minorEastAsia" w:hAnsiTheme="minorEastAsia" w:eastAsiaTheme="minorEastAsia"/>
        </w:rPr>
      </w:pPr>
      <w:r>
        <w:rPr>
          <w:rFonts w:hint="eastAsia" w:cs="仿宋" w:asciiTheme="minorEastAsia" w:hAnsiTheme="minorEastAsia" w:eastAsiaTheme="minorEastAsia"/>
        </w:rPr>
        <w:t>年     月    日</w:t>
      </w:r>
    </w:p>
    <w:p>
      <w:pPr>
        <w:rPr>
          <w:rFonts w:cs="仿宋" w:asciiTheme="minorEastAsia" w:hAnsiTheme="minorEastAsia" w:eastAsiaTheme="minorEastAsia"/>
        </w:rPr>
      </w:pPr>
      <w:r>
        <w:rPr>
          <w:rFonts w:hint="eastAsia" w:cs="仿宋" w:asciiTheme="minorEastAsia" w:hAnsiTheme="minorEastAsia" w:eastAsiaTheme="minorEastAsia"/>
        </w:rPr>
        <w:br w:type="page"/>
      </w:r>
    </w:p>
    <w:p>
      <w:pPr>
        <w:widowControl/>
        <w:jc w:val="left"/>
        <w:rPr>
          <w:rFonts w:cs="仿宋" w:asciiTheme="minorEastAsia" w:hAnsiTheme="minorEastAsia" w:eastAsiaTheme="minorEastAsia"/>
        </w:rPr>
      </w:pP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法定代表人（负责人）证明书（格式）</w:t>
      </w:r>
    </w:p>
    <w:p>
      <w:pPr>
        <w:jc w:val="center"/>
        <w:rPr>
          <w:rFonts w:cs="仿宋" w:asciiTheme="minorEastAsia" w:hAnsiTheme="minorEastAsia" w:eastAsiaTheme="minorEastAsia"/>
          <w:sz w:val="32"/>
          <w:szCs w:val="36"/>
        </w:rPr>
      </w:pPr>
    </w:p>
    <w:p>
      <w:pPr>
        <w:tabs>
          <w:tab w:val="left" w:pos="900"/>
        </w:tabs>
        <w:spacing w:line="360" w:lineRule="auto"/>
        <w:ind w:firstLine="630" w:firstLineChars="300"/>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同志，现任我单位</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职务，为法定代表人（负责人），特此证明。</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有效日期与本公司投标文件中标注的投标有效期相同。签发日期：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月</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420" w:firstLineChars="200"/>
        <w:rPr>
          <w:rFonts w:cs="仿宋" w:asciiTheme="minorEastAsia" w:hAnsiTheme="minorEastAsia" w:eastAsiaTheme="minorEastAsia"/>
        </w:rPr>
      </w:pPr>
      <w:r>
        <w:rPr>
          <w:rFonts w:hint="eastAsia" w:cs="仿宋" w:asciiTheme="minorEastAsia" w:hAnsiTheme="minorEastAsia" w:eastAsiaTheme="minorEastAsia"/>
        </w:rPr>
        <w:t>附：</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 xml:space="preserve">营业执照（注册号）： </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经济性质：</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主营（产）：</w:t>
      </w:r>
    </w:p>
    <w:p>
      <w:pPr>
        <w:spacing w:line="360" w:lineRule="auto"/>
        <w:ind w:firstLine="840" w:firstLineChars="400"/>
        <w:rPr>
          <w:rFonts w:cs="仿宋" w:asciiTheme="minorEastAsia" w:hAnsiTheme="minorEastAsia" w:eastAsiaTheme="minorEastAsia"/>
        </w:rPr>
      </w:pPr>
      <w:r>
        <w:rPr>
          <w:rFonts w:hint="eastAsia" w:cs="仿宋" w:asciiTheme="minorEastAsia" w:hAnsiTheme="minorEastAsia" w:eastAsiaTheme="minorEastAsia"/>
        </w:rPr>
        <w:t>兼营（产）：</w:t>
      </w:r>
    </w:p>
    <w:p>
      <w:pPr>
        <w:spacing w:line="360" w:lineRule="auto"/>
        <w:jc w:val="right"/>
        <w:rPr>
          <w:rFonts w:cs="仿宋" w:asciiTheme="minorEastAsia" w:hAnsiTheme="minorEastAsia" w:eastAsiaTheme="minorEastAsia"/>
        </w:rPr>
      </w:pPr>
      <w:r>
        <w:rPr>
          <w:rFonts w:hint="eastAsia" w:cs="仿宋" w:asciiTheme="minorEastAsia" w:hAnsiTheme="minorEastAsia" w:eastAsiaTheme="minorEastAsia"/>
        </w:rPr>
        <w:t>单位名称：（公章）：</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w:t>
      </w:r>
    </w:p>
    <w:p>
      <w:pPr>
        <w:spacing w:line="360" w:lineRule="auto"/>
        <w:ind w:firstLine="743" w:firstLineChars="354"/>
        <w:jc w:val="right"/>
        <w:rPr>
          <w:rFonts w:cs="仿宋" w:asciiTheme="minorEastAsia" w:hAnsiTheme="minorEastAsia" w:eastAsiaTheme="minorEastAsia"/>
        </w:rPr>
      </w:pPr>
      <w:r>
        <w:rPr>
          <w:rFonts w:hint="eastAsia" w:cs="仿宋" w:asciiTheme="minorEastAsia" w:hAnsiTheme="minorEastAsia" w:eastAsiaTheme="minorEastAsia"/>
        </w:rPr>
        <w:t>日期：</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ind w:firstLine="849" w:firstLineChars="354"/>
        <w:jc w:val="right"/>
        <w:rPr>
          <w:rFonts w:cs="仿宋" w:asciiTheme="minorEastAsia" w:hAnsiTheme="minorEastAsia" w:eastAsiaTheme="minorEastAsia"/>
          <w:sz w:val="24"/>
        </w:rPr>
      </w:pPr>
    </w:p>
    <w:p>
      <w:pPr>
        <w:spacing w:line="360" w:lineRule="auto"/>
        <w:rPr>
          <w:rFonts w:cs="仿宋" w:asciiTheme="minorEastAsia" w:hAnsiTheme="minorEastAsia" w:eastAsiaTheme="minorEastAsia"/>
        </w:rPr>
      </w:pPr>
      <w:r>
        <w:rPr>
          <w:rFonts w:cs="仿宋"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2840355</wp:posOffset>
                </wp:positionH>
                <wp:positionV relativeFrom="paragraph">
                  <wp:posOffset>136525</wp:posOffset>
                </wp:positionV>
                <wp:extent cx="2705100" cy="1981200"/>
                <wp:effectExtent l="4445" t="5080" r="14605" b="13970"/>
                <wp:wrapNone/>
                <wp:docPr id="4" name="Rectangle 5"/>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wps:txbx>
                      <wps:bodyPr upright="1"/>
                    </wps:wsp>
                  </a:graphicData>
                </a:graphic>
              </wp:anchor>
            </w:drawing>
          </mc:Choice>
          <mc:Fallback>
            <w:pict>
              <v:rect id="Rectangle 5" o:spid="_x0000_s1026" o:spt="1" style="position:absolute;left:0pt;margin-left:223.65pt;margin-top:10.75pt;height:156pt;width:213pt;z-index:251661312;mso-width-relative:page;mso-height-relative:page;" fillcolor="#FFFFFF" filled="t" stroked="t" coordsize="21600,21600" o:gfxdata="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cT0NvZAAAACgEAAA8AAAAAAAAAAQAgAAAAIgAAAGRycy9kb3ducmV2&#10;LnhtbFBLAQIUABQAAAAIAIdO4kCS8KSI+wEAADsEAAAOAAAAAAAAAAEAIAAAACgBAABkcnMvZTJv&#10;RG9jLnhtbFBLBQYAAAAABgAGAFkBAACVBQAAAAA=&#10;">
                <v:fill on="t" focussize="0,0"/>
                <v:stroke color="#000000" joinstyle="miter"/>
                <v:imagedata o:title=""/>
                <o:lock v:ext="edit" aspectratio="f"/>
                <v:textbox>
                  <w:txbxContent>
                    <w:p>
                      <w:pPr>
                        <w:spacing w:line="360" w:lineRule="auto"/>
                        <w:ind w:firstLine="1680" w:firstLineChars="800"/>
                      </w:pPr>
                    </w:p>
                    <w:p>
                      <w:pPr>
                        <w:spacing w:line="360" w:lineRule="auto"/>
                        <w:jc w:val="center"/>
                        <w:rPr>
                          <w:rFonts w:ascii="仿宋" w:hAnsi="仿宋" w:eastAsia="仿宋"/>
                          <w:sz w:val="22"/>
                        </w:rPr>
                      </w:pPr>
                      <w:r>
                        <w:rPr>
                          <w:rFonts w:hint="eastAsia" w:ascii="仿宋" w:hAnsi="仿宋" w:eastAsia="仿宋"/>
                          <w:sz w:val="22"/>
                        </w:rPr>
                        <w:t>法定代表人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（反面）</w:t>
                      </w:r>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-112395</wp:posOffset>
                </wp:positionH>
                <wp:positionV relativeFrom="paragraph">
                  <wp:posOffset>136525</wp:posOffset>
                </wp:positionV>
                <wp:extent cx="2705100" cy="1981200"/>
                <wp:effectExtent l="4445" t="5080" r="14605" b="13970"/>
                <wp:wrapNone/>
                <wp:docPr id="3" name="Rectangle 4"/>
                <wp:cNvGraphicFramePr/>
                <a:graphic xmlns:a="http://schemas.openxmlformats.org/drawingml/2006/main">
                  <a:graphicData uri="http://schemas.microsoft.com/office/word/2010/wordprocessingShape">
                    <wps:wsp>
                      <wps:cNvSpPr/>
                      <wps:spPr>
                        <a:xfrm>
                          <a:off x="0" y="0"/>
                          <a:ext cx="2705100" cy="19812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4" o:spid="_x0000_s1026" o:spt="1" style="position:absolute;left:0pt;margin-left:-8.85pt;margin-top:10.75pt;height:156pt;width:213pt;z-index:251660288;mso-width-relative:page;mso-height-relative:page;" fillcolor="#FFFFFF" filled="t" stroked="t" coordsize="21600,21600" o:gfxdata="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E3ErvZAAAACgEAAA8AAAAAAAAAAQAgAAAAIgAAAGRycy9kb3ducmV2&#10;LnhtbFBLAQIUABQAAAAIAIdO4kAPKIls+wEAADsEAAAOAAAAAAAAAAEAIAAAACgBAABkcnMvZTJv&#10;RG9jLnhtbFBLBQYAAAAABgAGAFkBAACVBQ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法定代表人</w:t>
                      </w:r>
                      <w:r>
                        <w:rPr>
                          <w:rFonts w:hint="eastAsia" w:ascii="仿宋" w:hAnsi="仿宋" w:eastAsia="仿宋"/>
                        </w:rPr>
                        <w:t>（负责人）</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 xml:space="preserve">                         </w:t>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法定代表人（负责人）授权委托书（格式）</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深圳市中正招标有限公司：</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现委派</w:t>
      </w:r>
      <w:r>
        <w:rPr>
          <w:rFonts w:hint="eastAsia" w:cs="仿宋" w:asciiTheme="minorEastAsia" w:hAnsiTheme="minorEastAsia" w:eastAsiaTheme="minorEastAsia"/>
          <w:u w:val="single"/>
        </w:rPr>
        <w:t>（姓名、职务）</w:t>
      </w:r>
      <w:r>
        <w:rPr>
          <w:rFonts w:hint="eastAsia" w:cs="仿宋" w:asciiTheme="minorEastAsia" w:hAnsiTheme="minorEastAsia" w:eastAsiaTheme="minorEastAsia"/>
        </w:rPr>
        <w:t>参加贵公司组织的</w:t>
      </w:r>
      <w:r>
        <w:rPr>
          <w:rFonts w:hint="eastAsia" w:cs="仿宋" w:asciiTheme="minorEastAsia" w:hAnsiTheme="minorEastAsia" w:eastAsiaTheme="minorEastAsia"/>
          <w:u w:val="single"/>
        </w:rPr>
        <w:t>（采购项目名称、编号）</w:t>
      </w:r>
      <w:r>
        <w:rPr>
          <w:rFonts w:hint="eastAsia" w:cs="仿宋" w:asciiTheme="minorEastAsia" w:hAnsiTheme="minorEastAsia" w:eastAsiaTheme="minorEastAsia"/>
        </w:rPr>
        <w:t>采购活动，全权代表我单位处理投标的有关事宜。</w:t>
      </w:r>
    </w:p>
    <w:p>
      <w:pPr>
        <w:spacing w:line="360" w:lineRule="auto"/>
        <w:rPr>
          <w:rFonts w:cs="仿宋" w:asciiTheme="minorEastAsia" w:hAnsiTheme="minorEastAsia" w:eastAsiaTheme="minorEastAsia"/>
        </w:rPr>
      </w:pP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附授权代表情况：</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姓       名：</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性       别：</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年       龄：</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职       务：</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身 份证号码：</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通 讯 地 址： </w:t>
      </w:r>
    </w:p>
    <w:p>
      <w:pPr>
        <w:adjustRightInd w:val="0"/>
        <w:snapToGrid w:val="0"/>
        <w:spacing w:line="360" w:lineRule="auto"/>
        <w:ind w:firstLine="629"/>
        <w:rPr>
          <w:rFonts w:cs="仿宋" w:asciiTheme="minorEastAsia" w:hAnsiTheme="minorEastAsia" w:eastAsiaTheme="minorEastAsia"/>
        </w:rPr>
      </w:pPr>
      <w:r>
        <w:rPr>
          <w:rFonts w:hint="eastAsia" w:cs="仿宋" w:asciiTheme="minorEastAsia" w:hAnsiTheme="minorEastAsia" w:eastAsiaTheme="minorEastAsia"/>
        </w:rPr>
        <w:t xml:space="preserve">联 系 方 式： </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单 位 名 称：（公章）</w:t>
      </w:r>
    </w:p>
    <w:p>
      <w:pPr>
        <w:spacing w:line="360" w:lineRule="auto"/>
        <w:ind w:firstLine="630"/>
        <w:rPr>
          <w:rFonts w:cs="仿宋" w:asciiTheme="minorEastAsia" w:hAnsiTheme="minorEastAsia" w:eastAsiaTheme="minorEastAsia"/>
        </w:rPr>
      </w:pPr>
      <w:r>
        <w:rPr>
          <w:rFonts w:hint="eastAsia" w:cs="仿宋" w:asciiTheme="minorEastAsia" w:hAnsiTheme="minorEastAsia" w:eastAsiaTheme="minorEastAsia"/>
        </w:rPr>
        <w:t>法 人 代 表：（签章）</w:t>
      </w:r>
    </w:p>
    <w:p>
      <w:pPr>
        <w:spacing w:line="360" w:lineRule="auto"/>
        <w:ind w:firstLine="630"/>
        <w:rPr>
          <w:rFonts w:cs="仿宋" w:asciiTheme="minorEastAsia" w:hAnsiTheme="minorEastAsia" w:eastAsiaTheme="minorEastAsia"/>
        </w:rPr>
      </w:pPr>
    </w:p>
    <w:p>
      <w:pPr>
        <w:adjustRightInd w:val="0"/>
        <w:snapToGrid w:val="0"/>
        <w:spacing w:line="360" w:lineRule="auto"/>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spacing w:line="360" w:lineRule="auto"/>
        <w:rPr>
          <w:rFonts w:cs="仿宋" w:asciiTheme="minorEastAsia" w:hAnsiTheme="minorEastAsia" w:eastAsiaTheme="minorEastAsia"/>
        </w:rPr>
      </w:pPr>
      <w:bookmarkStart w:id="5" w:name="_Toc226217114"/>
      <w:r>
        <w:rPr>
          <w:rFonts w:cs="仿宋"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-17145</wp:posOffset>
                </wp:positionH>
                <wp:positionV relativeFrom="paragraph">
                  <wp:posOffset>71120</wp:posOffset>
                </wp:positionV>
                <wp:extent cx="2619375" cy="1722755"/>
                <wp:effectExtent l="4445" t="4445" r="5080" b="6350"/>
                <wp:wrapNone/>
                <wp:docPr id="5" name="Rectangle 2"/>
                <wp:cNvGraphicFramePr/>
                <a:graphic xmlns:a="http://schemas.openxmlformats.org/drawingml/2006/main">
                  <a:graphicData uri="http://schemas.microsoft.com/office/word/2010/wordprocessingShape">
                    <wps:wsp>
                      <wps:cNvSpPr/>
                      <wps:spPr>
                        <a:xfrm>
                          <a:off x="0" y="0"/>
                          <a:ext cx="2619375"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wps:txbx>
                      <wps:bodyPr upright="1"/>
                    </wps:wsp>
                  </a:graphicData>
                </a:graphic>
              </wp:anchor>
            </w:drawing>
          </mc:Choice>
          <mc:Fallback>
            <w:pict>
              <v:rect id="Rectangle 2" o:spid="_x0000_s1026" o:spt="1" style="position:absolute;left:0pt;margin-left:-1.35pt;margin-top:5.6pt;height:135.65pt;width:206.25pt;z-index:251662336;mso-width-relative:page;mso-height-relative:page;" fillcolor="#FFFFFF" filled="t" stroked="t" coordsize="21600,21600" o:gfxdata="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5BW1wAAAAkBAAAPAAAAAAAAAAEAIAAAACIAAABkcnMvZG93bnJldi54&#10;bWxQSwECFAAUAAAACACHTuJAFOp7MfsBAAA7BAAADgAAAAAAAAABACAAAAAmAQAAZHJzL2Uyb0Rv&#10;Yy54bWxQSwUGAAAAAAYABgBZAQAAkwUAAAAA&#10;">
                <v:fill on="t" focussize="0,0"/>
                <v:stroke color="#000000" joinstyle="miter"/>
                <v:imagedata o:title=""/>
                <o:lock v:ext="edit" aspectratio="f"/>
                <v:textbox>
                  <w:txbxContent>
                    <w:p>
                      <w:pPr>
                        <w:spacing w:line="360" w:lineRule="auto"/>
                        <w:ind w:firstLine="1260" w:firstLineChars="600"/>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sz w:val="22"/>
                        </w:rPr>
                      </w:pPr>
                      <w:r>
                        <w:rPr>
                          <w:rFonts w:hint="eastAsia" w:ascii="仿宋" w:hAnsi="仿宋" w:eastAsia="仿宋"/>
                          <w:sz w:val="22"/>
                        </w:rPr>
                        <w:t>（正面）</w:t>
                      </w:r>
                    </w:p>
                  </w:txbxContent>
                </v:textbox>
              </v:rect>
            </w:pict>
          </mc:Fallback>
        </mc:AlternateContent>
      </w:r>
      <w:r>
        <w:rPr>
          <w:rFonts w:cs="仿宋"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2821305</wp:posOffset>
                </wp:positionH>
                <wp:positionV relativeFrom="paragraph">
                  <wp:posOffset>71120</wp:posOffset>
                </wp:positionV>
                <wp:extent cx="2533650" cy="1722755"/>
                <wp:effectExtent l="4445" t="4445" r="14605" b="6350"/>
                <wp:wrapNone/>
                <wp:docPr id="6" name="Rectangle 3"/>
                <wp:cNvGraphicFramePr/>
                <a:graphic xmlns:a="http://schemas.openxmlformats.org/drawingml/2006/main">
                  <a:graphicData uri="http://schemas.microsoft.com/office/word/2010/wordprocessingShape">
                    <wps:wsp>
                      <wps:cNvSpPr/>
                      <wps:spPr>
                        <a:xfrm>
                          <a:off x="0" y="0"/>
                          <a:ext cx="2533650" cy="172275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wps:txbx>
                      <wps:bodyPr upright="1"/>
                    </wps:wsp>
                  </a:graphicData>
                </a:graphic>
              </wp:anchor>
            </w:drawing>
          </mc:Choice>
          <mc:Fallback>
            <w:pict>
              <v:rect id="Rectangle 3" o:spid="_x0000_s1026" o:spt="1" style="position:absolute;left:0pt;margin-left:222.15pt;margin-top:5.6pt;height:135.65pt;width:199.5pt;z-index:251663360;mso-width-relative:page;mso-height-relative:page;" fillcolor="#FFFFFF" filled="t" stroked="t" coordsize="21600,21600" o:gfxdata="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tOyHU1wAAAAoBAAAPAAAAAAAAAAEAIAAAACIAAABkcnMvZG93bnJldi54&#10;bWxQSwECFAAUAAAACACHTuJApfSqi/sBAAA7BAAADgAAAAAAAAABACAAAAAmAQAAZHJzL2Uyb0Rv&#10;Yy54bWxQSwUGAAAAAAYABgBZAQAAkwUAAAAA&#10;">
                <v:fill on="t" focussize="0,0"/>
                <v:stroke color="#000000" joinstyle="miter"/>
                <v:imagedata o:title=""/>
                <o:lock v:ext="edit" aspectratio="f"/>
                <v:textbox>
                  <w:txbxContent>
                    <w:p>
                      <w:pPr>
                        <w:spacing w:line="360" w:lineRule="auto"/>
                        <w:jc w:val="center"/>
                      </w:pPr>
                    </w:p>
                    <w:p>
                      <w:pPr>
                        <w:spacing w:line="360" w:lineRule="auto"/>
                        <w:jc w:val="center"/>
                        <w:rPr>
                          <w:rFonts w:ascii="仿宋" w:hAnsi="仿宋" w:eastAsia="仿宋"/>
                          <w:sz w:val="22"/>
                        </w:rPr>
                      </w:pPr>
                      <w:r>
                        <w:rPr>
                          <w:rFonts w:hint="eastAsia" w:ascii="仿宋" w:hAnsi="仿宋" w:eastAsia="仿宋"/>
                          <w:sz w:val="22"/>
                        </w:rPr>
                        <w:t>被授权人（授权代表）</w:t>
                      </w:r>
                    </w:p>
                    <w:p>
                      <w:pPr>
                        <w:spacing w:line="360" w:lineRule="auto"/>
                        <w:jc w:val="center"/>
                        <w:rPr>
                          <w:rFonts w:ascii="仿宋" w:hAnsi="仿宋" w:eastAsia="仿宋"/>
                          <w:sz w:val="22"/>
                        </w:rPr>
                      </w:pPr>
                      <w:r>
                        <w:rPr>
                          <w:rFonts w:hint="eastAsia" w:ascii="仿宋" w:hAnsi="仿宋" w:eastAsia="仿宋"/>
                          <w:sz w:val="22"/>
                        </w:rPr>
                        <w:t>居民身份证复印件粘贴处</w:t>
                      </w:r>
                    </w:p>
                    <w:p>
                      <w:pPr>
                        <w:spacing w:line="360" w:lineRule="auto"/>
                        <w:jc w:val="center"/>
                        <w:rPr>
                          <w:rFonts w:ascii="仿宋" w:hAnsi="仿宋" w:eastAsia="仿宋"/>
                        </w:rPr>
                      </w:pPr>
                      <w:r>
                        <w:rPr>
                          <w:rFonts w:hint="eastAsia" w:ascii="仿宋" w:hAnsi="仿宋" w:eastAsia="仿宋"/>
                          <w:sz w:val="22"/>
                        </w:rPr>
                        <w:t>（反面）</w:t>
                      </w:r>
                    </w:p>
                    <w:p/>
                  </w:txbxContent>
                </v:textbox>
              </v:rect>
            </w:pict>
          </mc:Fallback>
        </mc:AlternateContent>
      </w:r>
      <w:bookmarkEnd w:id="5"/>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p>
    <w:p>
      <w:pPr>
        <w:tabs>
          <w:tab w:val="left" w:pos="5115"/>
        </w:tabs>
        <w:spacing w:line="360" w:lineRule="auto"/>
        <w:rPr>
          <w:rFonts w:cs="仿宋" w:asciiTheme="minorEastAsia" w:hAnsiTheme="minorEastAsia" w:eastAsiaTheme="minorEastAsia"/>
        </w:rPr>
      </w:pPr>
      <w:r>
        <w:rPr>
          <w:rFonts w:hint="eastAsia" w:cs="仿宋" w:asciiTheme="minorEastAsia" w:hAnsiTheme="minorEastAsia" w:eastAsiaTheme="minorEastAsia"/>
        </w:rPr>
        <w:tab/>
      </w:r>
    </w:p>
    <w:p>
      <w:pPr>
        <w:spacing w:line="360" w:lineRule="auto"/>
        <w:rPr>
          <w:rFonts w:cs="仿宋" w:asciiTheme="minorEastAsia" w:hAnsiTheme="minorEastAsia" w:eastAsiaTheme="minorEastAsia"/>
        </w:rPr>
      </w:pPr>
    </w:p>
    <w:p>
      <w:pPr>
        <w:adjustRightInd w:val="0"/>
        <w:snapToGrid w:val="0"/>
        <w:spacing w:line="360" w:lineRule="auto"/>
        <w:ind w:firstLine="5008" w:firstLineChars="2385"/>
        <w:rPr>
          <w:rFonts w:cs="仿宋" w:asciiTheme="minorEastAsia" w:hAnsiTheme="minorEastAsia" w:eastAsiaTheme="minorEastAsia"/>
        </w:rPr>
      </w:pPr>
    </w:p>
    <w:p>
      <w:pPr>
        <w:ind w:left="431" w:hanging="431" w:hangingChars="196"/>
        <w:rPr>
          <w:rFonts w:cs="仿宋" w:asciiTheme="minorEastAsia" w:hAnsiTheme="minorEastAsia" w:eastAsiaTheme="minorEastAsia"/>
          <w:color w:val="FF0000"/>
          <w:sz w:val="22"/>
        </w:rPr>
      </w:pPr>
      <w:r>
        <w:rPr>
          <w:rFonts w:hint="eastAsia" w:cs="仿宋" w:asciiTheme="minorEastAsia" w:hAnsiTheme="minorEastAsia" w:eastAsiaTheme="minorEastAsia"/>
          <w:color w:val="FF0000"/>
          <w:sz w:val="22"/>
        </w:rPr>
        <w:t>注：法定代表人（负责人）授权委托书除装订于投标文件中外，还须另置一份按“投标须知”18.5项要求单独密封。</w:t>
      </w:r>
    </w:p>
    <w:p>
      <w:pPr>
        <w:widowControl/>
        <w:jc w:val="center"/>
        <w:rPr>
          <w:rFonts w:cs="仿宋" w:asciiTheme="minorEastAsia" w:hAnsiTheme="minorEastAsia" w:eastAsiaTheme="minorEastAsia"/>
        </w:rPr>
      </w:pPr>
      <w:r>
        <w:rPr>
          <w:rFonts w:hint="eastAsia" w:cs="仿宋" w:asciiTheme="minorEastAsia" w:hAnsiTheme="minorEastAsia" w:eastAsiaTheme="minorEastAsia"/>
          <w:sz w:val="32"/>
          <w:szCs w:val="36"/>
        </w:rPr>
        <w:t xml:space="preserve"> </w:t>
      </w: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rPr>
        <w:br w:type="page"/>
      </w:r>
      <w:r>
        <w:rPr>
          <w:rFonts w:hint="eastAsia" w:cs="仿宋" w:asciiTheme="minorEastAsia" w:hAnsiTheme="minorEastAsia" w:eastAsiaTheme="minorEastAsia"/>
          <w:sz w:val="32"/>
          <w:szCs w:val="36"/>
        </w:rPr>
        <w:t>格式3  评分中涉及的承诺及声明函</w:t>
      </w:r>
    </w:p>
    <w:p>
      <w:pPr>
        <w:jc w:val="center"/>
        <w:rPr>
          <w:rFonts w:cs="仿宋" w:asciiTheme="minorEastAsia" w:hAnsiTheme="minorEastAsia" w:eastAsiaTheme="minorEastAsia"/>
          <w:sz w:val="32"/>
          <w:szCs w:val="36"/>
        </w:rPr>
      </w:pPr>
    </w:p>
    <w:p>
      <w:pPr>
        <w:jc w:val="center"/>
        <w:rPr>
          <w:rFonts w:cs="仿宋" w:asciiTheme="minorEastAsia" w:hAnsiTheme="minorEastAsia" w:eastAsiaTheme="minorEastAsia"/>
          <w:sz w:val="32"/>
          <w:szCs w:val="36"/>
        </w:rPr>
      </w:pPr>
      <w:r>
        <w:rPr>
          <w:rFonts w:hint="eastAsia" w:cs="仿宋" w:asciiTheme="minorEastAsia" w:hAnsiTheme="minorEastAsia" w:eastAsiaTheme="minorEastAsia"/>
          <w:sz w:val="32"/>
          <w:szCs w:val="36"/>
        </w:rPr>
        <w:t>诚信承诺函</w:t>
      </w:r>
    </w:p>
    <w:p>
      <w:pPr>
        <w:spacing w:line="360" w:lineRule="auto"/>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深圳市中正招标有限公司：</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与政府采购活动中不存在出现诚信相关问题且在相关主管部门处理措施实施期限内，如若投标文件与事实情况不符，我司自愿承担“隐瞒真实情况，提供虚假资料”以及其他一切不利的法律后果。</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我公司承诺，在参加政府采购活动中没有出现下列行为之一：</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（一）投标截止后，无正当理由撤销其投标行为，导致项目无法正常开评审的；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（二）未按《采购条例》规定签订、履行采购合同，严重影响采购人日常工作的；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（三）在投标文件中未说明且未经采购人同意，将中标项目分包给他人，情节严重的；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（四）严重违反合同约定，擅自降低货物质量等次和售后服务，货物、工程或者服务存在严重质量问题的；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（五）严重违反合同约定，未能完成全部货物、服务或工程项目，中途停止配送或者变相增加费用的；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（六）捏造事实、提供虚假材料进行质疑的；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（七）假冒他人名义质疑的；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（八）无正当理由拒不配合进行质疑调查的。</w:t>
      </w:r>
    </w:p>
    <w:p>
      <w:pPr>
        <w:spacing w:line="360" w:lineRule="auto"/>
        <w:ind w:firstLine="420" w:firstLineChars="200"/>
        <w:rPr>
          <w:rFonts w:cs="仿宋" w:asciiTheme="minorEastAsia" w:hAnsiTheme="minorEastAsia" w:eastAsiaTheme="minorEastAsia"/>
          <w:snapToGrid w:val="0"/>
          <w:szCs w:val="18"/>
        </w:rPr>
      </w:pPr>
      <w:r>
        <w:rPr>
          <w:rFonts w:hint="eastAsia" w:cs="仿宋" w:asciiTheme="minorEastAsia" w:hAnsiTheme="minorEastAsia" w:eastAsiaTheme="minorEastAsia"/>
          <w:snapToGrid w:val="0"/>
          <w:szCs w:val="18"/>
        </w:rPr>
        <w:t>特此承诺。</w:t>
      </w:r>
    </w:p>
    <w:p>
      <w:pPr>
        <w:spacing w:line="360" w:lineRule="auto"/>
        <w:ind w:firstLine="420" w:firstLineChars="200"/>
        <w:rPr>
          <w:rFonts w:cs="仿宋" w:asciiTheme="minorEastAsia" w:hAnsiTheme="minorEastAsia" w:eastAsiaTheme="minorEastAsia"/>
          <w:snapToGrid w:val="0"/>
          <w:szCs w:val="18"/>
        </w:rPr>
      </w:pPr>
    </w:p>
    <w:p>
      <w:pPr>
        <w:adjustRightInd w:val="0"/>
        <w:snapToGrid w:val="0"/>
        <w:spacing w:line="300" w:lineRule="auto"/>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投标人：（盖章）</w:t>
      </w:r>
    </w:p>
    <w:p>
      <w:pPr>
        <w:rPr>
          <w:rFonts w:cs="仿宋" w:asciiTheme="minorEastAsia" w:hAnsiTheme="minorEastAsia" w:eastAsiaTheme="minorEastAsia"/>
          <w:snapToGrid w:val="0"/>
          <w:kern w:val="0"/>
        </w:rPr>
      </w:pPr>
    </w:p>
    <w:p>
      <w:pPr>
        <w:rPr>
          <w:rFonts w:cs="仿宋" w:asciiTheme="minorEastAsia" w:hAnsiTheme="minorEastAsia" w:eastAsiaTheme="minorEastAsia"/>
          <w:snapToGrid w:val="0"/>
          <w:kern w:val="0"/>
        </w:rPr>
      </w:pPr>
      <w:r>
        <w:rPr>
          <w:rFonts w:hint="eastAsia" w:cs="仿宋" w:asciiTheme="minorEastAsia" w:hAnsiTheme="minorEastAsia" w:eastAsiaTheme="minorEastAsia"/>
          <w:snapToGrid w:val="0"/>
          <w:kern w:val="0"/>
        </w:rPr>
        <w:t>授权代表或法定代表人：（签字）</w:t>
      </w:r>
    </w:p>
    <w:p>
      <w:pPr>
        <w:rPr>
          <w:rFonts w:cs="仿宋" w:asciiTheme="minorEastAsia" w:hAnsiTheme="minorEastAsia" w:eastAsiaTheme="minorEastAsia"/>
          <w:snapToGrid w:val="0"/>
          <w:kern w:val="0"/>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jc w:val="left"/>
        <w:rPr>
          <w:rFonts w:cs="仿宋" w:asciiTheme="minorEastAsia" w:hAnsiTheme="minorEastAsia" w:eastAsiaTheme="minorEastAsia"/>
        </w:rPr>
      </w:pP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中小企业声明函</w:t>
      </w:r>
    </w:p>
    <w:p>
      <w:pPr>
        <w:spacing w:after="120"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spacing w:after="120"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spacing w:after="120"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spacing w:before="11" w:after="120"/>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spacing w:before="108" w:after="120"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号）第二十条规定，人按照本办法规定提供声明函内容不实的，属于提供虚假材料谋取中标、成交，依照《政府采购法》等政府采购有关法律法规规定追究相应责任。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小型和微型企业，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3、人提供的货物既有中小企业制造货物，也有大型企业制造货物的，不享受中小企业扶持政策。</w:t>
      </w:r>
    </w:p>
    <w:p>
      <w:pPr>
        <w:keepNext/>
        <w:keepLines/>
        <w:tabs>
          <w:tab w:val="left" w:pos="0"/>
        </w:tabs>
        <w:spacing w:before="280" w:after="290" w:line="376" w:lineRule="auto"/>
        <w:jc w:val="center"/>
        <w:outlineLvl w:val="3"/>
        <w:rPr>
          <w:rFonts w:ascii="宋体" w:hAnsi="宋体"/>
          <w:sz w:val="28"/>
          <w:szCs w:val="28"/>
        </w:rPr>
      </w:pPr>
      <w:r>
        <w:rPr>
          <w:rFonts w:hint="eastAsia" w:ascii="宋体" w:hAnsi="宋体"/>
          <w:sz w:val="28"/>
          <w:szCs w:val="28"/>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0" w:firstLineChars="200"/>
        <w:rPr>
          <w:rFonts w:ascii="宋体" w:hAnsi="宋体"/>
          <w:szCs w:val="21"/>
        </w:rPr>
      </w:pPr>
      <w:r>
        <w:rPr>
          <w:rFonts w:hint="eastAsia" w:ascii="宋体" w:hAnsi="宋体"/>
          <w:szCs w:val="21"/>
        </w:rPr>
        <w:t>附：省级以上监狱管理局、戒毒管理局（含新疆生产建设兵团）出具的监狱企业证明文件。</w:t>
      </w:r>
    </w:p>
    <w:p>
      <w:pPr>
        <w:spacing w:line="360" w:lineRule="auto"/>
        <w:ind w:left="720" w:hanging="720" w:hangingChars="300"/>
        <w:rPr>
          <w:rFonts w:ascii="Times New Roman" w:hAnsi="Times New Roman"/>
          <w:sz w:val="24"/>
          <w:szCs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keepNext/>
        <w:keepLines/>
        <w:tabs>
          <w:tab w:val="left" w:pos="0"/>
        </w:tabs>
        <w:spacing w:before="280" w:after="290" w:line="376" w:lineRule="auto"/>
        <w:jc w:val="center"/>
        <w:outlineLvl w:val="3"/>
        <w:rPr>
          <w:rFonts w:ascii="宋体" w:hAnsi="宋体"/>
          <w:sz w:val="28"/>
          <w:szCs w:val="28"/>
        </w:rPr>
      </w:pPr>
      <w:r>
        <w:rPr>
          <w:rFonts w:hint="eastAsia" w:ascii="宋体" w:hAnsi="宋体"/>
          <w:sz w:val="28"/>
          <w:szCs w:val="28"/>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spacing w:line="360" w:lineRule="auto"/>
        <w:jc w:val="left"/>
        <w:rPr>
          <w:rFonts w:ascii="宋体" w:hAnsi="宋体"/>
          <w:szCs w:val="21"/>
        </w:rPr>
      </w:pPr>
    </w:p>
    <w:p>
      <w:pPr>
        <w:spacing w:line="360" w:lineRule="auto"/>
        <w:jc w:val="center"/>
        <w:rPr>
          <w:rFonts w:ascii="宋体" w:hAnsi="宋体"/>
          <w:sz w:val="28"/>
          <w:szCs w:val="28"/>
        </w:rPr>
      </w:pPr>
      <w:r>
        <w:rPr>
          <w:rFonts w:hint="eastAsia" w:ascii="宋体" w:hAnsi="宋体"/>
          <w:sz w:val="28"/>
          <w:szCs w:val="28"/>
        </w:rPr>
        <w:t>列入政府优先采购清单的投标产品一览表</w:t>
      </w:r>
    </w:p>
    <w:tbl>
      <w:tblPr>
        <w:tblStyle w:val="19"/>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rFonts w:ascii="Times New Roman" w:hAnsi="Times New Roman"/>
                <w:szCs w:val="21"/>
              </w:rPr>
            </w:pPr>
            <w:r>
              <w:rPr>
                <w:rFonts w:hint="eastAsia" w:ascii="Times New Roman" w:hAnsi="Times New Roman"/>
                <w:szCs w:val="21"/>
              </w:rPr>
              <w:t>序号</w:t>
            </w:r>
          </w:p>
        </w:tc>
        <w:tc>
          <w:tcPr>
            <w:tcW w:w="1213" w:type="dxa"/>
            <w:vMerge w:val="restart"/>
            <w:vAlign w:val="center"/>
          </w:tcPr>
          <w:p>
            <w:pPr>
              <w:jc w:val="center"/>
              <w:rPr>
                <w:rFonts w:ascii="Times New Roman" w:hAnsi="Times New Roman"/>
                <w:szCs w:val="21"/>
              </w:rPr>
            </w:pPr>
            <w:r>
              <w:rPr>
                <w:rFonts w:hint="eastAsia" w:ascii="Times New Roman" w:hAnsi="Times New Roman"/>
                <w:szCs w:val="21"/>
              </w:rPr>
              <w:t>投标产品名称</w:t>
            </w:r>
          </w:p>
        </w:tc>
        <w:tc>
          <w:tcPr>
            <w:tcW w:w="1840" w:type="dxa"/>
            <w:vMerge w:val="restart"/>
            <w:vAlign w:val="center"/>
          </w:tcPr>
          <w:p>
            <w:pPr>
              <w:jc w:val="center"/>
              <w:rPr>
                <w:rFonts w:ascii="Times New Roman" w:hAnsi="Times New Roman"/>
                <w:szCs w:val="21"/>
              </w:rPr>
            </w:pPr>
            <w:r>
              <w:rPr>
                <w:rFonts w:hint="eastAsia" w:ascii="Times New Roman" w:hAnsi="Times New Roman"/>
                <w:szCs w:val="21"/>
              </w:rPr>
              <w:t>规格及型号</w:t>
            </w:r>
          </w:p>
        </w:tc>
        <w:tc>
          <w:tcPr>
            <w:tcW w:w="4351" w:type="dxa"/>
            <w:gridSpan w:val="4"/>
          </w:tcPr>
          <w:p>
            <w:pPr>
              <w:jc w:val="center"/>
              <w:rPr>
                <w:rFonts w:ascii="Times New Roman" w:hAnsi="Times New Roman"/>
                <w:szCs w:val="21"/>
              </w:rPr>
            </w:pPr>
            <w:r>
              <w:rPr>
                <w:rFonts w:hint="eastAsia" w:ascii="Times New Roman" w:hAnsi="Times New Roman"/>
                <w:szCs w:val="21"/>
              </w:rPr>
              <w:t>该投标产品报价及占投标总价的比例</w:t>
            </w:r>
          </w:p>
        </w:tc>
        <w:tc>
          <w:tcPr>
            <w:tcW w:w="1503" w:type="dxa"/>
            <w:vMerge w:val="restart"/>
            <w:vAlign w:val="center"/>
          </w:tcPr>
          <w:p>
            <w:pPr>
              <w:rPr>
                <w:rFonts w:ascii="Times New Roman" w:hAnsi="Times New Roman"/>
                <w:szCs w:val="21"/>
              </w:rPr>
            </w:pPr>
            <w:r>
              <w:rPr>
                <w:rFonts w:hint="eastAsia" w:ascii="Times New Roman" w:hAnsi="Times New Roman"/>
                <w:szCs w:val="21"/>
              </w:rPr>
              <w:t>属于优先采购清单的类别</w:t>
            </w:r>
          </w:p>
        </w:tc>
        <w:tc>
          <w:tcPr>
            <w:tcW w:w="720" w:type="dxa"/>
            <w:vMerge w:val="restart"/>
            <w:vAlign w:val="center"/>
          </w:tcPr>
          <w:p>
            <w:pPr>
              <w:rPr>
                <w:rFonts w:ascii="Times New Roman" w:hAnsi="Times New Roman"/>
                <w:szCs w:val="21"/>
              </w:rPr>
            </w:pPr>
            <w:r>
              <w:rPr>
                <w:rFonts w:hint="eastAsia"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rFonts w:ascii="Times New Roman" w:hAnsi="Times New Roman"/>
                <w:szCs w:val="21"/>
              </w:rPr>
            </w:pPr>
          </w:p>
        </w:tc>
        <w:tc>
          <w:tcPr>
            <w:tcW w:w="1213" w:type="dxa"/>
            <w:vMerge w:val="continue"/>
            <w:vAlign w:val="center"/>
          </w:tcPr>
          <w:p>
            <w:pPr>
              <w:rPr>
                <w:rFonts w:ascii="Times New Roman" w:hAnsi="Times New Roman"/>
                <w:szCs w:val="21"/>
              </w:rPr>
            </w:pPr>
          </w:p>
        </w:tc>
        <w:tc>
          <w:tcPr>
            <w:tcW w:w="1840" w:type="dxa"/>
            <w:vMerge w:val="continue"/>
            <w:vAlign w:val="center"/>
          </w:tcPr>
          <w:p>
            <w:pPr>
              <w:rPr>
                <w:rFonts w:ascii="Times New Roman" w:hAnsi="Times New Roman"/>
                <w:szCs w:val="21"/>
              </w:rPr>
            </w:pPr>
          </w:p>
        </w:tc>
        <w:tc>
          <w:tcPr>
            <w:tcW w:w="818" w:type="dxa"/>
            <w:vAlign w:val="center"/>
          </w:tcPr>
          <w:p>
            <w:pPr>
              <w:rPr>
                <w:rFonts w:ascii="Times New Roman" w:hAnsi="Times New Roman"/>
                <w:szCs w:val="21"/>
              </w:rPr>
            </w:pPr>
            <w:r>
              <w:rPr>
                <w:rFonts w:hint="eastAsia" w:ascii="Times New Roman" w:hAnsi="Times New Roman"/>
                <w:szCs w:val="21"/>
              </w:rPr>
              <w:t>数量</w:t>
            </w:r>
          </w:p>
        </w:tc>
        <w:tc>
          <w:tcPr>
            <w:tcW w:w="989" w:type="dxa"/>
            <w:vAlign w:val="center"/>
          </w:tcPr>
          <w:p>
            <w:pPr>
              <w:rPr>
                <w:rFonts w:ascii="Times New Roman" w:hAnsi="Times New Roman"/>
                <w:szCs w:val="21"/>
              </w:rPr>
            </w:pPr>
            <w:r>
              <w:rPr>
                <w:rFonts w:hint="eastAsia" w:ascii="Times New Roman" w:hAnsi="Times New Roman"/>
                <w:szCs w:val="21"/>
              </w:rPr>
              <w:t>投标单价（元）</w:t>
            </w:r>
          </w:p>
        </w:tc>
        <w:tc>
          <w:tcPr>
            <w:tcW w:w="1080" w:type="dxa"/>
            <w:vAlign w:val="center"/>
          </w:tcPr>
          <w:p>
            <w:pPr>
              <w:rPr>
                <w:rFonts w:ascii="Times New Roman" w:hAnsi="Times New Roman"/>
                <w:szCs w:val="21"/>
              </w:rPr>
            </w:pPr>
            <w:r>
              <w:rPr>
                <w:rFonts w:hint="eastAsia" w:ascii="Times New Roman" w:hAnsi="Times New Roman"/>
                <w:szCs w:val="21"/>
              </w:rPr>
              <w:t>投标合计报价（元）</w:t>
            </w:r>
          </w:p>
        </w:tc>
        <w:tc>
          <w:tcPr>
            <w:tcW w:w="1464" w:type="dxa"/>
            <w:vAlign w:val="center"/>
          </w:tcPr>
          <w:p>
            <w:pPr>
              <w:rPr>
                <w:rFonts w:ascii="Times New Roman" w:hAnsi="Times New Roman"/>
                <w:szCs w:val="21"/>
              </w:rPr>
            </w:pPr>
            <w:r>
              <w:rPr>
                <w:rFonts w:hint="eastAsia" w:ascii="Times New Roman" w:hAnsi="Times New Roman"/>
                <w:szCs w:val="21"/>
              </w:rPr>
              <w:t>占投标总价的比例（%）</w:t>
            </w:r>
          </w:p>
        </w:tc>
        <w:tc>
          <w:tcPr>
            <w:tcW w:w="1503" w:type="dxa"/>
            <w:vMerge w:val="continue"/>
            <w:vAlign w:val="center"/>
          </w:tcPr>
          <w:p>
            <w:pPr>
              <w:rPr>
                <w:rFonts w:ascii="Times New Roman" w:hAnsi="Times New Roman"/>
                <w:szCs w:val="21"/>
              </w:rPr>
            </w:pPr>
          </w:p>
        </w:tc>
        <w:tc>
          <w:tcPr>
            <w:tcW w:w="720" w:type="dxa"/>
            <w:vMerge w:val="continue"/>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rFonts w:ascii="Times New Roman" w:hAnsi="Times New Roman"/>
                <w:szCs w:val="21"/>
              </w:rPr>
            </w:pPr>
          </w:p>
        </w:tc>
        <w:tc>
          <w:tcPr>
            <w:tcW w:w="1840" w:type="dxa"/>
          </w:tcPr>
          <w:p>
            <w:pPr>
              <w:rPr>
                <w:rFonts w:ascii="Times New Roman" w:hAnsi="Times New Roman"/>
                <w:szCs w:val="21"/>
              </w:rPr>
            </w:pPr>
          </w:p>
        </w:tc>
        <w:tc>
          <w:tcPr>
            <w:tcW w:w="818" w:type="dxa"/>
          </w:tcPr>
          <w:p>
            <w:pPr>
              <w:rPr>
                <w:rFonts w:ascii="Times New Roman" w:hAnsi="Times New Roman"/>
                <w:szCs w:val="21"/>
              </w:rPr>
            </w:pPr>
          </w:p>
        </w:tc>
        <w:tc>
          <w:tcPr>
            <w:tcW w:w="989" w:type="dxa"/>
          </w:tcPr>
          <w:p>
            <w:pPr>
              <w:rPr>
                <w:rFonts w:ascii="Times New Roman" w:hAnsi="Times New Roman"/>
                <w:szCs w:val="21"/>
              </w:rPr>
            </w:pPr>
          </w:p>
        </w:tc>
        <w:tc>
          <w:tcPr>
            <w:tcW w:w="1080" w:type="dxa"/>
          </w:tcPr>
          <w:p>
            <w:pPr>
              <w:rPr>
                <w:rFonts w:ascii="Times New Roman" w:hAnsi="Times New Roman"/>
                <w:szCs w:val="21"/>
              </w:rPr>
            </w:pPr>
          </w:p>
        </w:tc>
        <w:tc>
          <w:tcPr>
            <w:tcW w:w="1464" w:type="dxa"/>
          </w:tcPr>
          <w:p>
            <w:pPr>
              <w:rPr>
                <w:rFonts w:ascii="Times New Roman" w:hAnsi="Times New Roman"/>
                <w:szCs w:val="21"/>
              </w:rPr>
            </w:pPr>
          </w:p>
        </w:tc>
        <w:tc>
          <w:tcPr>
            <w:tcW w:w="1503" w:type="dxa"/>
          </w:tcPr>
          <w:p>
            <w:pPr>
              <w:rPr>
                <w:rFonts w:ascii="Times New Roman" w:hAnsi="Times New Roman"/>
                <w:szCs w:val="21"/>
              </w:rPr>
            </w:pPr>
          </w:p>
        </w:tc>
        <w:tc>
          <w:tcPr>
            <w:tcW w:w="720" w:type="dxa"/>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rFonts w:ascii="Times New Roman" w:hAnsi="Times New Roman"/>
                <w:szCs w:val="21"/>
              </w:rPr>
            </w:pPr>
          </w:p>
        </w:tc>
        <w:tc>
          <w:tcPr>
            <w:tcW w:w="1840" w:type="dxa"/>
          </w:tcPr>
          <w:p>
            <w:pPr>
              <w:rPr>
                <w:rFonts w:ascii="Times New Roman" w:hAnsi="Times New Roman"/>
                <w:szCs w:val="21"/>
              </w:rPr>
            </w:pPr>
          </w:p>
        </w:tc>
        <w:tc>
          <w:tcPr>
            <w:tcW w:w="818" w:type="dxa"/>
          </w:tcPr>
          <w:p>
            <w:pPr>
              <w:rPr>
                <w:rFonts w:ascii="Times New Roman" w:hAnsi="Times New Roman"/>
                <w:szCs w:val="21"/>
              </w:rPr>
            </w:pPr>
          </w:p>
        </w:tc>
        <w:tc>
          <w:tcPr>
            <w:tcW w:w="989" w:type="dxa"/>
          </w:tcPr>
          <w:p>
            <w:pPr>
              <w:rPr>
                <w:rFonts w:ascii="Times New Roman" w:hAnsi="Times New Roman"/>
                <w:szCs w:val="21"/>
              </w:rPr>
            </w:pPr>
          </w:p>
        </w:tc>
        <w:tc>
          <w:tcPr>
            <w:tcW w:w="1080" w:type="dxa"/>
          </w:tcPr>
          <w:p>
            <w:pPr>
              <w:rPr>
                <w:rFonts w:ascii="Times New Roman" w:hAnsi="Times New Roman"/>
                <w:szCs w:val="21"/>
              </w:rPr>
            </w:pPr>
          </w:p>
        </w:tc>
        <w:tc>
          <w:tcPr>
            <w:tcW w:w="1464" w:type="dxa"/>
          </w:tcPr>
          <w:p>
            <w:pPr>
              <w:rPr>
                <w:rFonts w:ascii="Times New Roman" w:hAnsi="Times New Roman"/>
                <w:szCs w:val="21"/>
              </w:rPr>
            </w:pPr>
          </w:p>
        </w:tc>
        <w:tc>
          <w:tcPr>
            <w:tcW w:w="1503" w:type="dxa"/>
          </w:tcPr>
          <w:p>
            <w:pPr>
              <w:rPr>
                <w:rFonts w:ascii="Times New Roman" w:hAnsi="Times New Roman"/>
                <w:szCs w:val="21"/>
              </w:rPr>
            </w:pPr>
          </w:p>
        </w:tc>
        <w:tc>
          <w:tcPr>
            <w:tcW w:w="720" w:type="dxa"/>
          </w:tcPr>
          <w:p>
            <w:pPr>
              <w:rPr>
                <w:rFonts w:ascii="Times New Roman" w:hAnsi="Times New Roman"/>
                <w:szCs w:val="21"/>
              </w:rPr>
            </w:pPr>
          </w:p>
        </w:tc>
      </w:tr>
    </w:tbl>
    <w:p>
      <w:pPr>
        <w:spacing w:line="360" w:lineRule="auto"/>
        <w:rPr>
          <w:rFonts w:ascii="Times New Roman" w:hAnsi="Times New Roman"/>
          <w:szCs w:val="21"/>
        </w:rPr>
      </w:pPr>
      <w:r>
        <w:rPr>
          <w:rFonts w:hint="eastAsia" w:ascii="Times New Roman" w:hAnsi="Times New Roman"/>
          <w:szCs w:val="21"/>
        </w:rPr>
        <w:t>注</w:t>
      </w:r>
      <w:r>
        <w:rPr>
          <w:rFonts w:hint="eastAsia" w:ascii="宋体" w:hAnsi="宋体"/>
          <w:szCs w:val="21"/>
        </w:rPr>
        <w:t xml:space="preserve">：1. </w:t>
      </w:r>
      <w:r>
        <w:rPr>
          <w:rFonts w:hint="eastAsia" w:ascii="Times New Roman" w:hAnsi="Times New Roman"/>
          <w:szCs w:val="21"/>
        </w:rPr>
        <w:t>投标人的投标产品若不属于招标文件第四章“政府采购扶持政策”中所述清单或目录范围内，则无需填写该表。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ascii="Times New Roman" w:hAnsi="Times New Roman"/>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“属于优先采购清单的类别”栏中填写“《节能产品政府采购品目清单》”、“《环境标志产品政府采购品目清单》”（以中国政府采购网（http://www.ccgp.gov.cn/）最新一期查询结果为准）。</w:t>
      </w:r>
    </w:p>
    <w:p>
      <w:pPr>
        <w:widowControl/>
        <w:spacing w:line="360" w:lineRule="auto"/>
        <w:jc w:val="left"/>
        <w:rPr>
          <w:rFonts w:cs="仿宋" w:asciiTheme="minorEastAsia" w:hAnsiTheme="minorEastAsia" w:eastAsiaTheme="minorEastAsia"/>
          <w:snapToGrid w:val="0"/>
          <w:szCs w:val="18"/>
        </w:rPr>
      </w:pPr>
      <w:r>
        <w:rPr>
          <w:rFonts w:hint="eastAsia" w:ascii="宋体" w:hAnsi="宋体"/>
          <w:szCs w:val="21"/>
        </w:rPr>
        <w:t>4. 对上表所列</w:t>
      </w:r>
      <w:r>
        <w:rPr>
          <w:rFonts w:ascii="宋体" w:hAnsi="宋体"/>
          <w:szCs w:val="21"/>
        </w:rPr>
        <w:t>属于</w:t>
      </w:r>
      <w:r>
        <w:rPr>
          <w:rFonts w:hint="eastAsia" w:ascii="宋体" w:hAnsi="宋体"/>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szCs w:val="21"/>
        </w:rPr>
        <w:t>品目清单范围</w:t>
      </w:r>
      <w:r>
        <w:rPr>
          <w:rFonts w:hint="eastAsia" w:ascii="宋体" w:hAnsi="宋体"/>
          <w:szCs w:val="21"/>
        </w:rPr>
        <w:t>内</w:t>
      </w:r>
      <w:r>
        <w:rPr>
          <w:rFonts w:ascii="宋体" w:hAnsi="宋体"/>
          <w:szCs w:val="21"/>
        </w:rPr>
        <w:t>的</w:t>
      </w:r>
      <w:r>
        <w:rPr>
          <w:rFonts w:hint="eastAsia" w:ascii="宋体" w:hAnsi="宋体"/>
          <w:szCs w:val="21"/>
        </w:rPr>
        <w:t>产品，投标人须提供</w:t>
      </w:r>
      <w:r>
        <w:rPr>
          <w:rFonts w:ascii="宋体" w:hAnsi="宋体"/>
          <w:szCs w:val="21"/>
        </w:rPr>
        <w:t>国家确定的认证机构出具的、处于有效期之内的节能产品、环境标志产品认证证书，</w:t>
      </w:r>
      <w:r>
        <w:rPr>
          <w:rFonts w:hint="eastAsia" w:ascii="宋体" w:hAnsi="宋体"/>
          <w:szCs w:val="21"/>
        </w:rPr>
        <w:t>以及相应的品目清单，并显著标识投标产品所处位置。提供以上证明材料的扫描件或复印件加盖投标人公章，提供的证书若存在不齐全、已过有效期或其他未被评标委员会接受的瑕疵将不予认可。</w:t>
      </w:r>
    </w:p>
    <w:p>
      <w:pPr>
        <w:jc w:val="center"/>
        <w:rPr>
          <w:rFonts w:cs="仿宋" w:asciiTheme="minorEastAsia" w:hAnsiTheme="minorEastAsia" w:eastAsiaTheme="minorEastAsia"/>
          <w:snapToGrid w:val="0"/>
          <w:szCs w:val="18"/>
        </w:rPr>
      </w:pPr>
    </w:p>
    <w:p>
      <w:pPr>
        <w:jc w:val="center"/>
        <w:rPr>
          <w:rFonts w:cs="仿宋" w:asciiTheme="minorEastAsia" w:hAnsiTheme="minorEastAsia" w:eastAsiaTheme="minorEastAsia"/>
          <w:snapToGrid w:val="0"/>
          <w:szCs w:val="18"/>
        </w:rPr>
      </w:pP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格式4  开标一览表</w:t>
      </w:r>
    </w:p>
    <w:p>
      <w:pPr>
        <w:rPr>
          <w:rFonts w:cs="仿宋" w:asciiTheme="minorEastAsia" w:hAnsiTheme="minorEastAsia" w:eastAsiaTheme="minorEastAsia"/>
        </w:rPr>
      </w:pP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项目名称：</w:t>
      </w:r>
      <w:r>
        <w:rPr>
          <w:rFonts w:hint="eastAsia" w:cs="仿宋" w:asciiTheme="minorEastAsia" w:hAnsiTheme="minorEastAsia" w:eastAsiaTheme="minorEastAsia"/>
          <w:u w:val="single"/>
        </w:rPr>
        <w:t xml:space="preserve">                </w:t>
      </w:r>
    </w:p>
    <w:p>
      <w:pPr>
        <w:spacing w:line="360" w:lineRule="auto"/>
        <w:jc w:val="left"/>
        <w:rPr>
          <w:rFonts w:cs="仿宋" w:asciiTheme="minorEastAsia" w:hAnsiTheme="minorEastAsia" w:eastAsiaTheme="minorEastAsia"/>
        </w:rPr>
      </w:pPr>
      <w:r>
        <w:rPr>
          <w:rFonts w:hint="eastAsia" w:cs="仿宋" w:asciiTheme="minorEastAsia" w:hAnsiTheme="minorEastAsia" w:eastAsiaTheme="minorEastAsia"/>
        </w:rPr>
        <w:t>项目编号：</w:t>
      </w:r>
      <w:r>
        <w:rPr>
          <w:rFonts w:hint="eastAsia" w:cs="仿宋" w:asciiTheme="minorEastAsia" w:hAnsiTheme="minorEastAsia" w:eastAsiaTheme="minorEastAsia"/>
          <w:u w:val="single"/>
        </w:rPr>
        <w:t xml:space="preserve">                </w:t>
      </w:r>
    </w:p>
    <w:tbl>
      <w:tblPr>
        <w:tblStyle w:val="20"/>
        <w:tblW w:w="8520" w:type="dxa"/>
        <w:jc w:val="center"/>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074"/>
        <w:gridCol w:w="3914"/>
        <w:gridCol w:w="1532"/>
      </w:tblGrid>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3074" w:type="dxa"/>
            <w:shd w:val="clear" w:color="auto" w:fill="C6D9F0" w:themeFill="text2" w:themeFillTint="33"/>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项目名称</w:t>
            </w:r>
          </w:p>
        </w:tc>
        <w:tc>
          <w:tcPr>
            <w:tcW w:w="3914" w:type="dxa"/>
            <w:shd w:val="clear" w:color="auto" w:fill="C6D9F0" w:themeFill="text2" w:themeFillTint="33"/>
            <w:vAlign w:val="center"/>
          </w:tcPr>
          <w:p>
            <w:pPr>
              <w:jc w:val="center"/>
            </w:pPr>
            <w:r>
              <w:rPr>
                <w:rFonts w:hint="eastAsia"/>
              </w:rPr>
              <w:t>投标报价</w:t>
            </w:r>
          </w:p>
          <w:p>
            <w:pPr>
              <w:pStyle w:val="2"/>
              <w:ind w:firstLine="840" w:firstLineChars="400"/>
              <w:rPr>
                <w:rFonts w:eastAsiaTheme="minorEastAsia"/>
              </w:rPr>
            </w:pPr>
            <w:r>
              <w:rPr>
                <w:rFonts w:hint="eastAsia" w:eastAsiaTheme="minorEastAsia"/>
              </w:rPr>
              <w:t>（人民币元）</w:t>
            </w:r>
          </w:p>
        </w:tc>
        <w:tc>
          <w:tcPr>
            <w:tcW w:w="1532" w:type="dxa"/>
            <w:shd w:val="clear" w:color="auto" w:fill="C6D9F0" w:themeFill="text2" w:themeFillTint="33"/>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备注</w:t>
            </w:r>
          </w:p>
        </w:tc>
      </w:tr>
      <w:tr>
        <w:tblPrEx>
          <w:tblBorders>
            <w:top w:val="double" w:color="auto" w:sz="4" w:space="0"/>
            <w:left w:val="double" w:color="auto" w:sz="4" w:space="0"/>
            <w:bottom w:val="double" w:color="auto" w:sz="4" w:space="0"/>
            <w:right w:val="double" w:color="auto"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09" w:hRule="atLeast"/>
          <w:jc w:val="center"/>
        </w:trPr>
        <w:tc>
          <w:tcPr>
            <w:tcW w:w="3074" w:type="dxa"/>
            <w:vAlign w:val="center"/>
          </w:tcPr>
          <w:p>
            <w:pPr>
              <w:spacing w:line="360" w:lineRule="auto"/>
              <w:jc w:val="center"/>
              <w:rPr>
                <w:rFonts w:cs="仿宋" w:asciiTheme="minorEastAsia" w:hAnsiTheme="minorEastAsia" w:eastAsiaTheme="minorEastAsia"/>
              </w:rPr>
            </w:pPr>
            <w:r>
              <w:rPr>
                <w:rFonts w:hint="eastAsia" w:cs="仿宋" w:asciiTheme="minorEastAsia" w:hAnsiTheme="minorEastAsia" w:eastAsiaTheme="minorEastAsia"/>
              </w:rPr>
              <w:t>深圳市公安局交警支队新能源汽车号牌试点工作配套改革创新项目第三方评测服务项目</w:t>
            </w:r>
          </w:p>
        </w:tc>
        <w:tc>
          <w:tcPr>
            <w:tcW w:w="3914" w:type="dxa"/>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spacing w:line="360" w:lineRule="auto"/>
              <w:rPr>
                <w:rFonts w:cs="仿宋" w:asciiTheme="minorEastAsia" w:hAnsiTheme="minorEastAsia" w:eastAsiaTheme="minorEastAsia"/>
                <w:u w:val="single"/>
              </w:rPr>
            </w:pPr>
            <w:r>
              <w:rPr>
                <w:snapToGrid w:val="0"/>
                <w:kern w:val="0"/>
              </w:rPr>
              <w:t>小写：</w:t>
            </w:r>
            <w:r>
              <w:rPr>
                <w:snapToGrid w:val="0"/>
                <w:kern w:val="0"/>
                <w:u w:val="single"/>
              </w:rPr>
              <w:t xml:space="preserve">                   </w:t>
            </w:r>
            <w:r>
              <w:rPr>
                <w:rFonts w:hint="eastAsia"/>
                <w:snapToGrid w:val="0"/>
                <w:kern w:val="0"/>
                <w:u w:val="single"/>
              </w:rPr>
              <w:t xml:space="preserve">             </w:t>
            </w:r>
            <w:r>
              <w:rPr>
                <w:rFonts w:hint="eastAsia" w:cs="仿宋" w:asciiTheme="minorEastAsia" w:hAnsiTheme="minorEastAsia" w:eastAsiaTheme="minorEastAsia"/>
              </w:rPr>
              <w:t xml:space="preserve">                          </w:t>
            </w:r>
          </w:p>
        </w:tc>
        <w:tc>
          <w:tcPr>
            <w:tcW w:w="1532" w:type="dxa"/>
            <w:vAlign w:val="center"/>
          </w:tcPr>
          <w:p>
            <w:pPr>
              <w:spacing w:line="360" w:lineRule="auto"/>
              <w:jc w:val="center"/>
              <w:rPr>
                <w:rFonts w:cs="仿宋" w:asciiTheme="minorEastAsia" w:hAnsiTheme="minorEastAsia" w:eastAsiaTheme="minorEastAsia"/>
              </w:rPr>
            </w:pPr>
          </w:p>
        </w:tc>
      </w:tr>
    </w:tbl>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投标人：（公章）</w:t>
      </w:r>
    </w:p>
    <w:p>
      <w:pPr>
        <w:spacing w:line="360" w:lineRule="auto"/>
        <w:rPr>
          <w:rFonts w:cs="仿宋" w:asciiTheme="minorEastAsia" w:hAnsiTheme="minorEastAsia" w:eastAsiaTheme="minorEastAsia"/>
        </w:rPr>
      </w:pP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法定代表人或授权代表：（签章）</w:t>
      </w:r>
    </w:p>
    <w:p>
      <w:pPr>
        <w:spacing w:line="360" w:lineRule="auto"/>
        <w:ind w:firstLine="630"/>
        <w:rPr>
          <w:rFonts w:cs="仿宋" w:asciiTheme="minorEastAsia" w:hAnsiTheme="minorEastAsia" w:eastAsiaTheme="minorEastAsia"/>
        </w:rPr>
      </w:pPr>
    </w:p>
    <w:p>
      <w:pPr>
        <w:jc w:val="right"/>
        <w:rPr>
          <w:rFonts w:cs="仿宋" w:asciiTheme="minorEastAsia" w:hAnsiTheme="minorEastAsia" w:eastAsiaTheme="minorEastAsia"/>
        </w:rPr>
      </w:pP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年</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 xml:space="preserve">月 </w:t>
      </w:r>
      <w:r>
        <w:rPr>
          <w:rFonts w:hint="eastAsia" w:cs="仿宋" w:asciiTheme="minorEastAsia" w:hAnsiTheme="minorEastAsia" w:eastAsiaTheme="minorEastAsia"/>
          <w:u w:val="single"/>
        </w:rPr>
        <w:t xml:space="preserve">      </w:t>
      </w:r>
      <w:r>
        <w:rPr>
          <w:rFonts w:hint="eastAsia" w:cs="仿宋" w:asciiTheme="minorEastAsia" w:hAnsiTheme="minorEastAsia" w:eastAsiaTheme="minorEastAsia"/>
        </w:rPr>
        <w:t>日</w:t>
      </w:r>
    </w:p>
    <w:p>
      <w:pPr>
        <w:jc w:val="left"/>
        <w:rPr>
          <w:rFonts w:cs="仿宋" w:asciiTheme="minorEastAsia" w:hAnsiTheme="minorEastAsia" w:eastAsiaTheme="minorEastAsia"/>
        </w:rPr>
      </w:pPr>
    </w:p>
    <w:p>
      <w:pPr>
        <w:spacing w:line="440" w:lineRule="exact"/>
        <w:jc w:val="left"/>
        <w:rPr>
          <w:rFonts w:cs="仿宋" w:asciiTheme="minorEastAsia" w:hAnsiTheme="minorEastAsia" w:eastAsiaTheme="minorEastAsia"/>
          <w:color w:val="FF0000"/>
        </w:rPr>
      </w:pPr>
      <w:r>
        <w:rPr>
          <w:rFonts w:hint="eastAsia" w:cs="仿宋" w:asciiTheme="minorEastAsia" w:hAnsiTheme="minorEastAsia" w:eastAsiaTheme="minorEastAsia"/>
          <w:color w:val="FF0000"/>
        </w:rPr>
        <w:t>注：</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1、价格应按“招标文件”中规定的货币单位填写。</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2、投标总价为综合报价，包含完成本项目所需的全部费用。</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3、根据《中华人民共和国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20" w:firstLineChars="200"/>
        <w:rPr>
          <w:rFonts w:cs="仿宋" w:asciiTheme="minorEastAsia" w:hAnsiTheme="minorEastAsia" w:eastAsiaTheme="minorEastAsia"/>
        </w:rPr>
      </w:pPr>
      <w:r>
        <w:rPr>
          <w:rFonts w:hint="eastAsia" w:cs="仿宋" w:asciiTheme="minorEastAsia" w:hAnsiTheme="minorEastAsia" w:eastAsiaTheme="minorEastAsia"/>
        </w:rPr>
        <w:t>4、此表应经法定代表人或其授权委托人签名，并加盖投标人公章。</w:t>
      </w:r>
    </w:p>
    <w:p>
      <w:pPr>
        <w:spacing w:line="440" w:lineRule="exact"/>
        <w:ind w:firstLine="482" w:firstLineChars="200"/>
        <w:rPr>
          <w:rFonts w:cs="仿宋" w:asciiTheme="minorEastAsia" w:hAnsiTheme="minorEastAsia" w:eastAsiaTheme="minorEastAsia"/>
          <w:b/>
          <w:bCs/>
          <w:sz w:val="24"/>
          <w:szCs w:val="24"/>
        </w:rPr>
      </w:pPr>
      <w:r>
        <w:rPr>
          <w:rFonts w:hint="eastAsia" w:cs="仿宋" w:asciiTheme="minorEastAsia" w:hAnsiTheme="minorEastAsia" w:eastAsiaTheme="minorEastAsia"/>
          <w:b/>
          <w:bCs/>
          <w:sz w:val="24"/>
          <w:szCs w:val="24"/>
        </w:rPr>
        <w:t>5、</w:t>
      </w:r>
      <w:r>
        <w:rPr>
          <w:rFonts w:cs="仿宋" w:asciiTheme="minorEastAsia" w:hAnsiTheme="minorEastAsia" w:eastAsiaTheme="minorEastAsia"/>
          <w:b/>
          <w:bCs/>
          <w:sz w:val="24"/>
          <w:szCs w:val="24"/>
        </w:rPr>
        <w:t>此表毋需装订于正副本内，应按“</w:t>
      </w:r>
      <w:r>
        <w:rPr>
          <w:rFonts w:hint="eastAsia" w:cs="仿宋" w:asciiTheme="minorEastAsia" w:hAnsiTheme="minorEastAsia" w:eastAsiaTheme="minorEastAsia"/>
          <w:b/>
          <w:bCs/>
          <w:sz w:val="24"/>
          <w:szCs w:val="24"/>
        </w:rPr>
        <w:t>投标须知”</w:t>
      </w:r>
      <w:r>
        <w:rPr>
          <w:rFonts w:cs="仿宋" w:asciiTheme="minorEastAsia" w:hAnsiTheme="minorEastAsia" w:eastAsiaTheme="minorEastAsia"/>
          <w:b/>
          <w:bCs/>
          <w:sz w:val="24"/>
          <w:szCs w:val="24"/>
        </w:rPr>
        <w:t>18.5项要求，与“法定代表人（负责人）证明书、法定代表人（负责人）授权委托书”一起单独密封提交</w:t>
      </w:r>
      <w:r>
        <w:rPr>
          <w:rFonts w:hint="eastAsia" w:cs="仿宋" w:asciiTheme="minorEastAsia" w:hAnsiTheme="minorEastAsia" w:eastAsiaTheme="minorEastAsia"/>
          <w:b/>
          <w:bCs/>
          <w:sz w:val="24"/>
          <w:szCs w:val="24"/>
        </w:rPr>
        <w:t>。</w:t>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格式5  报价表</w:t>
      </w:r>
    </w:p>
    <w:p>
      <w:pPr>
        <w:rPr>
          <w:rFonts w:cs="仿宋" w:asciiTheme="minorEastAsia" w:hAnsiTheme="minorEastAsia" w:eastAsiaTheme="minorEastAsia"/>
        </w:rPr>
      </w:pPr>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19"/>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pStyle w:val="2"/>
        <w:ind w:left="0" w:leftChars="0" w:firstLine="0" w:firstLineChars="0"/>
      </w:pPr>
    </w:p>
    <w:p>
      <w:pPr>
        <w:adjustRightInd w:val="0"/>
        <w:snapToGrid w:val="0"/>
        <w:spacing w:line="300" w:lineRule="auto"/>
        <w:rPr>
          <w:snapToGrid w:val="0"/>
          <w:kern w:val="0"/>
        </w:rPr>
      </w:pPr>
    </w:p>
    <w:p>
      <w:pPr>
        <w:spacing w:before="156" w:beforeLines="50" w:after="156"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156" w:beforeLines="50" w:after="156"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报</w:t>
      </w:r>
      <w:r>
        <w:rPr>
          <w:rFonts w:hint="eastAsia" w:asciiTheme="minorEastAsia" w:hAnsiTheme="minorEastAsia" w:eastAsiaTheme="minorEastAsia"/>
        </w:rPr>
        <w:t>价应与本表中的人员管理服务费报价金额一致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br w:type="page"/>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格式6   服务方案</w:t>
      </w:r>
    </w:p>
    <w:p>
      <w:pPr>
        <w:rPr>
          <w:rFonts w:cs="仿宋" w:asciiTheme="minorEastAsia" w:hAnsiTheme="minorEastAsia" w:eastAsiaTheme="minorEastAsia"/>
          <w:highlight w:val="yellow"/>
        </w:rPr>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实施方案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质量（完成时间、安全、环保）保障措施及方案</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6、投标人通过相关认证情况</w:t>
      </w:r>
    </w:p>
    <w:p>
      <w:pPr>
        <w:spacing w:line="360" w:lineRule="auto"/>
        <w:ind w:firstLine="420" w:firstLineChars="200"/>
        <w:rPr>
          <w:rFonts w:ascii="宋体" w:hAnsi="宋体"/>
          <w:szCs w:val="21"/>
        </w:rPr>
      </w:pPr>
      <w:r>
        <w:rPr>
          <w:rFonts w:hint="eastAsia" w:ascii="宋体" w:hAnsi="宋体"/>
          <w:szCs w:val="21"/>
        </w:rPr>
        <w:t>7、投标人同类项目业绩情况</w:t>
      </w:r>
    </w:p>
    <w:p>
      <w:pPr>
        <w:spacing w:line="360" w:lineRule="auto"/>
        <w:ind w:firstLine="420" w:firstLineChars="200"/>
        <w:rPr>
          <w:rFonts w:ascii="宋体" w:hAnsi="宋体"/>
          <w:szCs w:val="21"/>
        </w:rPr>
      </w:pPr>
      <w:r>
        <w:rPr>
          <w:rFonts w:hint="eastAsia" w:ascii="宋体" w:hAnsi="宋体"/>
          <w:szCs w:val="21"/>
        </w:rPr>
        <w:t>8、拟投入人员情况：包括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firstLine="420" w:firstLineChars="200"/>
        <w:rPr>
          <w:rFonts w:ascii="宋体" w:hAnsi="宋体"/>
          <w:szCs w:val="21"/>
        </w:rPr>
      </w:pPr>
      <w:r>
        <w:rPr>
          <w:rFonts w:hint="eastAsia" w:ascii="宋体" w:hAnsi="宋体"/>
          <w:szCs w:val="21"/>
        </w:rPr>
        <w:t>9、投标人自主知识产权产品（创新、设计）情况</w:t>
      </w:r>
    </w:p>
    <w:p>
      <w:pPr>
        <w:spacing w:line="360" w:lineRule="auto"/>
        <w:ind w:left="420"/>
        <w:rPr>
          <w:rFonts w:ascii="宋体" w:hAnsi="宋体"/>
          <w:szCs w:val="21"/>
        </w:rPr>
      </w:pPr>
      <w:r>
        <w:rPr>
          <w:rFonts w:hint="eastAsia" w:ascii="宋体" w:hAnsi="宋体"/>
          <w:bCs/>
        </w:rPr>
        <w:t>10、</w:t>
      </w:r>
      <w:r>
        <w:rPr>
          <w:rFonts w:hint="eastAsia" w:ascii="宋体" w:hAnsi="宋体"/>
          <w:szCs w:val="21"/>
        </w:rPr>
        <w:t>服务网点</w:t>
      </w:r>
    </w:p>
    <w:p>
      <w:pPr>
        <w:spacing w:line="360" w:lineRule="auto"/>
        <w:ind w:left="420"/>
        <w:rPr>
          <w:rFonts w:ascii="宋体" w:hAnsi="宋体"/>
          <w:bCs/>
        </w:rPr>
      </w:pPr>
      <w:r>
        <w:rPr>
          <w:rFonts w:hint="eastAsia" w:ascii="宋体" w:hAnsi="宋体"/>
          <w:bCs/>
        </w:rPr>
        <w:t>11、企业诚信</w:t>
      </w:r>
    </w:p>
    <w:p>
      <w:pPr>
        <w:spacing w:line="360" w:lineRule="auto"/>
        <w:ind w:left="420"/>
        <w:rPr>
          <w:rFonts w:ascii="宋体" w:hAnsi="宋体"/>
          <w:bCs/>
        </w:rPr>
      </w:pPr>
      <w:r>
        <w:rPr>
          <w:rFonts w:hint="eastAsia" w:ascii="宋体" w:hAnsi="宋体"/>
          <w:bCs/>
        </w:rPr>
        <w:t>12、投标人认为必要的其他方案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投标人：（盖章）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rPr>
          <w:rFonts w:cs="仿宋" w:asciiTheme="minorEastAsia" w:hAnsiTheme="minorEastAsia" w:eastAsiaTheme="minorEastAsia"/>
          <w:highlight w:val="yellow"/>
        </w:rPr>
      </w:pPr>
    </w:p>
    <w:p>
      <w:pPr>
        <w:widowControl/>
        <w:jc w:val="left"/>
        <w:rPr>
          <w:rFonts w:cs="仿宋" w:asciiTheme="minorEastAsia" w:hAnsiTheme="minorEastAsia" w:eastAsiaTheme="minorEastAsia"/>
        </w:rPr>
      </w:pPr>
      <w:r>
        <w:rPr>
          <w:rFonts w:cs="仿宋" w:asciiTheme="minorEastAsia" w:hAnsiTheme="minorEastAsia" w:eastAsiaTheme="minorEastAsia"/>
        </w:rPr>
        <w:br w:type="page"/>
      </w:r>
    </w:p>
    <w:p>
      <w:pPr>
        <w:widowControl/>
        <w:jc w:val="left"/>
        <w:rPr>
          <w:rFonts w:cs="仿宋" w:asciiTheme="minorEastAsia" w:hAnsiTheme="minorEastAsia" w:eastAsiaTheme="minorEastAsia"/>
        </w:rPr>
      </w:pPr>
    </w:p>
    <w:p>
      <w:pPr>
        <w:tabs>
          <w:tab w:val="left" w:pos="8248"/>
          <w:tab w:val="left" w:pos="9368"/>
        </w:tabs>
        <w:spacing w:line="360" w:lineRule="auto"/>
      </w:pPr>
      <w:r>
        <w:rPr>
          <w:rFonts w:hint="eastAsia"/>
        </w:rPr>
        <w:t>附表：</w:t>
      </w:r>
    </w:p>
    <w:p>
      <w:pPr>
        <w:pStyle w:val="50"/>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1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br w:type="page"/>
      </w:r>
    </w:p>
    <w:p>
      <w:pPr>
        <w:tabs>
          <w:tab w:val="left" w:pos="170"/>
        </w:tabs>
        <w:autoSpaceDE w:val="0"/>
        <w:autoSpaceDN w:val="0"/>
        <w:adjustRightInd w:val="0"/>
        <w:spacing w:line="360" w:lineRule="auto"/>
        <w:ind w:firstLine="320" w:firstLineChars="100"/>
        <w:jc w:val="center"/>
        <w:rPr>
          <w:rFonts w:cs="仿宋" w:asciiTheme="minorEastAsia" w:hAnsiTheme="minorEastAsia" w:eastAsiaTheme="minorEastAsia"/>
        </w:rPr>
      </w:pPr>
      <w:r>
        <w:rPr>
          <w:rFonts w:hint="eastAsia" w:cs="仿宋" w:asciiTheme="minorEastAsia" w:hAnsiTheme="minorEastAsia" w:eastAsiaTheme="minorEastAsia"/>
          <w:sz w:val="32"/>
          <w:szCs w:val="32"/>
        </w:rPr>
        <w:t>格式7  投标人情况介绍</w:t>
      </w:r>
    </w:p>
    <w:p>
      <w:pPr>
        <w:rPr>
          <w:rFonts w:cs="仿宋" w:asciiTheme="minorEastAsia" w:hAnsiTheme="minorEastAsia" w:eastAsiaTheme="minorEastAsia"/>
        </w:rPr>
      </w:pPr>
    </w:p>
    <w:p>
      <w:pPr>
        <w:adjustRightInd w:val="0"/>
        <w:snapToGrid w:val="0"/>
        <w:spacing w:line="360" w:lineRule="auto"/>
        <w:rPr>
          <w:rFonts w:ascii="宋体" w:hAnsi="宋体"/>
          <w:bCs/>
          <w:snapToGrid w:val="0"/>
          <w:kern w:val="0"/>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6"/>
        <w:spacing w:before="0"/>
        <w:rPr>
          <w:rFonts w:ascii="宋体" w:hAnsi="宋体"/>
          <w:sz w:val="28"/>
        </w:rPr>
      </w:pPr>
    </w:p>
    <w:p>
      <w:pPr>
        <w:pStyle w:val="6"/>
        <w:spacing w:before="0"/>
        <w:rPr>
          <w:rFonts w:ascii="宋体" w:hAnsi="宋体"/>
          <w:sz w:val="28"/>
        </w:rPr>
      </w:pPr>
    </w:p>
    <w:p>
      <w:pPr>
        <w:rPr>
          <w:rFonts w:cs="仿宋" w:asciiTheme="minorEastAsia" w:hAnsiTheme="minorEastAsia" w:eastAsiaTheme="minorEastAsia"/>
          <w:sz w:val="28"/>
          <w:szCs w:val="32"/>
        </w:rPr>
      </w:pPr>
      <w:r>
        <w:rPr>
          <w:rFonts w:hint="eastAsia" w:cs="仿宋" w:asciiTheme="minorEastAsia" w:hAnsiTheme="minorEastAsia" w:eastAsiaTheme="minorEastAsia"/>
          <w:sz w:val="28"/>
          <w:szCs w:val="32"/>
        </w:rPr>
        <w:br w:type="page"/>
      </w:r>
    </w:p>
    <w:p>
      <w:pPr>
        <w:tabs>
          <w:tab w:val="left" w:pos="170"/>
        </w:tabs>
        <w:autoSpaceDE w:val="0"/>
        <w:autoSpaceDN w:val="0"/>
        <w:adjustRightInd w:val="0"/>
        <w:spacing w:line="360" w:lineRule="auto"/>
        <w:ind w:firstLine="320" w:firstLineChars="100"/>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格式8  偏离表</w:t>
      </w:r>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4"/>
        <w:gridCol w:w="1680"/>
        <w:gridCol w:w="2963"/>
        <w:gridCol w:w="1658"/>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331" w:type="pct"/>
            <w:vAlign w:val="center"/>
          </w:tcPr>
          <w:p>
            <w:pPr>
              <w:rPr>
                <w:rFonts w:ascii="宋体" w:hAnsi="宋体"/>
                <w:szCs w:val="21"/>
              </w:rPr>
            </w:pPr>
            <w:r>
              <w:rPr>
                <w:rFonts w:hint="eastAsia" w:ascii="宋体" w:hAnsi="宋体"/>
                <w:szCs w:val="21"/>
              </w:rPr>
              <w:t>序号</w:t>
            </w:r>
          </w:p>
        </w:tc>
        <w:tc>
          <w:tcPr>
            <w:tcW w:w="986" w:type="pct"/>
            <w:vAlign w:val="center"/>
          </w:tcPr>
          <w:p>
            <w:pPr>
              <w:ind w:left="136" w:leftChars="65"/>
              <w:jc w:val="center"/>
              <w:rPr>
                <w:rFonts w:ascii="宋体" w:hAnsi="宋体"/>
                <w:szCs w:val="21"/>
              </w:rPr>
            </w:pPr>
            <w:r>
              <w:rPr>
                <w:rFonts w:hint="eastAsia" w:ascii="宋体" w:hAnsi="宋体"/>
                <w:szCs w:val="21"/>
              </w:rPr>
              <w:t>招标项目需求</w:t>
            </w:r>
          </w:p>
        </w:tc>
        <w:tc>
          <w:tcPr>
            <w:tcW w:w="1739" w:type="pct"/>
            <w:vAlign w:val="center"/>
          </w:tcPr>
          <w:p>
            <w:pPr>
              <w:ind w:left="136" w:leftChars="65"/>
              <w:jc w:val="center"/>
              <w:rPr>
                <w:rFonts w:ascii="宋体" w:hAnsi="宋体"/>
                <w:szCs w:val="21"/>
              </w:rPr>
            </w:pPr>
            <w:r>
              <w:rPr>
                <w:rFonts w:hint="eastAsia" w:ascii="宋体" w:hAnsi="宋体"/>
                <w:szCs w:val="21"/>
              </w:rPr>
              <w:t>投标文件响应</w:t>
            </w:r>
          </w:p>
        </w:tc>
        <w:tc>
          <w:tcPr>
            <w:tcW w:w="973" w:type="pct"/>
            <w:vAlign w:val="center"/>
          </w:tcPr>
          <w:p>
            <w:pPr>
              <w:ind w:left="136" w:leftChars="65"/>
              <w:jc w:val="center"/>
              <w:rPr>
                <w:rFonts w:ascii="宋体" w:hAnsi="宋体"/>
                <w:szCs w:val="21"/>
              </w:rPr>
            </w:pPr>
            <w:r>
              <w:rPr>
                <w:rFonts w:hint="eastAsia" w:ascii="宋体" w:hAnsi="宋体"/>
                <w:szCs w:val="21"/>
              </w:rPr>
              <w:t>偏离情况</w:t>
            </w:r>
          </w:p>
        </w:tc>
        <w:tc>
          <w:tcPr>
            <w:tcW w:w="969" w:type="pct"/>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5000" w:type="pct"/>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331" w:type="pct"/>
            <w:vAlign w:val="center"/>
          </w:tcPr>
          <w:p>
            <w:pPr>
              <w:ind w:left="136" w:leftChars="65"/>
              <w:jc w:val="center"/>
              <w:rPr>
                <w:rFonts w:ascii="宋体" w:hAnsi="宋体"/>
                <w:szCs w:val="21"/>
              </w:rPr>
            </w:pPr>
            <w:r>
              <w:rPr>
                <w:rFonts w:hint="eastAsia" w:ascii="宋体" w:hAnsi="宋体"/>
                <w:szCs w:val="21"/>
              </w:rPr>
              <w:t>1</w:t>
            </w:r>
          </w:p>
        </w:tc>
        <w:tc>
          <w:tcPr>
            <w:tcW w:w="986" w:type="pct"/>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1739" w:type="pct"/>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973" w:type="pct"/>
            <w:vAlign w:val="center"/>
          </w:tcPr>
          <w:p>
            <w:pPr>
              <w:ind w:left="136" w:leftChars="65"/>
              <w:jc w:val="center"/>
              <w:rPr>
                <w:rFonts w:ascii="宋体" w:hAnsi="宋体"/>
                <w:szCs w:val="21"/>
              </w:rPr>
            </w:pPr>
          </w:p>
        </w:tc>
        <w:tc>
          <w:tcPr>
            <w:tcW w:w="969" w:type="pct"/>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000" w:type="pct"/>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331" w:type="pct"/>
            <w:vAlign w:val="center"/>
          </w:tcPr>
          <w:p>
            <w:pPr>
              <w:jc w:val="center"/>
              <w:rPr>
                <w:rFonts w:ascii="宋体" w:hAnsi="宋体"/>
                <w:szCs w:val="21"/>
              </w:rPr>
            </w:pPr>
            <w:r>
              <w:rPr>
                <w:rFonts w:hint="eastAsia" w:ascii="宋体" w:hAnsi="宋体"/>
              </w:rPr>
              <w:t>1</w:t>
            </w:r>
          </w:p>
        </w:tc>
        <w:tc>
          <w:tcPr>
            <w:tcW w:w="986" w:type="pct"/>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1739" w:type="pct"/>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973" w:type="pct"/>
            <w:vAlign w:val="center"/>
          </w:tcPr>
          <w:p>
            <w:pPr>
              <w:ind w:left="136" w:leftChars="65"/>
              <w:jc w:val="center"/>
              <w:rPr>
                <w:rFonts w:ascii="宋体" w:hAnsi="宋体"/>
                <w:szCs w:val="21"/>
              </w:rPr>
            </w:pPr>
          </w:p>
        </w:tc>
        <w:tc>
          <w:tcPr>
            <w:tcW w:w="969" w:type="pct"/>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ind w:firstLine="3360" w:firstLineChars="1200"/>
        <w:rPr>
          <w:rFonts w:cs="仿宋" w:asciiTheme="minorEastAsia" w:hAnsiTheme="minorEastAsia" w:eastAsiaTheme="minorEastAsia"/>
          <w:sz w:val="28"/>
          <w:szCs w:val="32"/>
        </w:rPr>
      </w:pPr>
    </w:p>
    <w:p>
      <w:pPr>
        <w:rPr>
          <w:rFonts w:cs="仿宋" w:asciiTheme="minorEastAsia" w:hAnsiTheme="minorEastAsia" w:eastAsiaTheme="minorEastAsia"/>
          <w:sz w:val="28"/>
          <w:szCs w:val="32"/>
        </w:rPr>
      </w:pPr>
      <w:r>
        <w:rPr>
          <w:rFonts w:hint="eastAsia" w:cs="仿宋" w:asciiTheme="minorEastAsia" w:hAnsiTheme="minorEastAsia" w:eastAsiaTheme="minorEastAsia"/>
          <w:sz w:val="28"/>
          <w:szCs w:val="32"/>
        </w:rPr>
        <w:br w:type="page"/>
      </w:r>
    </w:p>
    <w:p>
      <w:pPr>
        <w:rPr>
          <w:rFonts w:cs="仿宋" w:asciiTheme="minorEastAsia" w:hAnsiTheme="minorEastAsia" w:eastAsiaTheme="minorEastAsia"/>
          <w:sz w:val="28"/>
          <w:szCs w:val="32"/>
        </w:rPr>
      </w:pPr>
      <w:r>
        <w:rPr>
          <w:rFonts w:hint="eastAsia" w:cs="仿宋" w:asciiTheme="minorEastAsia" w:hAnsiTheme="minorEastAsia" w:eastAsiaTheme="minorEastAsia"/>
          <w:sz w:val="28"/>
          <w:szCs w:val="32"/>
        </w:rPr>
        <w:t>格式9  其他招标文件要求的资料或投标人认为需要补充的资料</w:t>
      </w:r>
    </w:p>
    <w:p>
      <w:pPr>
        <w:rPr>
          <w:rFonts w:cs="仿宋" w:asciiTheme="minorEastAsia" w:hAnsiTheme="minorEastAsia" w:eastAsiaTheme="minorEastAsia"/>
        </w:rPr>
      </w:pPr>
    </w:p>
    <w:p>
      <w:pPr>
        <w:ind w:firstLine="420" w:firstLineChars="200"/>
        <w:rPr>
          <w:rFonts w:cs="仿宋" w:asciiTheme="minorEastAsia" w:hAnsiTheme="minorEastAsia" w:eastAsiaTheme="minorEastAsia"/>
        </w:rPr>
      </w:pPr>
      <w:r>
        <w:rPr>
          <w:rFonts w:hint="eastAsia" w:cs="仿宋" w:asciiTheme="minorEastAsia" w:hAnsiTheme="minorEastAsia" w:eastAsiaTheme="minorEastAsia"/>
        </w:rPr>
        <w:t>投标人须按要求编制投标文件，提供的内容要详细、真实、可靠。若提供的资料不齐，将导致扣分；若严重缺项、漏项，其投标将被拒绝。</w:t>
      </w:r>
    </w:p>
    <w:p>
      <w:pPr>
        <w:rPr>
          <w:rFonts w:cs="仿宋" w:asciiTheme="minorEastAsia" w:hAnsiTheme="minorEastAsia" w:eastAsiaTheme="minorEastAsia"/>
        </w:rPr>
      </w:pPr>
    </w:p>
    <w:p>
      <w:pPr>
        <w:rPr>
          <w:rFonts w:cs="仿宋" w:asciiTheme="minorEastAsia" w:hAnsiTheme="minorEastAsia" w:eastAsiaTheme="minorEastAsia"/>
        </w:rPr>
      </w:pPr>
      <w:r>
        <w:rPr>
          <w:rFonts w:hint="eastAsia" w:cs="仿宋" w:asciiTheme="minorEastAsia" w:hAnsiTheme="minorEastAsia" w:eastAsiaTheme="minorEastAsia"/>
          <w:color w:val="FF0000"/>
        </w:rPr>
        <w:t>注：</w:t>
      </w:r>
      <w:r>
        <w:rPr>
          <w:rFonts w:hint="eastAsia" w:cs="仿宋" w:asciiTheme="minorEastAsia" w:hAnsiTheme="minorEastAsia" w:eastAsiaTheme="minorEastAsia"/>
        </w:rPr>
        <w:t>如需提供补充资料，本部分资料格式不做统一规定，由投标人自行设计。</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widowControl/>
        <w:jc w:val="left"/>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第四部分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合同条款</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adjustRightInd w:val="0"/>
        <w:snapToGrid w:val="0"/>
        <w:spacing w:line="300" w:lineRule="auto"/>
        <w:ind w:left="2"/>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合同条款</w:t>
      </w:r>
    </w:p>
    <w:p>
      <w:pPr>
        <w:pStyle w:val="38"/>
        <w:widowControl w:val="0"/>
        <w:pBdr>
          <w:bottom w:val="none" w:color="auto" w:sz="0" w:space="0"/>
        </w:pBdr>
        <w:adjustRightInd w:val="0"/>
        <w:snapToGrid w:val="0"/>
        <w:spacing w:before="0" w:beforeAutospacing="0" w:after="0" w:afterAutospacing="0" w:line="360" w:lineRule="auto"/>
        <w:textAlignment w:val="auto"/>
        <w:rPr>
          <w:rFonts w:cs="仿宋" w:asciiTheme="minorEastAsia" w:hAnsiTheme="minorEastAsia" w:eastAsiaTheme="minorEastAsia"/>
          <w:snapToGrid w:val="0"/>
          <w:sz w:val="32"/>
          <w:szCs w:val="32"/>
        </w:rPr>
      </w:pPr>
      <w:r>
        <w:rPr>
          <w:rFonts w:hint="eastAsia" w:cs="仿宋" w:asciiTheme="minorEastAsia" w:hAnsiTheme="minorEastAsia" w:eastAsiaTheme="minorEastAsia"/>
          <w:snapToGrid w:val="0"/>
          <w:sz w:val="32"/>
          <w:szCs w:val="32"/>
        </w:rPr>
        <w:t>（仅供参考）</w:t>
      </w:r>
    </w:p>
    <w:p>
      <w:pPr>
        <w:jc w:val="center"/>
        <w:rPr>
          <w:szCs w:val="21"/>
        </w:rPr>
      </w:pPr>
    </w:p>
    <w:p>
      <w:pPr>
        <w:pStyle w:val="12"/>
        <w:spacing w:line="360" w:lineRule="auto"/>
        <w:ind w:firstLine="480" w:firstLineChars="200"/>
        <w:rPr>
          <w:rFonts w:ascii="Times New Roman" w:hAnsi="Times New Roman"/>
          <w:sz w:val="24"/>
        </w:rPr>
      </w:pPr>
      <w:r>
        <w:rPr>
          <w:rFonts w:hint="eastAsia" w:ascii="Times New Roman" w:hAnsi="Times New Roman"/>
          <w:sz w:val="24"/>
        </w:rPr>
        <w:t>重要说明：采购人在签订合同前有权依据招标文件要求和项目实际情况对以下合同内容进行删改或补充。</w:t>
      </w:r>
    </w:p>
    <w:p>
      <w:pPr>
        <w:adjustRightInd w:val="0"/>
        <w:snapToGrid w:val="0"/>
        <w:spacing w:line="360" w:lineRule="auto"/>
        <w:jc w:val="center"/>
        <w:rPr>
          <w:snapToGrid w:val="0"/>
          <w:kern w:val="0"/>
          <w:sz w:val="28"/>
        </w:rPr>
      </w:pPr>
    </w:p>
    <w:p>
      <w:pPr>
        <w:spacing w:line="360" w:lineRule="auto"/>
        <w:rPr>
          <w:rFonts w:asciiTheme="minorEastAsia" w:hAnsiTheme="minorEastAsia"/>
          <w:szCs w:val="21"/>
        </w:rPr>
      </w:pPr>
      <w:r>
        <w:rPr>
          <w:rFonts w:hint="eastAsia" w:asciiTheme="minorEastAsia" w:hAnsiTheme="minorEastAsia"/>
          <w:szCs w:val="21"/>
        </w:rPr>
        <w:t>甲方（采购人）：</w:t>
      </w:r>
    </w:p>
    <w:p>
      <w:pPr>
        <w:spacing w:line="360" w:lineRule="auto"/>
        <w:rPr>
          <w:rFonts w:asciiTheme="minorEastAsia" w:hAnsiTheme="minorEastAsia"/>
          <w:szCs w:val="21"/>
        </w:rPr>
      </w:pPr>
      <w:r>
        <w:rPr>
          <w:rFonts w:hint="eastAsia" w:asciiTheme="minorEastAsia" w:hAnsiTheme="minorEastAsia"/>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征集项目（项目编号__________________）的成交结果，由_______________________单位为中标人。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snapToGrid w:val="0"/>
          <w:kern w:val="0"/>
          <w:szCs w:val="21"/>
          <w:lang w:val="zh-CN"/>
        </w:rPr>
        <w:t>项目</w:t>
      </w:r>
      <w:r>
        <w:rPr>
          <w:rFonts w:hint="eastAsia" w:ascii="宋体" w:hAnsi="宋体"/>
          <w:szCs w:val="21"/>
        </w:rPr>
        <w:t>，达成以下合同条款：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第一条</w:t>
      </w:r>
      <w:r>
        <w:rPr>
          <w:rFonts w:asciiTheme="minorEastAsia" w:hAnsiTheme="minorEastAsia"/>
          <w:szCs w:val="21"/>
        </w:rPr>
        <w:t xml:space="preserve">  </w:t>
      </w:r>
      <w:r>
        <w:rPr>
          <w:rFonts w:hint="eastAsia" w:asciiTheme="minorEastAsia" w:hAnsiTheme="minorEastAsia"/>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szCs w:val="21"/>
          <w:u w:val="single"/>
        </w:rPr>
        <w:t xml:space="preserve">                  </w:t>
      </w:r>
      <w:r>
        <w:rPr>
          <w:rFonts w:hint="eastAsia" w:asciiTheme="minorEastAsia" w:hAnsiTheme="minorEastAsia"/>
          <w:szCs w:val="21"/>
        </w:rPr>
        <w:t>。</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第二条</w:t>
      </w:r>
      <w:r>
        <w:rPr>
          <w:rFonts w:asciiTheme="minorEastAsia" w:hAnsiTheme="minorEastAsia"/>
          <w:szCs w:val="21"/>
        </w:rPr>
        <w:t xml:space="preserve">  </w:t>
      </w:r>
      <w:r>
        <w:rPr>
          <w:rFonts w:hint="eastAsia" w:asciiTheme="minorEastAsia" w:hAnsiTheme="minorEastAsia"/>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第三条</w:t>
      </w:r>
      <w:r>
        <w:rPr>
          <w:rFonts w:asciiTheme="minorEastAsia" w:hAnsiTheme="minorEastAsia"/>
          <w:szCs w:val="21"/>
        </w:rPr>
        <w:t xml:space="preserve">  </w:t>
      </w:r>
      <w:r>
        <w:rPr>
          <w:rFonts w:hint="eastAsia" w:asciiTheme="minorEastAsia" w:hAnsiTheme="minorEastAsia"/>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第四条</w:t>
      </w:r>
      <w:r>
        <w:rPr>
          <w:rFonts w:asciiTheme="minorEastAsia" w:hAnsiTheme="minorEastAsia"/>
          <w:szCs w:val="21"/>
        </w:rPr>
        <w:t xml:space="preserve">  </w:t>
      </w:r>
      <w:r>
        <w:rPr>
          <w:rFonts w:hint="eastAsia" w:asciiTheme="minorEastAsia" w:hAnsiTheme="minorEastAsia"/>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第五条</w:t>
      </w:r>
      <w:r>
        <w:rPr>
          <w:rFonts w:asciiTheme="minorEastAsia" w:hAnsiTheme="minorEastAsia"/>
          <w:szCs w:val="21"/>
        </w:rPr>
        <w:t xml:space="preserve">  </w:t>
      </w:r>
      <w:r>
        <w:rPr>
          <w:rFonts w:hint="eastAsia" w:asciiTheme="minorEastAsia" w:hAnsiTheme="minorEastAsia"/>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第六条</w:t>
      </w:r>
      <w:r>
        <w:rPr>
          <w:rFonts w:asciiTheme="minorEastAsia" w:hAnsiTheme="minorEastAsia"/>
          <w:szCs w:val="21"/>
        </w:rPr>
        <w:t xml:space="preserve">  </w:t>
      </w:r>
      <w:r>
        <w:rPr>
          <w:rFonts w:hint="eastAsia" w:asciiTheme="minorEastAsia" w:hAnsiTheme="minorEastAsia"/>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第七条</w:t>
      </w:r>
      <w:r>
        <w:rPr>
          <w:rFonts w:asciiTheme="minorEastAsia" w:hAnsiTheme="minorEastAsia"/>
          <w:szCs w:val="21"/>
        </w:rPr>
        <w:t xml:space="preserve">  </w:t>
      </w:r>
      <w:r>
        <w:rPr>
          <w:rFonts w:hint="eastAsia" w:asciiTheme="minorEastAsia" w:hAnsiTheme="minorEastAsia"/>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第八条</w:t>
      </w:r>
      <w:r>
        <w:rPr>
          <w:rFonts w:asciiTheme="minorEastAsia" w:hAnsiTheme="minorEastAsia"/>
          <w:szCs w:val="21"/>
        </w:rPr>
        <w:t xml:space="preserve">  </w:t>
      </w:r>
      <w:r>
        <w:rPr>
          <w:rFonts w:hint="eastAsia" w:asciiTheme="minorEastAsia" w:hAnsiTheme="minorEastAsia"/>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第九条</w:t>
      </w:r>
      <w:r>
        <w:rPr>
          <w:rFonts w:asciiTheme="minorEastAsia" w:hAnsiTheme="minorEastAsia"/>
          <w:szCs w:val="21"/>
        </w:rPr>
        <w:t xml:space="preserve">  </w:t>
      </w:r>
      <w:r>
        <w:rPr>
          <w:rFonts w:hint="eastAsia" w:asciiTheme="minorEastAsia" w:hAnsiTheme="minorEastAsia"/>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第十条</w:t>
      </w:r>
      <w:r>
        <w:rPr>
          <w:rFonts w:asciiTheme="minorEastAsia" w:hAnsiTheme="minorEastAsia"/>
          <w:szCs w:val="21"/>
        </w:rPr>
        <w:t xml:space="preserve">  </w:t>
      </w:r>
      <w:r>
        <w:rPr>
          <w:rFonts w:hint="eastAsia" w:asciiTheme="minorEastAsia" w:hAnsiTheme="minorEastAsia"/>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第十一条</w:t>
      </w:r>
      <w:r>
        <w:rPr>
          <w:rFonts w:asciiTheme="minorEastAsia" w:hAnsiTheme="minorEastAsia"/>
          <w:szCs w:val="21"/>
        </w:rPr>
        <w:t xml:space="preserve">  </w:t>
      </w:r>
      <w:r>
        <w:rPr>
          <w:rFonts w:hint="eastAsia" w:asciiTheme="minorEastAsia" w:hAnsiTheme="minorEastAsia"/>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第十二条</w:t>
      </w:r>
      <w:r>
        <w:rPr>
          <w:rFonts w:asciiTheme="minorEastAsia" w:hAnsiTheme="minorEastAsia"/>
          <w:szCs w:val="21"/>
        </w:rPr>
        <w:t xml:space="preserve">  </w:t>
      </w:r>
      <w:r>
        <w:rPr>
          <w:rFonts w:hint="eastAsia" w:asciiTheme="minorEastAsia" w:hAnsiTheme="minorEastAsia"/>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第十三条</w:t>
      </w:r>
      <w:r>
        <w:rPr>
          <w:rFonts w:asciiTheme="minorEastAsia" w:hAnsiTheme="minorEastAsia"/>
          <w:szCs w:val="21"/>
        </w:rPr>
        <w:t xml:space="preserve">  </w:t>
      </w:r>
      <w:r>
        <w:rPr>
          <w:rFonts w:hint="eastAsia" w:asciiTheme="minorEastAsia" w:hAnsiTheme="minorEastAsia"/>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第十四条</w:t>
      </w:r>
      <w:r>
        <w:rPr>
          <w:rFonts w:asciiTheme="minorEastAsia" w:hAnsiTheme="minorEastAsia"/>
          <w:szCs w:val="21"/>
        </w:rPr>
        <w:t xml:space="preserve">  </w:t>
      </w:r>
      <w:r>
        <w:rPr>
          <w:rFonts w:hint="eastAsia" w:asciiTheme="minorEastAsia" w:hAnsiTheme="minorEastAsia"/>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12"/>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1、《成交结果通知书》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委托代理人：</w:t>
      </w:r>
    </w:p>
    <w:p>
      <w:pPr>
        <w:ind w:firstLine="424" w:firstLineChars="202"/>
        <w:rPr>
          <w:rFonts w:asciiTheme="minorEastAsia" w:hAnsiTheme="minorEastAsia"/>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日期：   年     月    日</w:t>
      </w:r>
    </w:p>
    <w:p>
      <w:pPr>
        <w:jc w:val="center"/>
        <w:rPr>
          <w:sz w:val="52"/>
          <w:szCs w:val="52"/>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第五部分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通用条款（投标须知）</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通用条款（投标须知）</w:t>
      </w:r>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Ａ  说  明</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适用范围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本招标文件仅适用于投标须知前附表（以下简称“前附表”）第1项所叙述项目的货物、工程及服务采购。</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上述采购按照采购单位内部管控制度，参考《中华人民共和国政府采购法》和《深圳经济特区政府采购条例》及有关招投标法规、规章、规定，择优选定投标人。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定义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“采购人”系指前附表第2项所述。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“采购代理机构”系前附表第3项所述。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“投标人”系指向采购代理机构提交投标文件的投标人。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“货物”系指投标人按招标文件规定，须向采购人提供的设备及材料。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“工程”系指投标人按招标文件规定，须向采购人提供的设备及材料的安装。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“服务”系指招标文件规定卖方须承担设计和其它类似的义务。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 资金来源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采购资金通过前附表第4 项的方式获得，并用于采购合同下的合格支付。</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 合格的投标人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4.1  具有独立承担民事责任的能力。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4.2  具有良好的商业信誉和健全的财务会计制度。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4.3  具有履行合同所必需的设备和专业技术能力。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4.4  有依法缴纳税收和社会保障资金的良好记录。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4.5  参加政府采购活动近三年内，在经营活动中没有重大违法记录。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4.6  法律、行政法规规定的其他条件。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4.7  符合前附表第5项规定的条件。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  联合体投标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4.8.1　以下有关联合体投标的条款仅适用于允许投标人组成联合体投标的项目。是否允许联合体投标以“前附表”中的规定或说明为准。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4.8.2  由两个或两个以上的自然人、法人或者其他组织可以组成一个联合体，以一个投标人的身份共同投标时，应符合以下原则：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（1）投标联合体各方参加政府采购活动应当具备下列条件：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1、具有独立承担民事责任的能力；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2、具有良好的商业信誉和健全的财务会计制度；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3、具有履行合同所必需的设备和专业技术能力；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4、有依法缴纳税收和社会保障资金的良好记录；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5、参加政府采购活动前三年内，在经营活动中没有重大违法记录； </w:t>
      </w:r>
    </w:p>
    <w:p>
      <w:pPr>
        <w:adjustRightInd w:val="0"/>
        <w:spacing w:line="360" w:lineRule="auto"/>
        <w:ind w:firstLine="567" w:firstLineChars="27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6、法律、行政法规规定的其他条件。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（2）投标联合体各方必须有一方先行注册成深圳公共资源交易中心投标人；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（3）联合体中有同类资质的投标人按照联合体分工承担相同工作的，应当按照资质等级较低的投标人确定资质等级。</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（4）是否允许联合体参加投标，应当由采购人和采购代理机构根据项目的实际情况和潜在投标人的数量自主决定，如果决定接受联合体投标则应当在采购公告中明示。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采购人根据采购项目的特殊要求规定投标人特定条件的，联合体各方中至少应当有一方符合采购人规定的特定条件。对于采购公告对投标人某一资格有要求的，按照联合体各方中最低资质等级确定联合体的资质等级；联合体各方的不同资质可优势互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（6）投标人的投标文件及中标后签署的合同协议对联合体各方均具法律约束力；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（7）联合体各方应当签订共同投标协议，明确约定各方拟承担的工作和责任，该共同投标协议应作为投标文件不可缺的组成部分；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（8）联合体中标后，联合体各方应当共同与采购人签订合同，就中标项目向采购人承担连带责任；</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以联合体形式参加政府采购活动的，联合体各方不得再单独参加或者与其他投标人另外组成联合体参加同一合同项下的政府采购活动，出现上述情况者，其投标和与此有关的联合体、总包单位的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（11）本次采购中“投标人”一词亦指联合体各方，“前附表”另有规定或说明的除外。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 采购活动费用的承担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5.1  无论采购过程中的做法和结果如何，投标人自行承担所有与参加采购活动有关的全部费用。</w:t>
      </w:r>
    </w:p>
    <w:p>
      <w:pPr>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  踏勘现场</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6.1  </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将按前附表第6项的规定，组织投标人对现场及周围环境进行踏勘，以便投标人获取须自己负责的有关编制投标文件和签署合同所需的所有资料。踏勘现场所发生的费用由投标人自己承担。</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6.2  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向投标人提供的有关现场的资料和数据，是采购人和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现有的能使投标人利用的资料。采购人和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对投标人由此而做出的推论、理解和结论概不负责。</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6.3  投标人及其人员经过采购人和</w:t>
      </w:r>
      <w:r>
        <w:rPr>
          <w:rFonts w:hint="eastAsia" w:cs="仿宋" w:asciiTheme="minorEastAsia" w:hAnsiTheme="minorEastAsia" w:eastAsiaTheme="minorEastAsia"/>
          <w:snapToGrid w:val="0"/>
          <w:kern w:val="0"/>
          <w:szCs w:val="21"/>
        </w:rPr>
        <w:t>采购代理机构</w:t>
      </w:r>
      <w:r>
        <w:rPr>
          <w:rFonts w:hint="eastAsia" w:cs="仿宋" w:asciiTheme="minorEastAsia" w:hAnsiTheme="minorEastAsia" w:eastAsiaTheme="minorEastAsia"/>
          <w:szCs w:val="21"/>
        </w:rPr>
        <w:t>的允许，可为踏勘目的进入</w:t>
      </w:r>
      <w:r>
        <w:rPr>
          <w:rFonts w:hint="eastAsia" w:cs="仿宋" w:asciiTheme="minorEastAsia" w:hAnsiTheme="minorEastAsia" w:eastAsiaTheme="minorEastAsia"/>
          <w:snapToGrid w:val="0"/>
          <w:kern w:val="0"/>
          <w:szCs w:val="21"/>
        </w:rPr>
        <w:t>采购人</w:t>
      </w:r>
      <w:r>
        <w:rPr>
          <w:rFonts w:hint="eastAsia" w:cs="仿宋" w:asciiTheme="minorEastAsia" w:hAnsiTheme="minorEastAsia" w:eastAsiaTheme="minorEastAsia"/>
          <w:szCs w:val="21"/>
        </w:rPr>
        <w:t>的现场，但投标人及其人员不得因此使采购人及其人员承担有关的责任和蒙受损失。投标人并应对由此次踏勘现场面造成的死亡、人身伤害、财产损失、损害以及任何其它损失、损害和引起的费用和开支承担责任。</w:t>
      </w:r>
    </w:p>
    <w:p>
      <w:pPr>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6.4   如果投标人认为需要再次进行现场踏勘，采购人将予以支持，费用自理。</w:t>
      </w:r>
    </w:p>
    <w:p>
      <w:pPr>
        <w:rPr>
          <w:rFonts w:cs="仿宋" w:asciiTheme="minorEastAsia" w:hAnsiTheme="minorEastAsia" w:eastAsiaTheme="minorEastAsia"/>
        </w:rPr>
      </w:pPr>
      <w:bookmarkStart w:id="6" w:name="q5"/>
      <w:bookmarkEnd w:id="6"/>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Ｂ　招标文件说明</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 招标文件的构成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7.1  招标文件是用以阐明所需设备及服务的情况，以及采购、投标程序和相应的合同条款。招标文件由下述部份组成：</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（1）采购公告</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（2）投标须知前附表及评审信息</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（3）采购项目需求</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（4）投标文件格式</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（5）合同条款</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（6）通用条款（投标须知）</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（7）附件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  招标文件的澄清及修改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8.1  投标人对招标文件如有疑点，可要求澄清，应在投标截止日5日前按采购公告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8.2  在投标截止日3日前，采购代理机构可依据投标人要求澄清的问题修改招标文件，并以书面形式通知所有购买招标文件的每一投标人，对方在收到该通知后应立即以书面的形式予以确认。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8.3  为了使投标人在准备投标文件时有合理的时间考虑招标文件的修改，采购代理机构可酌情推迟投标截止时间和开标时间，并以书面形式通知已购买招标文件的每一投标人。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8.4  招标文件的修改将构成招标文件的一部分，对投标人有约束力。</w:t>
      </w:r>
    </w:p>
    <w:p>
      <w:pPr>
        <w:adjustRightInd w:val="0"/>
        <w:spacing w:line="360" w:lineRule="auto"/>
        <w:rPr>
          <w:rFonts w:cs="仿宋" w:asciiTheme="minorEastAsia" w:hAnsiTheme="minorEastAsia" w:eastAsiaTheme="minorEastAsia"/>
          <w:snapToGrid w:val="0"/>
          <w:kern w:val="0"/>
          <w:szCs w:val="21"/>
        </w:rPr>
      </w:pPr>
    </w:p>
    <w:p>
      <w:pPr>
        <w:adjustRightInd w:val="0"/>
        <w:spacing w:line="360" w:lineRule="auto"/>
        <w:ind w:firstLine="600"/>
        <w:jc w:val="center"/>
        <w:rPr>
          <w:rFonts w:cs="仿宋" w:asciiTheme="minorEastAsia" w:hAnsiTheme="minorEastAsia" w:eastAsiaTheme="minorEastAsia"/>
          <w:snapToGrid w:val="0"/>
          <w:kern w:val="0"/>
          <w:sz w:val="32"/>
          <w:szCs w:val="32"/>
        </w:rPr>
      </w:pPr>
      <w:bookmarkStart w:id="7" w:name="q6"/>
      <w:bookmarkEnd w:id="7"/>
      <w:r>
        <w:rPr>
          <w:rFonts w:hint="eastAsia" w:cs="仿宋" w:asciiTheme="minorEastAsia" w:hAnsiTheme="minorEastAsia" w:eastAsiaTheme="minorEastAsia"/>
          <w:snapToGrid w:val="0"/>
          <w:kern w:val="0"/>
          <w:sz w:val="32"/>
          <w:szCs w:val="32"/>
        </w:rPr>
        <w:t>Ｃ  投标文件的编写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 投标语言及计量单位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9.1  投标文件及投标人和采购代理机构就投标交换的文件和往来的信件，应以中文书写。</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9.2  除在招标文件的设计思路和方案中另有规定外，计量单位应使用中华人民共和国法定计量单位（国际单位制和国家选定的其他计量单位）。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 投标文件的组成</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  投标文件应包括下列部份：</w:t>
      </w:r>
    </w:p>
    <w:p>
      <w:pPr>
        <w:adjustRightInd w:val="0"/>
        <w:spacing w:line="360" w:lineRule="auto"/>
        <w:ind w:left="945" w:leftChars="100" w:hanging="735" w:hangingChars="3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10.1.1 开标信封：装有“法定代表人（负责人）证明书、法定代表人（负责人）授权委托书”和“开标一览表”单独密封的信封。</w:t>
      </w:r>
    </w:p>
    <w:p>
      <w:pPr>
        <w:adjustRightInd w:val="0"/>
        <w:spacing w:line="360" w:lineRule="auto"/>
        <w:ind w:firstLine="210" w:firstLine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10.1.2 投标文件：</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（1）目录</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（2）政府采购违法行为风险知悉确认书</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（3）评审指引表</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（4）声明函（格式1）</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（5）投标人资格证明文件（格式2）</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（6）评分中涉及的承诺及声明函（格式3）</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（7）</w:t>
      </w:r>
      <w:r>
        <w:fldChar w:fldCharType="begin"/>
      </w:r>
      <w:r>
        <w:instrText xml:space="preserve"> HYPERLINK \l "q24" </w:instrText>
      </w:r>
      <w:r>
        <w:fldChar w:fldCharType="separate"/>
      </w:r>
      <w:r>
        <w:rPr>
          <w:rFonts w:hint="eastAsia" w:cs="仿宋" w:asciiTheme="minorEastAsia" w:hAnsiTheme="minorEastAsia" w:eastAsiaTheme="minorEastAsia"/>
          <w:szCs w:val="21"/>
        </w:rPr>
        <w:t>开标一览表</w:t>
      </w:r>
      <w:r>
        <w:rPr>
          <w:rFonts w:hint="eastAsia" w:cs="仿宋" w:asciiTheme="minorEastAsia" w:hAnsiTheme="minorEastAsia" w:eastAsiaTheme="minorEastAsia"/>
          <w:szCs w:val="21"/>
        </w:rPr>
        <w:fldChar w:fldCharType="end"/>
      </w:r>
      <w:r>
        <w:rPr>
          <w:rFonts w:hint="eastAsia" w:cs="仿宋" w:asciiTheme="minorEastAsia" w:hAnsiTheme="minorEastAsia" w:eastAsiaTheme="minorEastAsia"/>
          <w:snapToGrid w:val="0"/>
          <w:kern w:val="0"/>
          <w:szCs w:val="21"/>
        </w:rPr>
        <w:t>（格式4）</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（8）报价表（格式5）</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（9）技术规格（格式6）</w:t>
      </w:r>
    </w:p>
    <w:p>
      <w:pPr>
        <w:adjustRightInd w:val="0"/>
        <w:spacing w:line="360" w:lineRule="auto"/>
        <w:ind w:firstLine="315" w:firstLineChars="150"/>
      </w:pPr>
      <w:r>
        <w:rPr>
          <w:rFonts w:hint="eastAsia" w:cs="仿宋" w:asciiTheme="minorEastAsia" w:hAnsiTheme="minorEastAsia" w:eastAsiaTheme="minorEastAsia"/>
          <w:snapToGrid w:val="0"/>
          <w:kern w:val="0"/>
          <w:szCs w:val="21"/>
        </w:rPr>
        <w:t>（10）</w:t>
      </w:r>
      <w:r>
        <w:rPr>
          <w:rFonts w:hint="eastAsia"/>
        </w:rPr>
        <w:t>交付进度</w:t>
      </w:r>
      <w:r>
        <w:rPr>
          <w:rFonts w:hint="eastAsia" w:cs="仿宋" w:asciiTheme="minorEastAsia" w:hAnsiTheme="minorEastAsia" w:eastAsiaTheme="minorEastAsia"/>
          <w:snapToGrid w:val="0"/>
          <w:kern w:val="0"/>
          <w:szCs w:val="21"/>
        </w:rPr>
        <w:t>（格式7）</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w:t>
      </w:r>
      <w:r>
        <w:rPr>
          <w:rFonts w:hint="eastAsia"/>
        </w:rPr>
        <w:t>售后服务和质量承诺</w:t>
      </w:r>
      <w:r>
        <w:rPr>
          <w:rFonts w:hint="eastAsia" w:cs="仿宋" w:asciiTheme="minorEastAsia" w:hAnsiTheme="minorEastAsia" w:eastAsiaTheme="minorEastAsia"/>
          <w:snapToGrid w:val="0"/>
          <w:kern w:val="0"/>
          <w:szCs w:val="21"/>
        </w:rPr>
        <w:t>（格式8）</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（12）偏离表（格式9）</w:t>
      </w:r>
    </w:p>
    <w:p>
      <w:pPr>
        <w:adjustRightInd w:val="0"/>
        <w:spacing w:line="360" w:lineRule="auto"/>
        <w:ind w:firstLine="315" w:firstLineChars="1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（13）其他招标文件要求的资料或投标人认为需要补充的资料（格式10）</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 投标文件格式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11.1  投标文件必须毫无遗漏地包括本须知第10条规定的内容，投标人提交的投标文件必须毫无例外地使用招标文件所提供投标文件格式（表格可以按同样格式扩展）。</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color w:val="FF0000"/>
          <w:kern w:val="0"/>
          <w:szCs w:val="21"/>
          <w:highlight w:val="yellow"/>
        </w:rPr>
        <w:t>注：如招标文件第三部分投标格式与本须知第10条规定的内容不一致，以投标文件第三部分投标格式为准。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 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12.1  投标报价应为到指定地点价，以人民币为结算单位。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12.2  投标人应在招标文件所附的“开标一览表”（格式3）和“报价表”（格式4）上写明投标货物的单价和投标总价。投标人对每种项目只允许有一个报价，采购代理机构不接受有任何选择的报价。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12.3  此报价作为评审委员会评审标准，但不能限制采购人以其它方式签订合同的权力。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 投标人资格的证明文件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13.1  投标人必须提交证明其有资格进行投标，和中标后有能力履行合同的证明文件（格式1与格式2），作为投标文件的一部份。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 投标有效期</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14.1  投标文件的有效期按前附表第7项规定。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14.2  特殊情况下，采购代理机构可于投标有效期期满之前，要求投标人同意延长投标有效期。投标人可以拒绝或同意上述要求，但要求与答复均须是书面文件。对于同意该要求的投标人，采购代理机构既不要求也不允许其修改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 项目保证金</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15.1  以下有关项目保证金的条款仅适用于需要缴纳项目保证金的项目。是否需要缴纳项目保证金以《投标须知前附表》中的规定或说明为准。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15.2  投标人应向采购代理机构提交一笔不少于前附表第8项所规定的项目保证金，以到账为准。</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15.3  项目保证金用于保护本次采购免受投标人的行为而引起的风险。</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15.4  项目保证金应以支票、汇票、本票或采购机构能够接受的银行保函等其它非现金形式提交。（注：必须从投标人基本账户转出，否则其投标无效。）</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15.5  未按规定提交项目保证金的投标，将被视为无效投标。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15.6  未中标的投标人的项目保证金，采购代理机构将在中标通知书发出且收到投标人的《项目保证金退还申请表》后5个工作日内退还。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15.7  中标方的项目保证金，采购代理机构将在中标方签订合同并支付采购代理服务费后5个工作日内退还。</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15.8  发生以下情况项目保证金将被没收：</w:t>
      </w:r>
    </w:p>
    <w:p>
      <w:pPr>
        <w:adjustRightInd w:val="0"/>
        <w:spacing w:line="288" w:lineRule="auto"/>
        <w:ind w:left="630" w:hanging="630" w:hanging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（1）投标人在投标有效期内撤销投标文件；</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（3）投标人串通投标或者以其他弄虚作假方式投标；</w:t>
      </w:r>
    </w:p>
    <w:p>
      <w:pPr>
        <w:adjustRightInd w:val="0"/>
        <w:spacing w:line="288"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（4）如果中标方未能做到：</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按本须知第32条规定签订合同；或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按本须知第33条规定提供履约保证金；或</w:t>
      </w:r>
    </w:p>
    <w:p>
      <w:pPr>
        <w:adjustRightInd w:val="0"/>
        <w:spacing w:line="288" w:lineRule="auto"/>
        <w:ind w:firstLine="630" w:firstLineChars="30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按本须知第34条规定缴纳采购代理服务费。</w:t>
      </w:r>
    </w:p>
    <w:p>
      <w:pPr>
        <w:pStyle w:val="1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（5） 法律法规规定的其它情况。</w:t>
      </w:r>
    </w:p>
    <w:p>
      <w:pPr>
        <w:tabs>
          <w:tab w:val="left" w:pos="330"/>
        </w:tabs>
        <w:spacing w:line="360" w:lineRule="auto"/>
        <w:rPr>
          <w:rFonts w:cs="仿宋" w:asciiTheme="minorEastAsia" w:hAnsiTheme="minorEastAsia" w:eastAsiaTheme="minorEastAsia"/>
          <w:szCs w:val="21"/>
        </w:rPr>
      </w:pPr>
      <w:r>
        <w:rPr>
          <w:rFonts w:hint="eastAsia" w:cs="仿宋" w:asciiTheme="minorEastAsia" w:hAnsiTheme="minorEastAsia" w:eastAsiaTheme="minorEastAsia"/>
          <w:szCs w:val="21"/>
        </w:rPr>
        <w:t>16. 投标预备会（</w:t>
      </w:r>
      <w:r>
        <w:rPr>
          <w:rFonts w:hint="eastAsia" w:cs="仿宋" w:asciiTheme="minorEastAsia" w:hAnsiTheme="minorEastAsia" w:eastAsiaTheme="minorEastAsia"/>
          <w:snapToGrid w:val="0"/>
          <w:kern w:val="0"/>
          <w:szCs w:val="21"/>
        </w:rPr>
        <w:t>答疑会）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16.1  投标预备会（答疑会），如采购代理机构认为有必要召开投标预备会，投标人应按照前附表第9项规定的或采购代理机构另行书面通知的时间和地点，派出代表出席采购代理机构主持的投标预备会。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16.2  投标预备会的目的是澄清、解答投标人在查阅招标文件后和现场踏勘中可能提出的任何方面的问题。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16.3  投标人提出的与投标有关的任何采购问题须以书面形式给采购代理机构。在投标预备会上，采购代理机构将做出澄清和解答。</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16.4  采购代理机构在投标预备会上所做出的澄清和解答，以书面答复为准，投标人在收到投标答疑纪要时应以书面形式予以确认。答疑纪要的有效性规定按照本须知第8.2、8.4款规定执行。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16.5  未出席投标预备会不作为否定投标人资格的理由。</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 投标文件的份数和签署</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17.1  投标文件数量按前附表第10项所述，须在每一份投标文件上明确注明“正本”或“副本”字样。一旦正本和副本有差异，以正本为准。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17.2  为了便于投标文件保存，需提交一份投标文件正文盖章扫描件（.pdf）电子档一份。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17.3  投标文件正本及开标一览表须打印，并经法定代表人或其授权代表签字和盖章，投标文件的副本可采用正本复印件。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17.4  除投标人对错处做必要修改外，投标文件中不许有加行、涂抹或改写，如有修改遗漏处，必须由投标人法定代表人或其授权代表签字和盖章。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17.5  电报、电话、传真形式的投标概不接受。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17.6  投标文件不符合上述规定，为无效投标。</w:t>
      </w:r>
    </w:p>
    <w:p>
      <w:pPr>
        <w:pStyle w:val="2"/>
      </w:pPr>
    </w:p>
    <w:p>
      <w:pPr>
        <w:adjustRightInd w:val="0"/>
        <w:spacing w:line="360" w:lineRule="auto"/>
        <w:jc w:val="center"/>
        <w:rPr>
          <w:rFonts w:cs="仿宋" w:asciiTheme="minorEastAsia" w:hAnsiTheme="minorEastAsia" w:eastAsiaTheme="minorEastAsia"/>
          <w:snapToGrid w:val="0"/>
          <w:kern w:val="0"/>
          <w:sz w:val="32"/>
          <w:szCs w:val="32"/>
        </w:rPr>
      </w:pPr>
      <w:bookmarkStart w:id="8" w:name="q7"/>
      <w:bookmarkEnd w:id="8"/>
      <w:r>
        <w:rPr>
          <w:rFonts w:hint="eastAsia" w:cs="仿宋" w:asciiTheme="minorEastAsia" w:hAnsiTheme="minorEastAsia" w:eastAsiaTheme="minorEastAsia"/>
          <w:snapToGrid w:val="0"/>
          <w:kern w:val="0"/>
          <w:sz w:val="32"/>
          <w:szCs w:val="32"/>
        </w:rPr>
        <w:t>Ｄ   投标文件的递交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 投标文件的密封和标记</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18.1须在每一份投标文件封面上明确注明“正本”或“副本”字样。一旦正本和副本有差异，以正本为准。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18.2投标文件完整密封（包含两份正本和四份副本）。</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18.3投标人应将投标文件正文扫描件电子档单独密封于一信封，在信封上注明“备份电子档”。</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18.4 将按本须知第18.2、18.3款密封好的“投标文件”和“备份电子档”一起封装在一个外层包封中，同时还应：</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写明采购代理机构名称；</w:t>
      </w:r>
    </w:p>
    <w:p>
      <w:pPr>
        <w:adjustRightInd w:val="0"/>
        <w:spacing w:line="360" w:lineRule="auto"/>
        <w:ind w:firstLine="359" w:firstLineChars="171"/>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C、投标人名称；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18.5  投标人应将“法定代表人（负责人）证明书、法定代表人（负责人）授权委托书”和“开标一览表”密封于一信封，在递交投标文件时单独交与采购代理机构，在信封上应：</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  写明采购代理机构名称；</w:t>
      </w:r>
    </w:p>
    <w:p>
      <w:pPr>
        <w:tabs>
          <w:tab w:val="left" w:pos="1470"/>
        </w:tabs>
        <w:adjustRightInd w:val="0"/>
        <w:spacing w:line="360" w:lineRule="auto"/>
        <w:ind w:left="629" w:leftChars="172" w:hanging="268" w:hangingChars="128"/>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  注明下列识别标志：</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A、项目编号；</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B、项目名称；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C、投标人名称；</w:t>
      </w:r>
    </w:p>
    <w:p>
      <w:pPr>
        <w:adjustRightInd w:val="0"/>
        <w:spacing w:line="360" w:lineRule="auto"/>
        <w:ind w:firstLine="539" w:firstLineChars="257"/>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D、注明：“开标一览表”和“法定代表人（负责人）证明书、法定代表人（负责人）授权委托书”</w:t>
      </w:r>
    </w:p>
    <w:p>
      <w:pPr>
        <w:adjustRightInd w:val="0"/>
        <w:spacing w:line="360" w:lineRule="auto"/>
        <w:ind w:firstLine="525" w:firstLineChars="2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E、</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年</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月</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日</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时</w:t>
      </w:r>
      <w:r>
        <w:rPr>
          <w:rFonts w:hint="eastAsia" w:cs="仿宋" w:asciiTheme="minorEastAsia" w:hAnsiTheme="minorEastAsia" w:eastAsiaTheme="minorEastAsia"/>
          <w:snapToGrid w:val="0"/>
          <w:kern w:val="0"/>
          <w:szCs w:val="21"/>
          <w:u w:val="single"/>
        </w:rPr>
        <w:t xml:space="preserve">      </w:t>
      </w:r>
      <w:r>
        <w:rPr>
          <w:rFonts w:hint="eastAsia" w:cs="仿宋" w:asciiTheme="minorEastAsia" w:hAnsiTheme="minorEastAsia" w:eastAsiaTheme="minorEastAsia"/>
          <w:snapToGrid w:val="0"/>
          <w:kern w:val="0"/>
          <w:szCs w:val="21"/>
        </w:rPr>
        <w:t>分（开标时间）前不得开封。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18.7  如果投标文件没有按本投标须知第18.1至18.6款规定加写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18.8  所有投标文件的密封袋的封口处应加盖投标人印章。</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18.9  投标文件需由专人送交。投标人应按本投标须知第18.1至18.8款中的规定进行密封和标记后，将投标文件按照前附表第11项中注明的地址送至采购代理机构。</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18.10  投标人按招标文件要求如需提供实物，应随投标文件一起递交。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 递交投标文件的时间、地点以及截止时间</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19.1  递交投标文件的地点与开标仪式的地点相同。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19.2  所有投标文件都必须按采购代理机构在前附表第</w:t>
      </w:r>
      <w:bookmarkStart w:id="9" w:name="_Hlt35050056"/>
      <w:bookmarkEnd w:id="9"/>
      <w:r>
        <w:rPr>
          <w:rFonts w:hint="eastAsia" w:cs="仿宋" w:asciiTheme="minorEastAsia" w:hAnsiTheme="minorEastAsia" w:eastAsiaTheme="minorEastAsia"/>
          <w:snapToGrid w:val="0"/>
          <w:kern w:val="0"/>
          <w:szCs w:val="21"/>
        </w:rPr>
        <w:t>12项中规定的投标截止时间之前送至采购代理机构。</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19.3  出现第8.3款因招标文件修改或其他原因推迟投标截止时，则按采购代理机构修改通知规定的时间递交。</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19.4  采购代理机构</w:t>
      </w:r>
      <w:r>
        <w:rPr>
          <w:rFonts w:hint="eastAsia" w:cs="仿宋" w:asciiTheme="minorEastAsia" w:hAnsiTheme="minorEastAsia" w:eastAsiaTheme="minorEastAsia"/>
          <w:szCs w:val="21"/>
        </w:rPr>
        <w:t>在投标截止时间前30分钟开始接收投标文件。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 迟交的投标文件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20.1  采购代理机构将拒绝接收在投标截止时间后递交的投标文件。</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 投标文件的修改和撤回</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21.1  投标人在提交投标文件后可对其投标文件进行修改或撤回，但采购代理机构须在投标截止时间之前收到该修改或撤回的书面通知，该通知须有经正式授权的投标人代表签字。</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21.2  投标人对投标文件修改的书面材料或撤回的通知应按本须知第17条和第18条规定进行编写、密封、标注和递交，并注明“修改投标文件”或“撤回投标”字样。</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21.3  投标截止时间以后不得修改投标文件。</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21.4  投标人不得在开标时间起到投标文件有效期满前撤销投标文件。</w:t>
      </w:r>
    </w:p>
    <w:p>
      <w:pPr>
        <w:rPr>
          <w:rFonts w:cs="仿宋" w:asciiTheme="minorEastAsia" w:hAnsiTheme="minorEastAsia" w:eastAsiaTheme="minorEastAsia"/>
        </w:rPr>
      </w:pPr>
      <w:bookmarkStart w:id="10" w:name="q8"/>
      <w:bookmarkEnd w:id="10"/>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Ｅ   开标和评审</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 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22.1  采购代理机构在前附表第11项规定的时间和地点公开开标。</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22.2  所有投标人法定代表人（负责人）或授权代表都须按时参加开标会，否则不接受其投标。【</w:t>
      </w:r>
      <w:r>
        <w:rPr>
          <w:rFonts w:hint="eastAsia" w:cs="仿宋" w:asciiTheme="minorEastAsia" w:hAnsiTheme="minorEastAsia" w:eastAsiaTheme="minorEastAsia"/>
          <w:snapToGrid w:val="0"/>
          <w:color w:val="FF0000"/>
          <w:kern w:val="0"/>
          <w:szCs w:val="21"/>
          <w:highlight w:val="yellow"/>
        </w:rPr>
        <w:t>如是邮寄标书，可以不用到现场参与</w:t>
      </w:r>
      <w:r>
        <w:rPr>
          <w:rFonts w:hint="eastAsia" w:cs="仿宋" w:asciiTheme="minorEastAsia" w:hAnsiTheme="minorEastAsia" w:eastAsiaTheme="minorEastAsia"/>
          <w:snapToGrid w:val="0"/>
          <w:kern w:val="0"/>
          <w:szCs w:val="21"/>
        </w:rPr>
        <w:t>】</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  开标时，采购代理机构将检查投标文件的密封情况，在确认无误后拆封唱标。唱标主要内容为下面几点并做好唱标记录。</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22.3.1  核对法定代表人（负责人）或其授权代表身份证明，若不能提供相应的身份证明或不相符，则视为无效投标。 </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22.3.2  投标文件中“开标一览表”的内容。</w:t>
      </w:r>
    </w:p>
    <w:p>
      <w:pPr>
        <w:tabs>
          <w:tab w:val="left" w:pos="0"/>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22.3.3  采购代理机构认为合适的其他内容。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 评审委员会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23.1采购代理机构将根据采购货物的特点组建评审委员会，其成员由采购人代表和有关技术、经济等方面的专家组成。评审委员会对投标文件进行审查、质疑、评估和比较。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23.2 评审期间，投标人应由法定代表人或其授权代表参加询标。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23.3评审委员会成员对需要共同认定的事项存在争议的，应当按照少数服从多数的原则作出结论。持不同意见的评审委员会成员应当在评审报告上签署不同意见及理由，否则视为同意评审报告。</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 对投标文件的审查和投标性的确定</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  采购机构就投标文件中的资格证明文件内容对投标人进行资格核查：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24.1.1采购机构就投标文件中的资格证明等内容对投标人进行资格核查，核查不合格的，认定其投标无效。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  评审委员会将投标文件进行符合性审查：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24.2.1  评审委员会将审查投标文件是否完整、总体编排是否有序、文件签署是否合格、有无计算上的错误等。</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24.2.2  算术错误将按以下方法更正（次序排先者优先）：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（1）开标一览表内容与投标文件中相应内容不一致的，以开标一览表为准；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（2）</w:t>
      </w:r>
      <w:r>
        <w:rPr>
          <w:rFonts w:hint="eastAsia" w:cs="仿宋" w:asciiTheme="minorEastAsia" w:hAnsiTheme="minorEastAsia" w:eastAsiaTheme="minorEastAsia"/>
          <w:szCs w:val="21"/>
        </w:rPr>
        <w:t>大写金额和小写金额不一致的，以大写金额为准；</w:t>
      </w:r>
    </w:p>
    <w:p>
      <w:pPr>
        <w:adjustRightInd w:val="0"/>
        <w:spacing w:line="360" w:lineRule="auto"/>
        <w:ind w:firstLine="105" w:firstLineChars="50"/>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t>（3）</w:t>
      </w:r>
      <w:r>
        <w:rPr>
          <w:rFonts w:hint="eastAsia" w:cs="仿宋" w:asciiTheme="minorEastAsia" w:hAnsiTheme="minorEastAsia" w:eastAsiaTheme="minorEastAsia"/>
          <w:szCs w:val="21"/>
        </w:rPr>
        <w:t>单价金额小数点或者百分比有明显错位的，以开标一览表的总价为准，并修改单价；</w:t>
      </w:r>
    </w:p>
    <w:p>
      <w:pPr>
        <w:adjustRightInd w:val="0"/>
        <w:spacing w:line="360" w:lineRule="auto"/>
        <w:ind w:firstLine="105" w:firstLineChars="50"/>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（4）</w:t>
      </w:r>
      <w:r>
        <w:rPr>
          <w:rFonts w:hint="eastAsia" w:cs="仿宋" w:asciiTheme="minorEastAsia" w:hAnsiTheme="minorEastAsia" w:eastAsiaTheme="minorEastAsia"/>
          <w:szCs w:val="21"/>
        </w:rPr>
        <w:t>总价金额与按单价汇总金额不一致的，以单价金额计算结果为准。</w:t>
      </w:r>
    </w:p>
    <w:p>
      <w:pPr>
        <w:adjustRightInd w:val="0"/>
        <w:spacing w:line="360" w:lineRule="auto"/>
        <w:ind w:left="210" w:hanging="210" w:hangingChars="100"/>
        <w:rPr>
          <w:rFonts w:cs="仿宋" w:asciiTheme="minorEastAsia" w:hAnsiTheme="minorEastAsia" w:eastAsiaTheme="minorEastAsia"/>
          <w:snapToGrid w:val="0"/>
          <w:kern w:val="0"/>
          <w:szCs w:val="21"/>
        </w:rPr>
      </w:pPr>
      <w:r>
        <w:rPr>
          <w:rFonts w:hint="eastAsia" w:cs="仿宋"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24.2.3  在对投标文件进行详细评估之前，评审委员会将依据投标人提供的“资格证明或声明文件”审查投标人的财务、技术和生产能力。如果确定投标人无资格履行合同，其投标将被拒绝。</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24.2.4  评审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的投标人的公平竞争地位。</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24.2.5  评审委员会判断投标文件的投标性，仅基于招标文件和投标文件本身而不靠外部证据。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24.2.6  评审委员会将拒绝被确定为非实质性投标的投标人。投标人不能通过修正或撤销不符之处，而使其投标成为实质性投标的投标。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24.2.7  评审委员会允许修改投标中不构成重大偏离的、微小的、非正规、不一致或不规则的地方。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24.2.8  评审委员会认为投标人的报价明显低于其他通过符合性审查投标人的报价，有可能影响产品质量或者不能诚信履约的，应当要求其在评审现场合理的时间内提供书面说明，必要时提交相关证明材料；投标人不能证明其报价合理性的，评审委员会应当将其作为无效投标处理。若评审委员会成员对是否须由投标人作出报价合理性说明，以及书面说明是否采纳等判断不一致的，按照“少数服从多数”的原则确定评审委员会的意见。</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 投标文件的澄清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25.1  为了有助于对投标文件进行审查、评估和比较，评审委员会有权向投标人提出质疑，并请投标人澄清其投标内容。投标人有责任，按照采购代理机构通知的时间、地点，指派专人进行答疑和澄清。</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25.2  澄清、答复应是书面的，但不得对投标内容进行实质性修改。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 评审方法和详细评审</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26.1 评委会将按照本须知第24条规定只对确定为实质上投标的投标文件进行评价和比较。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26.2 评审的基础应是本须知第12条规定的投标报价。</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26.3 评审委员会将对低于成本价格的投标作无效投标处理。</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26.4 评委会在评审时，应按照评审信息量化的评审因素，对各投标文件进行分析和评审。</w:t>
      </w:r>
    </w:p>
    <w:p>
      <w:pPr>
        <w:adjustRightInd w:val="0"/>
        <w:spacing w:line="360" w:lineRule="auto"/>
        <w:rPr>
          <w:rFonts w:cs="仿宋" w:asciiTheme="minorEastAsia" w:hAnsiTheme="minorEastAsia" w:eastAsiaTheme="minorEastAsia"/>
          <w:szCs w:val="21"/>
        </w:rPr>
      </w:pPr>
      <w:bookmarkStart w:id="11" w:name="q9"/>
      <w:bookmarkEnd w:id="11"/>
      <w:r>
        <w:rPr>
          <w:rFonts w:hint="eastAsia" w:cs="仿宋" w:asciiTheme="minorEastAsia" w:hAnsiTheme="minorEastAsia" w:eastAsiaTheme="minorEastAsia"/>
          <w:snapToGrid w:val="0"/>
          <w:kern w:val="0"/>
          <w:szCs w:val="21"/>
        </w:rPr>
        <w:t>26.4.2</w:t>
      </w:r>
      <w:r>
        <w:rPr>
          <w:rFonts w:hint="eastAsia" w:cs="仿宋" w:asciiTheme="minorEastAsia" w:hAnsiTheme="minorEastAsia" w:eastAsiaTheme="minorEastAsia"/>
          <w:szCs w:val="21"/>
        </w:rPr>
        <w:t>本项目涉及提供的有关资质证书，若原有资质证书处于年审期间，须提供证书颁发部门提供的回执，并且回执须证明该证书依然有效（若在法规范围不需提供的，投标人应做书面说明并提供证明文件，否则该证书无效），则该投标人提供年审证明的可按原资质投标；若投标人正在申报上一级别资质，在未获批准之前，仍按原级别资质投标。</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综合以上分析比较按前附表第13项所述的评审方法，评委会将按照招标文件规定的各项因素对各投标文件进行量化打分并加权汇总，对各评委的总评分取算术平均值确定该投标人的评审总得分(精确至小数点后二位)，评审总得分最高者将被推荐为中标人，并作出评审结论。若得分相同的，按投标报价由低到高顺序排列；得分且投标报价相同的，按技术服务优劣顺序（即技术分由高到低排序）排列。</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26.5.1公开征集采购方式说明：因有效投标人不足三家而致公开征集、公开竞价失败的，采购单位可结合实际需要，重新实施采购或依据有效投标人数量，在评标现场即转为邀请竞标或直接采购。</w:t>
      </w:r>
    </w:p>
    <w:p>
      <w:pPr>
        <w:pStyle w:val="2"/>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rPr>
        <w:t>邀请竞标</w:t>
      </w:r>
      <w:r>
        <w:rPr>
          <w:rFonts w:hint="eastAsia" w:cs="仿宋" w:asciiTheme="minorEastAsia" w:hAnsiTheme="minorEastAsia" w:eastAsiaTheme="minorEastAsia"/>
          <w:snapToGrid w:val="0"/>
          <w:kern w:val="0"/>
          <w:szCs w:val="21"/>
        </w:rPr>
        <w:t>采购方式说明</w:t>
      </w:r>
      <w:r>
        <w:rPr>
          <w:rFonts w:hint="eastAsia" w:cs="仿宋" w:asciiTheme="minorEastAsia" w:hAnsiTheme="minorEastAsia" w:eastAsiaTheme="minorEastAsia"/>
        </w:rPr>
        <w:t>：是指在社会招标代理机构服务（或政府集中采购机构）平台发布采购需求信息，邀请特定范围内2家以上人参加投标，按最低价中标原则确定成交人，或由社会招标代理机构组织采购单位代表、评审专家成立评审组评审并确定中标人的采购方式。</w:t>
      </w:r>
    </w:p>
    <w:p>
      <w:pPr>
        <w:pStyle w:val="2"/>
        <w:spacing w:after="0" w:line="360" w:lineRule="auto"/>
        <w:ind w:left="0" w:leftChars="0" w:firstLine="0" w:firstLineChars="0"/>
        <w:rPr>
          <w:rFonts w:cs="仿宋" w:asciiTheme="minorEastAsia" w:hAnsiTheme="minorEastAsia" w:eastAsiaTheme="minorEastAsia"/>
        </w:rPr>
      </w:pPr>
      <w:r>
        <w:rPr>
          <w:rFonts w:hint="eastAsia" w:cs="仿宋" w:asciiTheme="minorEastAsia" w:hAnsiTheme="minorEastAsia" w:eastAsiaTheme="minorEastAsia"/>
          <w:snapToGrid w:val="0"/>
          <w:kern w:val="0"/>
          <w:szCs w:val="21"/>
        </w:rPr>
        <w:t>直接采购采购方式说明：是指经批准由采购单位自行与唯一人通过谈判确定成交的采购方式。</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26.6评审报告是评审委员会根据全体评审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在案。</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 保密及其它注意事项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27.1  评审是采购工作的重要环节，评审工作在评委会内独立进行。评委会将遵照评审原则，公正、平等地对待所有投标人。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27.2  评审期间，评委会将对投标文件中有关问题分别向投标人进行询问。各投标人应予以认真答复。重要或复杂问题的答复需以书面形式，并经法定代表人或授权人签署。澄清文件将作为投标文件的组成部份。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27.3  在开标、投标期间，投标人不得向评委询问评审情况，不得进行旨在影响评审结果的活动。</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27.4  为保证定标的公正性，在评审过程中，评委不得与投标人私下交换意见。在采购工作结束后，凡与评审情况有接触的任何人，不得也不应将评审情况扩散出评委人员之外。</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27.5  评委会不向落标方解释落标原因，不退还投标文件。</w:t>
      </w:r>
    </w:p>
    <w:p>
      <w:pPr>
        <w:rPr>
          <w:rFonts w:cs="仿宋" w:asciiTheme="minorEastAsia" w:hAnsiTheme="minorEastAsia" w:eastAsiaTheme="minorEastAsia"/>
        </w:rPr>
      </w:pPr>
    </w:p>
    <w:p>
      <w:pPr>
        <w:adjustRightInd w:val="0"/>
        <w:spacing w:line="360" w:lineRule="auto"/>
        <w:jc w:val="center"/>
        <w:rPr>
          <w:rFonts w:cs="仿宋" w:asciiTheme="minorEastAsia" w:hAnsiTheme="minorEastAsia" w:eastAsiaTheme="minorEastAsia"/>
          <w:snapToGrid w:val="0"/>
          <w:kern w:val="0"/>
          <w:sz w:val="32"/>
          <w:szCs w:val="32"/>
        </w:rPr>
      </w:pPr>
      <w:r>
        <w:rPr>
          <w:rFonts w:hint="eastAsia" w:cs="仿宋" w:asciiTheme="minorEastAsia" w:hAnsiTheme="minorEastAsia" w:eastAsiaTheme="minorEastAsia"/>
          <w:snapToGrid w:val="0"/>
          <w:kern w:val="0"/>
          <w:sz w:val="32"/>
          <w:szCs w:val="32"/>
        </w:rPr>
        <w:t>Ｆ　　授予合同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28．合同授予标准</w:t>
      </w:r>
    </w:p>
    <w:p>
      <w:pPr>
        <w:tabs>
          <w:tab w:val="left" w:pos="5688"/>
        </w:tabs>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    本项目采购合同授予本须知26.5款所确定的中标人。</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 中标通知</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 xml:space="preserve">29.1  采购机构在发出《中标通知书》之前，将中标结果通过政府采购指定网站进行公示。中标结果公示期满无异议或者异议不成立的，采购机构将发出《中标通知书》。《中标通知书》一经发出即发生法律效力。 </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29.2 《中标通知书》将作为签订合同的重要依据。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29.3  中标方向采购代理机构支付采购代理服务费后，采购代理机构发出《中标通知书》。</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30. 授予合同时变更数量的权力</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30.1  采购人在签订合同时，有权对招标文件中列明的货物或服务的数量，在法定范围内，依法定程序予以增加或减少。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 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31.1  中标方应按《中标通知书》或按采购人指定的时间、地点与采购人签订合同。</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31.2  招标文件、中标方的投标文件及其澄清文件等，均为签订合同的依据。</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  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32.1  中标人须按招标文件的规定或根据合同的规定向采购人提交履约保证金。</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 采购代理服务费</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33.1  采购代理服务费按前附表第14项所述，最低收取人民币6000元。</w:t>
      </w:r>
    </w:p>
    <w:p>
      <w:pPr>
        <w:adjustRightInd w:val="0"/>
        <w:spacing w:line="360" w:lineRule="auto"/>
        <w:rPr>
          <w:rFonts w:cs="仿宋" w:asciiTheme="minorEastAsia" w:hAnsiTheme="minorEastAsia" w:eastAsiaTheme="minorEastAsia"/>
          <w:snapToGrid w:val="0"/>
          <w:kern w:val="0"/>
          <w:szCs w:val="21"/>
        </w:rPr>
      </w:pPr>
      <w:r>
        <w:rPr>
          <w:rFonts w:hint="eastAsia" w:cs="仿宋" w:asciiTheme="minorEastAsia" w:hAnsiTheme="minorEastAsia" w:eastAsiaTheme="minorEastAsia"/>
          <w:snapToGrid w:val="0"/>
          <w:kern w:val="0"/>
          <w:szCs w:val="21"/>
        </w:rPr>
        <w:t>33.2  采购代理服务费金额按下列方法计算：</w:t>
      </w:r>
    </w:p>
    <w:tbl>
      <w:tblPr>
        <w:tblStyle w:val="19"/>
        <w:tblW w:w="7115" w:type="dxa"/>
        <w:tblInd w:w="64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661"/>
        <w:gridCol w:w="1661"/>
        <w:gridCol w:w="16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trPr>
        <w:tc>
          <w:tcPr>
            <w:tcW w:w="2131" w:type="dxa"/>
          </w:tcPr>
          <w:p>
            <w:pPr>
              <w:spacing w:line="360" w:lineRule="auto"/>
              <w:ind w:firstLine="420" w:firstLineChars="200"/>
              <w:rPr>
                <w:rFonts w:cs="仿宋" w:asciiTheme="minorEastAsia" w:hAnsiTheme="minorEastAsia" w:eastAsiaTheme="minorEastAsia"/>
                <w:szCs w:val="21"/>
              </w:rPr>
            </w:pPr>
            <w:r>
              <w:rPr>
                <w:rFonts w:cs="仿宋" w:asciiTheme="minorEastAsia" w:hAnsiTheme="minorEastAsia" w:eastAsiaTheme="minorEastAsia"/>
                <w:szCs w:val="21"/>
              </w:rPr>
              <mc:AlternateContent>
                <mc:Choice Requires="wps">
                  <w:drawing>
                    <wp:anchor distT="0" distB="0" distL="114300" distR="114300" simplePos="0" relativeHeight="251678720"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33"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a:effectLst/>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8720;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wITS9gAAAAKAQAADwAAAAAAAAABACAAAAAiAAAAZHJzL2Rvd25yZXYueG1sUEsBAhQAFAAAAAgA&#10;h07iQPIBj5WzAQAAfg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7696"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32"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7696;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YaAzudcAAAAJAQAADwAAAAAAAAABACAAAAAiAAAAZHJzL2Rvd25yZXYueG1sUEsBAhQAFAAAAAgA&#10;h07iQAxTngK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6672"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31"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a:effectLst/>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6672;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5ldetgAAAAIAQAADwAAAAAAAAABACAAAAAiAAAAZHJzL2Rvd25yZXYueG1sUEsBAhQAFAAAAAgA&#10;h07iQC5w/OuzAQAAfgMAAA4AAAAAAAAAAQAgAAAAJwEAAGRycy9lMm9Eb2MueG1sUEsFBgAAAAAG&#10;AAYAWQEAAEwFA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5648"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30"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5648;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F1q&#10;SHHXAAAABwEAAA8AAAAAAAAAAQAgAAAAIgAAAGRycy9kb3ducmV2LnhtbFBLAQIUABQAAAAIAIdO&#10;4kCme4A8sgEAAH8DAAAOAAAAAAAAAAEAIAAAACYBAABkcnMvZTJvRG9jLnhtbFBLBQYAAAAABgAG&#10;AFkBAABKBQ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4624"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29"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4624;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Z1PIdcAAAAHAQAADwAAAAAAAAABACAAAAAiAAAAZHJzL2Rvd25yZXYueG1sUEsBAhQAFAAAAAgA&#10;h07iQFT4tB20AQAAfwMAAA4AAAAAAAAAAQAgAAAAJgEAAGRycy9lMm9Eb2MueG1sUEsFBgAAAAAG&#10;AAYAWQEAAEwFA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3600"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28"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73600;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JbW&#10;dhPWAAAABwEAAA8AAAAAAAAAAQAgAAAAIgAAAGRycy9kb3ducmV2LnhtbFBLAQIUABQAAAAIAIdO&#10;4kARRirDswEAAH8DAAAOAAAAAAAAAAEAIAAAACUBAABkcnMvZTJvRG9jLnhtbFBLBQYAAAAABgAG&#10;AFkBAABKBQ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2576"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27"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72576;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4&#10;3oM01gAAAAcBAAAPAAAAAAAAAAEAIAAAACIAAABkcnMvZG93bnJldi54bWxQSwECFAAUAAAACACH&#10;TuJAHWibGLQBAAB/AwAADgAAAAAAAAABACAAAAAlAQAAZHJzL2Uyb0RvYy54bWxQSwUGAAAAAAYA&#10;BgBZAQAASwU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1552"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26"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71552;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rSrU1wAAAAkBAAAPAAAAAAAAAAEAIAAAACIAAABkcnMvZG93bnJldi54bWxQSwECFAAUAAAACACH&#10;TuJAPeX7n7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70528"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13"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a:effectLst/>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70528;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3Hk&#10;NdUAAAAHAQAADwAAAAAAAAABACAAAAAiAAAAZHJzL2Rvd25yZXYueG1sUEsBAhQAFAAAAAgAh07i&#10;QOtxLGKzAQAAfwMAAA4AAAAAAAAAAQAgAAAAJAEAAGRycy9lMm9Eb2MueG1sUEsFBgAAAAAGAAYA&#10;WQEAAEkFA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9504"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12"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a:effectLst/>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9504;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z&#10;1MkA2AAAAAkBAAAPAAAAAAAAAAEAIAAAACIAAABkcnMvZG93bnJldi54bWxQSwECFAAUAAAACACH&#10;TuJA/cpUVb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8480"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11"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8480;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uupVmdgAAAAJAQAADwAAAAAAAAABACAAAAAiAAAAZHJzL2Rvd25yZXYueG1sUEsBAhQAFAAAAAgA&#10;h07iQMu1DXqzAQAAfwMAAA4AAAAAAAAAAQAgAAAAJwEAAGRycy9lMm9Eb2MueG1sUEsFBgAAAAAG&#10;AAYAWQEAAEwFA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7456"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10"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7456;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j&#10;XzaP2AAAAAkBAAAPAAAAAAAAAAEAIAAAACIAAABkcnMvZG93bnJldi54bWxQSwECFAAUAAAACACH&#10;TuJAUTpdk7IBAAB/AwAADgAAAAAAAAABACAAAAAnAQAAZHJzL2Uyb0RvYy54bWxQSwUGAAAAAAYA&#10;BgBZAQAASw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6432"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9"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a:effectLst/>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6432;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x&#10;2So/1wAAAAgBAAAPAAAAAAAAAAEAIAAAACIAAABkcnMvZG93bnJldi54bWxQSwECFAAUAAAACACH&#10;TuJAk/EplLMBAAB+AwAADgAAAAAAAAABACAAAAAmAQAAZHJzL2Uyb0RvYy54bWxQSwUGAAAAAAYA&#10;BgBZAQAASwU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8"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20" o:spid="_x0000_s1026" o:spt="20" style="position:absolute;left:0pt;margin-left:-5.15pt;margin-top:26.85pt;height:26.8pt;width:106pt;z-index:251665408;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puoAAtYAAAAKAQAADwAA&#10;AAAAAAABACAAAAAiAAAAZHJzL2Rvd25yZXYueG1sUEsBAhQAFAAAAAgAh07iQIYtgRffAQAA4gMA&#10;AA4AAAAAAAAAAQAgAAAAJQEAAGRycy9lMm9Eb2MueG1sUEsFBgAAAAAGAAYAWQEAAHYFAAAAAA==&#10;">
                      <v:fill on="f" focussize="0,0"/>
                      <v:stroke weight="0.5pt" color="#000000" joinstyle="round"/>
                      <v:imagedata o:title=""/>
                      <o:lock v:ext="edit" aspectratio="f"/>
                    </v:line>
                  </w:pict>
                </mc:Fallback>
              </mc:AlternateContent>
            </w:r>
            <w:r>
              <w:rPr>
                <w:rFonts w:cs="仿宋" w:asciiTheme="minorEastAsia" w:hAnsiTheme="minorEastAsia" w:eastAsiaTheme="minorEastAsia"/>
                <w:szCs w:val="21"/>
              </w:rPr>
              <mc:AlternateContent>
                <mc:Choice Requires="wps">
                  <w:drawing>
                    <wp:anchor distT="0" distB="0" distL="114300" distR="114300" simplePos="0" relativeHeight="251664384"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7"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a:effectLst/>
                            </wps:spPr>
                            <wps:bodyPr/>
                          </wps:wsp>
                        </a:graphicData>
                      </a:graphic>
                    </wp:anchor>
                  </w:drawing>
                </mc:Choice>
                <mc:Fallback>
                  <w:pict>
                    <v:line id="__TH_L19" o:spid="_x0000_s1026" o:spt="20" style="position:absolute;left:0pt;margin-left:47.85pt;margin-top:0pt;height:53.65pt;width:53pt;z-index:251664384;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3G1tN0wAAAAcBAAAPAAAAAAAA&#10;AAEAIAAAACIAAABkcnMvZG93bnJldi54bWxQSwECFAAUAAAACACHTuJALzrNBt4BAADhAwAADgAA&#10;AAAAAAABACAAAAAiAQAAZHJzL2Uyb0RvYy54bWxQSwUGAAAAAAYABgBZAQAAcgUAAAAA&#10;">
                      <v:fill on="f" focussize="0,0"/>
                      <v:stroke weight="0.5pt" color="#000000" joinstyle="round"/>
                      <v:imagedata o:title=""/>
                      <o:lock v:ext="edit" aspectratio="f"/>
                    </v:line>
                  </w:pict>
                </mc:Fallback>
              </mc:AlternateConten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服务采购</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货物采购</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工程采购</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1.50%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c>
          <w:tcPr>
            <w:tcW w:w="2131" w:type="dxa"/>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100-500</w:t>
            </w:r>
          </w:p>
        </w:tc>
        <w:tc>
          <w:tcPr>
            <w:tcW w:w="1661" w:type="dxa"/>
            <w:tcBorders>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0.80%</w:t>
            </w:r>
          </w:p>
        </w:tc>
        <w:tc>
          <w:tcPr>
            <w:tcW w:w="1661" w:type="dxa"/>
            <w:tcBorders>
              <w:left w:val="single" w:color="auto" w:sz="4" w:space="0"/>
              <w:righ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1.10%</w:t>
            </w:r>
          </w:p>
        </w:tc>
        <w:tc>
          <w:tcPr>
            <w:tcW w:w="1662" w:type="dxa"/>
            <w:tcBorders>
              <w:left w:val="single" w:color="auto" w:sz="4" w:space="0"/>
            </w:tcBorders>
            <w:vAlign w:val="center"/>
          </w:tcPr>
          <w:p>
            <w:pPr>
              <w:spacing w:line="360"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0.70%</w:t>
            </w:r>
          </w:p>
        </w:tc>
      </w:tr>
    </w:tbl>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注：1、采购代理服务费按差额定率累进法计算。例如：某服务类项目中标金额为200万元，计算采购代理服务费额如下：</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100万元×1.5%=1.5万元</w:t>
      </w:r>
    </w:p>
    <w:p>
      <w:pPr>
        <w:spacing w:line="360" w:lineRule="auto"/>
        <w:ind w:firstLine="420" w:firstLineChars="200"/>
        <w:rPr>
          <w:rFonts w:cs="仿宋" w:asciiTheme="minorEastAsia" w:hAnsiTheme="minorEastAsia" w:eastAsiaTheme="minorEastAsia"/>
          <w:szCs w:val="21"/>
        </w:rPr>
      </w:pPr>
      <w:r>
        <w:rPr>
          <w:rFonts w:hint="eastAsia" w:cs="仿宋" w:asciiTheme="minorEastAsia" w:hAnsiTheme="minorEastAsia" w:eastAsiaTheme="minorEastAsia"/>
          <w:szCs w:val="21"/>
        </w:rPr>
        <w:t>（200-100）万元×0.8%=0.8万元</w:t>
      </w:r>
    </w:p>
    <w:p>
      <w:pPr>
        <w:rPr>
          <w:rFonts w:cs="仿宋" w:asciiTheme="minorEastAsia" w:hAnsiTheme="minorEastAsia" w:eastAsiaTheme="minorEastAsia"/>
          <w:szCs w:val="21"/>
        </w:rPr>
      </w:pPr>
      <w:r>
        <w:rPr>
          <w:rFonts w:hint="eastAsia" w:cs="仿宋" w:asciiTheme="minorEastAsia" w:hAnsiTheme="minorEastAsia" w:eastAsiaTheme="minorEastAsia"/>
          <w:szCs w:val="21"/>
        </w:rPr>
        <w:t xml:space="preserve">    合计收费=1.5+0.8＝2.3（万元）</w:t>
      </w:r>
    </w:p>
    <w:p>
      <w:pPr>
        <w:rPr>
          <w:rFonts w:cs="仿宋" w:asciiTheme="minorEastAsia" w:hAnsiTheme="minorEastAsia" w:eastAsiaTheme="minorEastAsia"/>
          <w:szCs w:val="21"/>
        </w:rPr>
      </w:pPr>
      <w:r>
        <w:rPr>
          <w:rFonts w:hint="eastAsia" w:cs="仿宋" w:asciiTheme="minorEastAsia" w:hAnsiTheme="minorEastAsia" w:eastAsiaTheme="minorEastAsia"/>
          <w:snapToGrid w:val="0"/>
          <w:kern w:val="0"/>
          <w:szCs w:val="21"/>
        </w:rPr>
        <w:br w:type="page"/>
      </w: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rPr>
          <w:rFonts w:cs="仿宋" w:asciiTheme="minorEastAsia" w:hAnsiTheme="minorEastAsia" w:eastAsiaTheme="minorEastAsia"/>
        </w:rPr>
      </w:pPr>
    </w:p>
    <w:p>
      <w:pPr>
        <w:adjustRightInd w:val="0"/>
        <w:snapToGrid w:val="0"/>
        <w:spacing w:line="300" w:lineRule="auto"/>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第六部分</w:t>
      </w:r>
    </w:p>
    <w:p>
      <w:pPr>
        <w:jc w:val="center"/>
        <w:rPr>
          <w:rFonts w:cs="仿宋" w:asciiTheme="minorEastAsia" w:hAnsiTheme="minorEastAsia" w:eastAsiaTheme="minorEastAsia"/>
          <w:snapToGrid w:val="0"/>
          <w:kern w:val="0"/>
          <w:sz w:val="56"/>
          <w:szCs w:val="96"/>
        </w:rPr>
      </w:pPr>
      <w:r>
        <w:rPr>
          <w:rFonts w:hint="eastAsia" w:cs="仿宋" w:asciiTheme="minorEastAsia" w:hAnsiTheme="minorEastAsia" w:eastAsiaTheme="minorEastAsia"/>
          <w:snapToGrid w:val="0"/>
          <w:kern w:val="0"/>
          <w:sz w:val="56"/>
          <w:szCs w:val="96"/>
        </w:rPr>
        <w:t>附件</w:t>
      </w:r>
    </w:p>
    <w:p>
      <w:pPr>
        <w:widowControl/>
        <w:jc w:val="left"/>
        <w:rPr>
          <w:rFonts w:cs="仿宋" w:asciiTheme="minorEastAsia" w:hAnsiTheme="minorEastAsia" w:eastAsiaTheme="minorEastAsia"/>
        </w:rPr>
      </w:pPr>
      <w:r>
        <w:rPr>
          <w:rFonts w:hint="eastAsia" w:cs="仿宋" w:asciiTheme="minorEastAsia" w:hAnsiTheme="minorEastAsia" w:eastAsiaTheme="minorEastAsia"/>
        </w:rPr>
        <w:br w:type="page"/>
      </w:r>
    </w:p>
    <w:p>
      <w:pPr>
        <w:spacing w:line="360" w:lineRule="auto"/>
        <w:rPr>
          <w:rFonts w:cs="仿宋" w:asciiTheme="minorEastAsia" w:hAnsiTheme="minorEastAsia" w:eastAsiaTheme="minorEastAsia"/>
        </w:rPr>
      </w:pPr>
      <w:r>
        <w:rPr>
          <w:rFonts w:hint="eastAsia" w:cs="仿宋" w:asciiTheme="minorEastAsia" w:hAnsiTheme="minorEastAsia" w:eastAsiaTheme="minorEastAsia"/>
        </w:rPr>
        <w:t>附件1</w:t>
      </w:r>
    </w:p>
    <w:p>
      <w:pPr>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履约保证金</w:t>
      </w: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rPr>
          <w:rFonts w:cs="仿宋" w:asciiTheme="minorEastAsia" w:hAnsiTheme="minorEastAsia" w:eastAsiaTheme="minorEastAsia"/>
          <w:snapToGrid w:val="0"/>
          <w:kern w:val="0"/>
        </w:rPr>
      </w:pPr>
    </w:p>
    <w:p>
      <w:pPr>
        <w:adjustRightInd w:val="0"/>
        <w:snapToGrid w:val="0"/>
        <w:spacing w:line="300" w:lineRule="auto"/>
        <w:jc w:val="cente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银行保函（格式）</w:t>
      </w:r>
    </w:p>
    <w:p>
      <w:pPr>
        <w:rPr>
          <w:rFonts w:cs="仿宋" w:asciiTheme="minorEastAsia" w:hAnsiTheme="minorEastAsia" w:eastAsiaTheme="minorEastAsia"/>
        </w:rPr>
      </w:pP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rPr>
        <w:t xml:space="preserve">  </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本保函是为</w:t>
      </w:r>
      <w:r>
        <w:rPr>
          <w:rFonts w:hint="eastAsia" w:cs="仿宋" w:asciiTheme="minorEastAsia" w:hAnsiTheme="minorEastAsia" w:eastAsiaTheme="minorEastAsia"/>
          <w:sz w:val="22"/>
          <w:u w:val="single"/>
        </w:rPr>
        <w:t>(卖方名称)</w:t>
      </w:r>
      <w:r>
        <w:rPr>
          <w:rFonts w:hint="eastAsia" w:cs="仿宋" w:asciiTheme="minorEastAsia" w:hAnsiTheme="minorEastAsia" w:eastAsiaTheme="minorEastAsia"/>
          <w:sz w:val="22"/>
        </w:rPr>
        <w:t>(以下简称卖方)于</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年</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月</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日与</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(以下简称买方)签订的第</w:t>
      </w:r>
      <w:r>
        <w:rPr>
          <w:rFonts w:hint="eastAsia" w:cs="仿宋" w:asciiTheme="minorEastAsia" w:hAnsiTheme="minorEastAsia" w:eastAsiaTheme="minorEastAsia"/>
          <w:sz w:val="22"/>
          <w:u w:val="single"/>
        </w:rPr>
        <w:t>(合同编号)</w:t>
      </w:r>
      <w:r>
        <w:rPr>
          <w:rFonts w:hint="eastAsia" w:cs="仿宋" w:asciiTheme="minorEastAsia" w:hAnsiTheme="minorEastAsia" w:eastAsiaTheme="minorEastAsia"/>
          <w:sz w:val="22"/>
        </w:rPr>
        <w:t>号供货合同而提供的履约担保。</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r>
        <w:rPr>
          <w:rFonts w:hint="eastAsia" w:cs="仿宋" w:asciiTheme="minorEastAsia" w:hAnsiTheme="minorEastAsia" w:eastAsiaTheme="minorEastAsia"/>
          <w:sz w:val="22"/>
          <w:u w:val="single"/>
        </w:rPr>
        <w:t>(银行名称)</w:t>
      </w:r>
      <w:r>
        <w:rPr>
          <w:rFonts w:hint="eastAsia" w:cs="仿宋" w:asciiTheme="minorEastAsia" w:hAnsiTheme="minorEastAsia" w:eastAsiaTheme="minorEastAsia"/>
          <w:sz w:val="22"/>
        </w:rPr>
        <w:t>以及他的继承人和受让人无条件地、不可撤销地约束本行，一旦收到</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书面提出卖方不能履行合同约定，发生下列违约条件之一的通知时，我行保证付给</w:t>
      </w:r>
      <w:r>
        <w:rPr>
          <w:rFonts w:hint="eastAsia" w:cs="仿宋" w:asciiTheme="minorEastAsia" w:hAnsiTheme="minorEastAsia" w:eastAsiaTheme="minorEastAsia"/>
          <w:sz w:val="22"/>
          <w:u w:val="single"/>
        </w:rPr>
        <w:t>(买方名称)</w:t>
      </w:r>
      <w:r>
        <w:rPr>
          <w:rFonts w:hint="eastAsia" w:cs="仿宋" w:asciiTheme="minorEastAsia" w:hAnsiTheme="minorEastAsia" w:eastAsiaTheme="minorEastAsia"/>
          <w:sz w:val="22"/>
        </w:rPr>
        <w:t>金额为</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万元人民币的保证金。</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(一)违约条件：</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·在合同有效期内，卖方拒绝履行合同；</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·在合同有效期内，卖方未经买方同意，变更供货合同的主要条款；</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·产品质量在质保期内，经省级质量检验、监督机关鉴定产品质量发生问题；</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(二)在合同执行期间，供需双方发生了纠纷，履约保函有效期限可延长到纠纷得到最终解决完毕后。</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(三)本保函自开立之日起有效，在接到买方的《验收合格的通知》后7日内予以退还。</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(卖方银行名称)：</w:t>
      </w:r>
      <w:r>
        <w:rPr>
          <w:rFonts w:hint="eastAsia" w:cs="仿宋" w:asciiTheme="minorEastAsia" w:hAnsiTheme="minorEastAsia" w:eastAsiaTheme="minorEastAsia"/>
          <w:sz w:val="22"/>
          <w:u w:val="single"/>
        </w:rPr>
        <w:t xml:space="preserve">            </w:t>
      </w:r>
      <w:r>
        <w:rPr>
          <w:rFonts w:hint="eastAsia" w:cs="仿宋" w:asciiTheme="minorEastAsia" w:hAnsiTheme="minorEastAsia" w:eastAsiaTheme="minorEastAsia"/>
          <w:sz w:val="22"/>
        </w:rPr>
        <w:t>(公章)</w:t>
      </w:r>
    </w:p>
    <w:p>
      <w:pPr>
        <w:pStyle w:val="40"/>
        <w:adjustRightInd w:val="0"/>
        <w:snapToGrid w:val="0"/>
        <w:spacing w:line="360" w:lineRule="auto"/>
        <w:rPr>
          <w:rFonts w:cs="仿宋" w:asciiTheme="minorEastAsia" w:hAnsiTheme="minorEastAsia" w:eastAsiaTheme="minorEastAsia"/>
          <w:sz w:val="22"/>
        </w:rPr>
      </w:pPr>
      <w:r>
        <w:rPr>
          <w:rFonts w:hint="eastAsia" w:cs="仿宋" w:asciiTheme="minorEastAsia" w:hAnsiTheme="minorEastAsia" w:eastAsiaTheme="minorEastAsia"/>
          <w:sz w:val="22"/>
        </w:rPr>
        <w:t xml:space="preserve">    </w:t>
      </w:r>
    </w:p>
    <w:p>
      <w:pPr>
        <w:pStyle w:val="40"/>
        <w:adjustRightInd w:val="0"/>
        <w:snapToGrid w:val="0"/>
        <w:spacing w:line="360" w:lineRule="auto"/>
        <w:ind w:firstLine="420"/>
        <w:rPr>
          <w:rFonts w:cs="仿宋" w:asciiTheme="minorEastAsia" w:hAnsiTheme="minorEastAsia" w:eastAsiaTheme="minorEastAsia"/>
        </w:rPr>
      </w:pPr>
      <w:r>
        <w:rPr>
          <w:rFonts w:hint="eastAsia" w:cs="仿宋" w:asciiTheme="minorEastAsia" w:hAnsiTheme="minorEastAsia" w:eastAsiaTheme="minorEastAsia"/>
          <w:sz w:val="22"/>
        </w:rPr>
        <w:t xml:space="preserve">                                   签 发 人 签 字：</w:t>
      </w:r>
      <w:r>
        <w:rPr>
          <w:rFonts w:hint="eastAsia" w:cs="仿宋" w:asciiTheme="minorEastAsia" w:hAnsiTheme="minorEastAsia" w:eastAsiaTheme="minorEastAsia"/>
          <w:sz w:val="22"/>
          <w:u w:val="single"/>
        </w:rPr>
        <w:t xml:space="preserve">            </w:t>
      </w:r>
    </w:p>
    <w:p>
      <w:pPr>
        <w:pStyle w:val="41"/>
        <w:adjustRightInd w:val="0"/>
        <w:spacing w:line="360" w:lineRule="auto"/>
        <w:rPr>
          <w:rFonts w:cs="仿宋" w:asciiTheme="minorEastAsia" w:hAnsiTheme="minorEastAsia" w:eastAsiaTheme="minorEastAsia"/>
        </w:rPr>
      </w:pPr>
      <w:r>
        <w:rPr>
          <w:rFonts w:hint="eastAsia" w:cs="宋体" w:asciiTheme="minorEastAsia" w:hAnsiTheme="minorEastAsia" w:eastAsiaTheme="minorEastAsia"/>
        </w:rPr>
        <w:t> </w:t>
      </w:r>
    </w:p>
    <w:p>
      <w:pPr>
        <w:rPr>
          <w:rFonts w:cs="仿宋" w:asciiTheme="minorEastAsia" w:hAnsiTheme="minorEastAsia" w:eastAsiaTheme="minorEastAsia"/>
        </w:rPr>
      </w:pPr>
    </w:p>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3"/>
    </w:sdtPr>
    <w:sdtContent>
      <w:p>
        <w:pPr>
          <w:pStyle w:val="15"/>
          <w:jc w:val="center"/>
        </w:pPr>
        <w:r>
          <w:fldChar w:fldCharType="begin"/>
        </w:r>
        <w:r>
          <w:instrText xml:space="preserve"> PAGE   \* MERGEFORMAT </w:instrText>
        </w:r>
        <w:r>
          <w:fldChar w:fldCharType="separate"/>
        </w:r>
        <w:r>
          <w:rPr>
            <w:lang w:val="zh-CN"/>
          </w:rPr>
          <w:t>15</w:t>
        </w:r>
        <w:r>
          <w:rPr>
            <w:lang w:val="zh-CN"/>
          </w:rPr>
          <w:fldChar w:fldCharType="end"/>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47464"/>
    </w:sdtPr>
    <w:sdtContent>
      <w:p>
        <w:pPr>
          <w:pStyle w:val="15"/>
          <w:jc w:val="center"/>
        </w:pPr>
      </w:p>
    </w:sdtContent>
  </w:sdt>
  <w:p>
    <w:pPr>
      <w:pStyle w:val="1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left"/>
      <w:rPr>
        <w:sz w:val="13"/>
        <w:szCs w:val="13"/>
      </w:rPr>
    </w:pPr>
    <w:r>
      <w:rPr>
        <w:rFonts w:hint="eastAsia"/>
        <w:sz w:val="13"/>
        <w:szCs w:val="13"/>
      </w:rPr>
      <w:t>项目名称：</w:t>
    </w:r>
    <w:r>
      <w:rPr>
        <w:rFonts w:hint="eastAsia" w:ascii="宋体" w:hAnsi="宋体"/>
        <w:sz w:val="13"/>
        <w:szCs w:val="13"/>
      </w:rPr>
      <w:t xml:space="preserve">深圳市公安局交警支队新能源汽车号牌试点工作配套改革创新项目第三方评测服务项目 </w:t>
    </w:r>
    <w:r>
      <w:rPr>
        <w:rFonts w:hint="eastAsia"/>
        <w:sz w:val="13"/>
        <w:szCs w:val="13"/>
      </w:rPr>
      <w:t xml:space="preserve">              项目编号：</w:t>
    </w:r>
    <w:r>
      <w:rPr>
        <w:rFonts w:hint="eastAsia" w:asciiTheme="minorEastAsia" w:hAnsiTheme="minorEastAsia" w:eastAsiaTheme="minorEastAsia"/>
        <w:sz w:val="13"/>
        <w:szCs w:val="13"/>
      </w:rPr>
      <w:t>SZZZ2022-QC0488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2C987A"/>
    <w:multiLevelType w:val="singleLevel"/>
    <w:tmpl w:val="882C987A"/>
    <w:lvl w:ilvl="0" w:tentative="0">
      <w:start w:val="1"/>
      <w:numFmt w:val="chineseCounting"/>
      <w:suff w:val="nothing"/>
      <w:lvlText w:val="%1、"/>
      <w:lvlJc w:val="left"/>
      <w:pPr>
        <w:ind w:left="-62"/>
      </w:pPr>
      <w:rPr>
        <w:rFonts w:hint="eastAsia"/>
      </w:rPr>
    </w:lvl>
  </w:abstractNum>
  <w:abstractNum w:abstractNumId="1">
    <w:nsid w:val="00000002"/>
    <w:multiLevelType w:val="multilevel"/>
    <w:tmpl w:val="00000002"/>
    <w:lvl w:ilvl="0" w:tentative="0">
      <w:start w:val="1"/>
      <w:numFmt w:val="decimal"/>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8"/>
      <w:lvlText w:val="%5)"/>
      <w:lvlJc w:val="left"/>
      <w:pPr>
        <w:tabs>
          <w:tab w:val="left" w:pos="2111"/>
        </w:tabs>
        <w:ind w:left="2111" w:hanging="420"/>
      </w:pPr>
    </w:lvl>
    <w:lvl w:ilvl="5" w:tentative="0">
      <w:start w:val="1"/>
      <w:numFmt w:val="lowerRoman"/>
      <w:lvlText w:val="%6."/>
      <w:lvlJc w:val="right"/>
      <w:pPr>
        <w:tabs>
          <w:tab w:val="left" w:pos="2531"/>
        </w:tabs>
        <w:ind w:left="2531" w:hanging="420"/>
      </w:pPr>
    </w:lvl>
    <w:lvl w:ilvl="6" w:tentative="0">
      <w:start w:val="1"/>
      <w:numFmt w:val="decimal"/>
      <w:lvlText w:val="%7."/>
      <w:lvlJc w:val="left"/>
      <w:pPr>
        <w:tabs>
          <w:tab w:val="left" w:pos="2951"/>
        </w:tabs>
        <w:ind w:left="2951" w:hanging="420"/>
      </w:pPr>
    </w:lvl>
    <w:lvl w:ilvl="7" w:tentative="0">
      <w:start w:val="1"/>
      <w:numFmt w:val="lowerLetter"/>
      <w:lvlText w:val="%8)"/>
      <w:lvlJc w:val="left"/>
      <w:pPr>
        <w:tabs>
          <w:tab w:val="left" w:pos="3371"/>
        </w:tabs>
        <w:ind w:left="3371" w:hanging="420"/>
      </w:pPr>
    </w:lvl>
    <w:lvl w:ilvl="8" w:tentative="0">
      <w:start w:val="1"/>
      <w:numFmt w:val="lowerRoman"/>
      <w:lvlText w:val="%9."/>
      <w:lvlJc w:val="right"/>
      <w:pPr>
        <w:tabs>
          <w:tab w:val="left" w:pos="3791"/>
        </w:tabs>
        <w:ind w:left="3791" w:hanging="420"/>
      </w:pPr>
    </w:lvl>
  </w:abstractNum>
  <w:abstractNum w:abstractNumId="2">
    <w:nsid w:val="0E271432"/>
    <w:multiLevelType w:val="multilevel"/>
    <w:tmpl w:val="0E271432"/>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18D6364"/>
    <w:multiLevelType w:val="multilevel"/>
    <w:tmpl w:val="518D6364"/>
    <w:lvl w:ilvl="0" w:tentative="0">
      <w:start w:val="1"/>
      <w:numFmt w:val="decimal"/>
      <w:lvlText w:val="（%1）"/>
      <w:lvlJc w:val="left"/>
      <w:pPr>
        <w:tabs>
          <w:tab w:val="left" w:pos="720"/>
        </w:tabs>
        <w:ind w:left="720" w:hanging="720"/>
      </w:pPr>
      <w:rPr>
        <w:rFonts w:hint="eastAsia"/>
        <w:b w:val="0"/>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iYjY1MDhkNjhjZDQwM2U0MzdkMTA3NjhhZTk5ZmEifQ=="/>
  </w:docVars>
  <w:rsids>
    <w:rsidRoot w:val="00081812"/>
    <w:rsid w:val="00000DEE"/>
    <w:rsid w:val="00000FB1"/>
    <w:rsid w:val="00001625"/>
    <w:rsid w:val="000042A9"/>
    <w:rsid w:val="0000490F"/>
    <w:rsid w:val="00007ECB"/>
    <w:rsid w:val="000111D4"/>
    <w:rsid w:val="00012B85"/>
    <w:rsid w:val="0001453B"/>
    <w:rsid w:val="00014E98"/>
    <w:rsid w:val="000159CF"/>
    <w:rsid w:val="00017530"/>
    <w:rsid w:val="00023CDD"/>
    <w:rsid w:val="0002500E"/>
    <w:rsid w:val="00027833"/>
    <w:rsid w:val="000309C1"/>
    <w:rsid w:val="00031BF4"/>
    <w:rsid w:val="00032DB0"/>
    <w:rsid w:val="00036165"/>
    <w:rsid w:val="00037412"/>
    <w:rsid w:val="00037D52"/>
    <w:rsid w:val="00042A65"/>
    <w:rsid w:val="00044855"/>
    <w:rsid w:val="00046786"/>
    <w:rsid w:val="00047E37"/>
    <w:rsid w:val="00050F57"/>
    <w:rsid w:val="0005394E"/>
    <w:rsid w:val="00053B8A"/>
    <w:rsid w:val="000550D9"/>
    <w:rsid w:val="00055193"/>
    <w:rsid w:val="00056E7C"/>
    <w:rsid w:val="000600D8"/>
    <w:rsid w:val="00060560"/>
    <w:rsid w:val="00060B4F"/>
    <w:rsid w:val="0006220B"/>
    <w:rsid w:val="000679AB"/>
    <w:rsid w:val="00072AAB"/>
    <w:rsid w:val="00072F2B"/>
    <w:rsid w:val="00075875"/>
    <w:rsid w:val="00076401"/>
    <w:rsid w:val="000771B0"/>
    <w:rsid w:val="00080FB8"/>
    <w:rsid w:val="00081812"/>
    <w:rsid w:val="00081C0F"/>
    <w:rsid w:val="000851F4"/>
    <w:rsid w:val="00090B60"/>
    <w:rsid w:val="00091819"/>
    <w:rsid w:val="00094CF9"/>
    <w:rsid w:val="000A02CF"/>
    <w:rsid w:val="000A1CFD"/>
    <w:rsid w:val="000B1126"/>
    <w:rsid w:val="000B12D8"/>
    <w:rsid w:val="000B3159"/>
    <w:rsid w:val="000B44BC"/>
    <w:rsid w:val="000B59B4"/>
    <w:rsid w:val="000B61F1"/>
    <w:rsid w:val="000B7A52"/>
    <w:rsid w:val="000C05F3"/>
    <w:rsid w:val="000C1AEC"/>
    <w:rsid w:val="000C2FC4"/>
    <w:rsid w:val="000C4E01"/>
    <w:rsid w:val="000C7610"/>
    <w:rsid w:val="000C7E05"/>
    <w:rsid w:val="000D3053"/>
    <w:rsid w:val="000D4339"/>
    <w:rsid w:val="000D4C91"/>
    <w:rsid w:val="000D74FE"/>
    <w:rsid w:val="000E1731"/>
    <w:rsid w:val="000E647C"/>
    <w:rsid w:val="000E6F68"/>
    <w:rsid w:val="000F4536"/>
    <w:rsid w:val="000F47BD"/>
    <w:rsid w:val="000F4EBB"/>
    <w:rsid w:val="000F5214"/>
    <w:rsid w:val="000F547E"/>
    <w:rsid w:val="000F5791"/>
    <w:rsid w:val="0010276A"/>
    <w:rsid w:val="001036FB"/>
    <w:rsid w:val="0010378A"/>
    <w:rsid w:val="00103A07"/>
    <w:rsid w:val="00103BD6"/>
    <w:rsid w:val="00103D0B"/>
    <w:rsid w:val="00103E57"/>
    <w:rsid w:val="00105AE0"/>
    <w:rsid w:val="00106334"/>
    <w:rsid w:val="001071FF"/>
    <w:rsid w:val="001075BE"/>
    <w:rsid w:val="00107717"/>
    <w:rsid w:val="0011046C"/>
    <w:rsid w:val="0011120F"/>
    <w:rsid w:val="00112047"/>
    <w:rsid w:val="001120AB"/>
    <w:rsid w:val="00113460"/>
    <w:rsid w:val="00113EC5"/>
    <w:rsid w:val="0011733C"/>
    <w:rsid w:val="001206C4"/>
    <w:rsid w:val="00120905"/>
    <w:rsid w:val="00120DDA"/>
    <w:rsid w:val="0012286F"/>
    <w:rsid w:val="001235DF"/>
    <w:rsid w:val="001253C1"/>
    <w:rsid w:val="001300A8"/>
    <w:rsid w:val="001307EF"/>
    <w:rsid w:val="00130FFD"/>
    <w:rsid w:val="00131B9B"/>
    <w:rsid w:val="00132477"/>
    <w:rsid w:val="0013247D"/>
    <w:rsid w:val="0013568E"/>
    <w:rsid w:val="0013577A"/>
    <w:rsid w:val="0013596A"/>
    <w:rsid w:val="001451A4"/>
    <w:rsid w:val="001504D1"/>
    <w:rsid w:val="00151DFD"/>
    <w:rsid w:val="0015310D"/>
    <w:rsid w:val="00155BE9"/>
    <w:rsid w:val="0016076C"/>
    <w:rsid w:val="00161DC5"/>
    <w:rsid w:val="00165708"/>
    <w:rsid w:val="001667AC"/>
    <w:rsid w:val="00166E7A"/>
    <w:rsid w:val="001713CD"/>
    <w:rsid w:val="001746A8"/>
    <w:rsid w:val="00174A8D"/>
    <w:rsid w:val="00180273"/>
    <w:rsid w:val="001802AD"/>
    <w:rsid w:val="001807E0"/>
    <w:rsid w:val="00180DC2"/>
    <w:rsid w:val="0018134E"/>
    <w:rsid w:val="00182643"/>
    <w:rsid w:val="001830D7"/>
    <w:rsid w:val="00183156"/>
    <w:rsid w:val="0018449F"/>
    <w:rsid w:val="00185010"/>
    <w:rsid w:val="001850C4"/>
    <w:rsid w:val="001906D1"/>
    <w:rsid w:val="0019175D"/>
    <w:rsid w:val="00192E27"/>
    <w:rsid w:val="00194764"/>
    <w:rsid w:val="00194B76"/>
    <w:rsid w:val="001970B8"/>
    <w:rsid w:val="00197685"/>
    <w:rsid w:val="0019777D"/>
    <w:rsid w:val="001A0D90"/>
    <w:rsid w:val="001A0EB6"/>
    <w:rsid w:val="001A1302"/>
    <w:rsid w:val="001A3D99"/>
    <w:rsid w:val="001A4995"/>
    <w:rsid w:val="001A529F"/>
    <w:rsid w:val="001A7897"/>
    <w:rsid w:val="001B0736"/>
    <w:rsid w:val="001B14D5"/>
    <w:rsid w:val="001B4B65"/>
    <w:rsid w:val="001B4C23"/>
    <w:rsid w:val="001C0532"/>
    <w:rsid w:val="001C1A99"/>
    <w:rsid w:val="001C1FFB"/>
    <w:rsid w:val="001D0408"/>
    <w:rsid w:val="001D3874"/>
    <w:rsid w:val="001D6198"/>
    <w:rsid w:val="001D6B2F"/>
    <w:rsid w:val="001D7A7C"/>
    <w:rsid w:val="001E1BC7"/>
    <w:rsid w:val="001E1F63"/>
    <w:rsid w:val="001E398A"/>
    <w:rsid w:val="001E3C4F"/>
    <w:rsid w:val="001E4745"/>
    <w:rsid w:val="001E5169"/>
    <w:rsid w:val="001E60D1"/>
    <w:rsid w:val="001E6EA6"/>
    <w:rsid w:val="001E7031"/>
    <w:rsid w:val="001F0977"/>
    <w:rsid w:val="001F2061"/>
    <w:rsid w:val="001F259A"/>
    <w:rsid w:val="001F2D31"/>
    <w:rsid w:val="001F36D4"/>
    <w:rsid w:val="001F3E52"/>
    <w:rsid w:val="001F52C4"/>
    <w:rsid w:val="001F5A31"/>
    <w:rsid w:val="00200D8A"/>
    <w:rsid w:val="00201055"/>
    <w:rsid w:val="00202F40"/>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2082"/>
    <w:rsid w:val="00233DAC"/>
    <w:rsid w:val="0023490A"/>
    <w:rsid w:val="00235A7C"/>
    <w:rsid w:val="002366EC"/>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386D"/>
    <w:rsid w:val="00273CE7"/>
    <w:rsid w:val="00274BCF"/>
    <w:rsid w:val="00281900"/>
    <w:rsid w:val="00282D0F"/>
    <w:rsid w:val="00284440"/>
    <w:rsid w:val="00285487"/>
    <w:rsid w:val="00290049"/>
    <w:rsid w:val="0029352A"/>
    <w:rsid w:val="002938FD"/>
    <w:rsid w:val="00293E95"/>
    <w:rsid w:val="00294665"/>
    <w:rsid w:val="002965F8"/>
    <w:rsid w:val="002A06F5"/>
    <w:rsid w:val="002A179B"/>
    <w:rsid w:val="002A3990"/>
    <w:rsid w:val="002A78DB"/>
    <w:rsid w:val="002B11F2"/>
    <w:rsid w:val="002B306C"/>
    <w:rsid w:val="002C285E"/>
    <w:rsid w:val="002C3E2A"/>
    <w:rsid w:val="002C54D8"/>
    <w:rsid w:val="002C5740"/>
    <w:rsid w:val="002C5B23"/>
    <w:rsid w:val="002C5F7F"/>
    <w:rsid w:val="002D0063"/>
    <w:rsid w:val="002D285F"/>
    <w:rsid w:val="002D4AE6"/>
    <w:rsid w:val="002D51A5"/>
    <w:rsid w:val="002D5D83"/>
    <w:rsid w:val="002D6413"/>
    <w:rsid w:val="002D78BD"/>
    <w:rsid w:val="002E071E"/>
    <w:rsid w:val="002E6738"/>
    <w:rsid w:val="002F2CF6"/>
    <w:rsid w:val="002F30E6"/>
    <w:rsid w:val="002F323B"/>
    <w:rsid w:val="002F49D2"/>
    <w:rsid w:val="002F5D8F"/>
    <w:rsid w:val="002F5DF7"/>
    <w:rsid w:val="003007E9"/>
    <w:rsid w:val="00300F63"/>
    <w:rsid w:val="00302A03"/>
    <w:rsid w:val="00302EF1"/>
    <w:rsid w:val="00303151"/>
    <w:rsid w:val="0030484B"/>
    <w:rsid w:val="00305873"/>
    <w:rsid w:val="00305E56"/>
    <w:rsid w:val="00310D9B"/>
    <w:rsid w:val="00312539"/>
    <w:rsid w:val="00312A7C"/>
    <w:rsid w:val="003165DD"/>
    <w:rsid w:val="003206AD"/>
    <w:rsid w:val="003215BB"/>
    <w:rsid w:val="00321AB6"/>
    <w:rsid w:val="00321C69"/>
    <w:rsid w:val="00324BEB"/>
    <w:rsid w:val="00325DC4"/>
    <w:rsid w:val="0032699D"/>
    <w:rsid w:val="00327709"/>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2A41"/>
    <w:rsid w:val="00373358"/>
    <w:rsid w:val="003734A9"/>
    <w:rsid w:val="003749D0"/>
    <w:rsid w:val="003817C2"/>
    <w:rsid w:val="003821BD"/>
    <w:rsid w:val="00385F8F"/>
    <w:rsid w:val="0039297C"/>
    <w:rsid w:val="00394101"/>
    <w:rsid w:val="003961A8"/>
    <w:rsid w:val="00397B90"/>
    <w:rsid w:val="003A0AF8"/>
    <w:rsid w:val="003A2361"/>
    <w:rsid w:val="003A2D80"/>
    <w:rsid w:val="003A2EE6"/>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5DF4"/>
    <w:rsid w:val="003D6A99"/>
    <w:rsid w:val="003D7227"/>
    <w:rsid w:val="003D76AD"/>
    <w:rsid w:val="003E0109"/>
    <w:rsid w:val="003E0447"/>
    <w:rsid w:val="003E21AD"/>
    <w:rsid w:val="003E2E33"/>
    <w:rsid w:val="003E7DA3"/>
    <w:rsid w:val="003F2113"/>
    <w:rsid w:val="003F35A5"/>
    <w:rsid w:val="003F5A49"/>
    <w:rsid w:val="00400065"/>
    <w:rsid w:val="00410FE8"/>
    <w:rsid w:val="00414963"/>
    <w:rsid w:val="00415251"/>
    <w:rsid w:val="0041630C"/>
    <w:rsid w:val="004164C2"/>
    <w:rsid w:val="004168DC"/>
    <w:rsid w:val="00417BA6"/>
    <w:rsid w:val="00417C44"/>
    <w:rsid w:val="0042116F"/>
    <w:rsid w:val="00421DAD"/>
    <w:rsid w:val="00422693"/>
    <w:rsid w:val="00422C44"/>
    <w:rsid w:val="0042569B"/>
    <w:rsid w:val="0042757A"/>
    <w:rsid w:val="00427866"/>
    <w:rsid w:val="0043223F"/>
    <w:rsid w:val="004369DE"/>
    <w:rsid w:val="004430A5"/>
    <w:rsid w:val="0044367E"/>
    <w:rsid w:val="00446C65"/>
    <w:rsid w:val="004501AD"/>
    <w:rsid w:val="0045273A"/>
    <w:rsid w:val="00453647"/>
    <w:rsid w:val="0045369C"/>
    <w:rsid w:val="00453EAF"/>
    <w:rsid w:val="00454312"/>
    <w:rsid w:val="00454F13"/>
    <w:rsid w:val="00454FF9"/>
    <w:rsid w:val="00460AA2"/>
    <w:rsid w:val="00462399"/>
    <w:rsid w:val="004625C3"/>
    <w:rsid w:val="00465C8A"/>
    <w:rsid w:val="00466085"/>
    <w:rsid w:val="0046668A"/>
    <w:rsid w:val="00466DE8"/>
    <w:rsid w:val="00467D37"/>
    <w:rsid w:val="00475AAD"/>
    <w:rsid w:val="00476772"/>
    <w:rsid w:val="004807D8"/>
    <w:rsid w:val="0048492A"/>
    <w:rsid w:val="00485BF2"/>
    <w:rsid w:val="00486360"/>
    <w:rsid w:val="004870E5"/>
    <w:rsid w:val="00487AC8"/>
    <w:rsid w:val="00490066"/>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67E"/>
    <w:rsid w:val="004C2C97"/>
    <w:rsid w:val="004C3307"/>
    <w:rsid w:val="004C3BFC"/>
    <w:rsid w:val="004C4655"/>
    <w:rsid w:val="004C5A96"/>
    <w:rsid w:val="004D1E7C"/>
    <w:rsid w:val="004D21F9"/>
    <w:rsid w:val="004D3C88"/>
    <w:rsid w:val="004D3EFD"/>
    <w:rsid w:val="004D5193"/>
    <w:rsid w:val="004D6C39"/>
    <w:rsid w:val="004E30ED"/>
    <w:rsid w:val="004E34DF"/>
    <w:rsid w:val="004E6514"/>
    <w:rsid w:val="004F0013"/>
    <w:rsid w:val="004F037B"/>
    <w:rsid w:val="004F1964"/>
    <w:rsid w:val="004F2741"/>
    <w:rsid w:val="004F2776"/>
    <w:rsid w:val="004F4A43"/>
    <w:rsid w:val="004F57EA"/>
    <w:rsid w:val="004F5A1F"/>
    <w:rsid w:val="0050673A"/>
    <w:rsid w:val="00507910"/>
    <w:rsid w:val="005101D8"/>
    <w:rsid w:val="00510938"/>
    <w:rsid w:val="005115F1"/>
    <w:rsid w:val="00513405"/>
    <w:rsid w:val="00516927"/>
    <w:rsid w:val="00517508"/>
    <w:rsid w:val="00520B5C"/>
    <w:rsid w:val="00524AB5"/>
    <w:rsid w:val="0052553C"/>
    <w:rsid w:val="00530955"/>
    <w:rsid w:val="00530EBB"/>
    <w:rsid w:val="00531594"/>
    <w:rsid w:val="005339CE"/>
    <w:rsid w:val="0053608D"/>
    <w:rsid w:val="00536394"/>
    <w:rsid w:val="00536771"/>
    <w:rsid w:val="0054086A"/>
    <w:rsid w:val="00541820"/>
    <w:rsid w:val="00541912"/>
    <w:rsid w:val="00541962"/>
    <w:rsid w:val="00544A1E"/>
    <w:rsid w:val="005454F7"/>
    <w:rsid w:val="00546FF3"/>
    <w:rsid w:val="00552EA1"/>
    <w:rsid w:val="0055372B"/>
    <w:rsid w:val="0055628A"/>
    <w:rsid w:val="00556603"/>
    <w:rsid w:val="00561EBC"/>
    <w:rsid w:val="00562A80"/>
    <w:rsid w:val="005659BA"/>
    <w:rsid w:val="00565F47"/>
    <w:rsid w:val="00571D74"/>
    <w:rsid w:val="00571DC0"/>
    <w:rsid w:val="00574D07"/>
    <w:rsid w:val="00580DD1"/>
    <w:rsid w:val="00581BAF"/>
    <w:rsid w:val="00581D61"/>
    <w:rsid w:val="00583885"/>
    <w:rsid w:val="0058457D"/>
    <w:rsid w:val="00584C51"/>
    <w:rsid w:val="005908A3"/>
    <w:rsid w:val="0059165F"/>
    <w:rsid w:val="00594812"/>
    <w:rsid w:val="00597492"/>
    <w:rsid w:val="005977CD"/>
    <w:rsid w:val="005A198A"/>
    <w:rsid w:val="005A2D99"/>
    <w:rsid w:val="005A556A"/>
    <w:rsid w:val="005A6A03"/>
    <w:rsid w:val="005B1387"/>
    <w:rsid w:val="005B39F5"/>
    <w:rsid w:val="005B3CF3"/>
    <w:rsid w:val="005B4677"/>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E72A8"/>
    <w:rsid w:val="005F13C2"/>
    <w:rsid w:val="005F37DF"/>
    <w:rsid w:val="005F3B95"/>
    <w:rsid w:val="005F559B"/>
    <w:rsid w:val="006013DE"/>
    <w:rsid w:val="00602310"/>
    <w:rsid w:val="00603E1C"/>
    <w:rsid w:val="00606E51"/>
    <w:rsid w:val="0061010F"/>
    <w:rsid w:val="0061337A"/>
    <w:rsid w:val="0061385D"/>
    <w:rsid w:val="00614576"/>
    <w:rsid w:val="00615303"/>
    <w:rsid w:val="006163F2"/>
    <w:rsid w:val="00617AA3"/>
    <w:rsid w:val="00620D63"/>
    <w:rsid w:val="006231AA"/>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4FA"/>
    <w:rsid w:val="00641597"/>
    <w:rsid w:val="00645DC0"/>
    <w:rsid w:val="00660043"/>
    <w:rsid w:val="006658FD"/>
    <w:rsid w:val="0067037C"/>
    <w:rsid w:val="006705E0"/>
    <w:rsid w:val="00670BEC"/>
    <w:rsid w:val="006724DC"/>
    <w:rsid w:val="0067485A"/>
    <w:rsid w:val="006755C2"/>
    <w:rsid w:val="00675C13"/>
    <w:rsid w:val="00680CAD"/>
    <w:rsid w:val="00681F30"/>
    <w:rsid w:val="00682237"/>
    <w:rsid w:val="00682B9C"/>
    <w:rsid w:val="0068357D"/>
    <w:rsid w:val="00683EB7"/>
    <w:rsid w:val="0068713A"/>
    <w:rsid w:val="006941AB"/>
    <w:rsid w:val="0069583C"/>
    <w:rsid w:val="00695B5B"/>
    <w:rsid w:val="006968E4"/>
    <w:rsid w:val="006A0A50"/>
    <w:rsid w:val="006A5038"/>
    <w:rsid w:val="006A535A"/>
    <w:rsid w:val="006A6D02"/>
    <w:rsid w:val="006A7A1E"/>
    <w:rsid w:val="006B009E"/>
    <w:rsid w:val="006B36EE"/>
    <w:rsid w:val="006B752A"/>
    <w:rsid w:val="006B7F97"/>
    <w:rsid w:val="006C29E2"/>
    <w:rsid w:val="006C3937"/>
    <w:rsid w:val="006C57C7"/>
    <w:rsid w:val="006C5E75"/>
    <w:rsid w:val="006C7615"/>
    <w:rsid w:val="006D0A65"/>
    <w:rsid w:val="006D0B4B"/>
    <w:rsid w:val="006D0B9C"/>
    <w:rsid w:val="006D0CD7"/>
    <w:rsid w:val="006D125F"/>
    <w:rsid w:val="006D5C23"/>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2BA"/>
    <w:rsid w:val="00710E18"/>
    <w:rsid w:val="00711D73"/>
    <w:rsid w:val="00712437"/>
    <w:rsid w:val="00712AB9"/>
    <w:rsid w:val="00712FBB"/>
    <w:rsid w:val="007202B8"/>
    <w:rsid w:val="007204CB"/>
    <w:rsid w:val="00725DCC"/>
    <w:rsid w:val="007264E7"/>
    <w:rsid w:val="00731470"/>
    <w:rsid w:val="00731E75"/>
    <w:rsid w:val="00733A4C"/>
    <w:rsid w:val="0073473A"/>
    <w:rsid w:val="00734C96"/>
    <w:rsid w:val="00734FEE"/>
    <w:rsid w:val="00736877"/>
    <w:rsid w:val="00740C34"/>
    <w:rsid w:val="007421A3"/>
    <w:rsid w:val="007458E4"/>
    <w:rsid w:val="00747A74"/>
    <w:rsid w:val="007516CF"/>
    <w:rsid w:val="00752B5B"/>
    <w:rsid w:val="00753B18"/>
    <w:rsid w:val="0075631C"/>
    <w:rsid w:val="00761B09"/>
    <w:rsid w:val="00762130"/>
    <w:rsid w:val="0076307E"/>
    <w:rsid w:val="0076411D"/>
    <w:rsid w:val="00765348"/>
    <w:rsid w:val="00770D90"/>
    <w:rsid w:val="00772F41"/>
    <w:rsid w:val="0077521B"/>
    <w:rsid w:val="00776554"/>
    <w:rsid w:val="007811AB"/>
    <w:rsid w:val="00785E4F"/>
    <w:rsid w:val="0078680E"/>
    <w:rsid w:val="0079173E"/>
    <w:rsid w:val="00792109"/>
    <w:rsid w:val="007928C7"/>
    <w:rsid w:val="00793E36"/>
    <w:rsid w:val="00794D26"/>
    <w:rsid w:val="007A0AF9"/>
    <w:rsid w:val="007A1673"/>
    <w:rsid w:val="007A458B"/>
    <w:rsid w:val="007A47AB"/>
    <w:rsid w:val="007A47D0"/>
    <w:rsid w:val="007A50AA"/>
    <w:rsid w:val="007B00AD"/>
    <w:rsid w:val="007B0760"/>
    <w:rsid w:val="007B58FB"/>
    <w:rsid w:val="007B6A98"/>
    <w:rsid w:val="007B7EE3"/>
    <w:rsid w:val="007C035E"/>
    <w:rsid w:val="007C0EC0"/>
    <w:rsid w:val="007C1F32"/>
    <w:rsid w:val="007C30E7"/>
    <w:rsid w:val="007C6BBE"/>
    <w:rsid w:val="007C75FA"/>
    <w:rsid w:val="007D0F9A"/>
    <w:rsid w:val="007D4329"/>
    <w:rsid w:val="007D4552"/>
    <w:rsid w:val="007D49B8"/>
    <w:rsid w:val="007D57B6"/>
    <w:rsid w:val="007D6457"/>
    <w:rsid w:val="007D660A"/>
    <w:rsid w:val="007D759B"/>
    <w:rsid w:val="007E1CC4"/>
    <w:rsid w:val="007E2D1B"/>
    <w:rsid w:val="007E377A"/>
    <w:rsid w:val="007E422B"/>
    <w:rsid w:val="007E6064"/>
    <w:rsid w:val="007E6F85"/>
    <w:rsid w:val="007F0A36"/>
    <w:rsid w:val="007F5B57"/>
    <w:rsid w:val="007F707C"/>
    <w:rsid w:val="0080097C"/>
    <w:rsid w:val="008030EA"/>
    <w:rsid w:val="00803317"/>
    <w:rsid w:val="008050C5"/>
    <w:rsid w:val="0081221B"/>
    <w:rsid w:val="008134A8"/>
    <w:rsid w:val="00816305"/>
    <w:rsid w:val="0081690D"/>
    <w:rsid w:val="008227C0"/>
    <w:rsid w:val="00822F18"/>
    <w:rsid w:val="008237AE"/>
    <w:rsid w:val="00823B93"/>
    <w:rsid w:val="008245C9"/>
    <w:rsid w:val="00831DA8"/>
    <w:rsid w:val="008338E9"/>
    <w:rsid w:val="0083456A"/>
    <w:rsid w:val="00836C91"/>
    <w:rsid w:val="00837E5D"/>
    <w:rsid w:val="008400A9"/>
    <w:rsid w:val="00844881"/>
    <w:rsid w:val="00851111"/>
    <w:rsid w:val="0085139E"/>
    <w:rsid w:val="00851BAA"/>
    <w:rsid w:val="00854839"/>
    <w:rsid w:val="00855CDD"/>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85F9F"/>
    <w:rsid w:val="0089097C"/>
    <w:rsid w:val="008913F6"/>
    <w:rsid w:val="00893234"/>
    <w:rsid w:val="00893345"/>
    <w:rsid w:val="008978BC"/>
    <w:rsid w:val="00897B8F"/>
    <w:rsid w:val="008A00DE"/>
    <w:rsid w:val="008A1135"/>
    <w:rsid w:val="008A5579"/>
    <w:rsid w:val="008A7105"/>
    <w:rsid w:val="008B0935"/>
    <w:rsid w:val="008B23ED"/>
    <w:rsid w:val="008B3CF6"/>
    <w:rsid w:val="008B6E3E"/>
    <w:rsid w:val="008C22C3"/>
    <w:rsid w:val="008C2872"/>
    <w:rsid w:val="008C4E93"/>
    <w:rsid w:val="008C5174"/>
    <w:rsid w:val="008C5331"/>
    <w:rsid w:val="008C7EF1"/>
    <w:rsid w:val="008D1C6E"/>
    <w:rsid w:val="008D589B"/>
    <w:rsid w:val="008D5F36"/>
    <w:rsid w:val="008D6F39"/>
    <w:rsid w:val="008D74D8"/>
    <w:rsid w:val="008E45DD"/>
    <w:rsid w:val="008E5BEA"/>
    <w:rsid w:val="008E61CF"/>
    <w:rsid w:val="008E62F3"/>
    <w:rsid w:val="008E66A7"/>
    <w:rsid w:val="008F0027"/>
    <w:rsid w:val="008F0BA2"/>
    <w:rsid w:val="008F13F4"/>
    <w:rsid w:val="008F2248"/>
    <w:rsid w:val="008F3946"/>
    <w:rsid w:val="008F429A"/>
    <w:rsid w:val="008F4809"/>
    <w:rsid w:val="008F4885"/>
    <w:rsid w:val="008F69B0"/>
    <w:rsid w:val="008F6DFC"/>
    <w:rsid w:val="00900FA9"/>
    <w:rsid w:val="00901C9D"/>
    <w:rsid w:val="0090254E"/>
    <w:rsid w:val="0090397D"/>
    <w:rsid w:val="00903B8A"/>
    <w:rsid w:val="0090531F"/>
    <w:rsid w:val="00906399"/>
    <w:rsid w:val="00907F35"/>
    <w:rsid w:val="0091449C"/>
    <w:rsid w:val="0091584E"/>
    <w:rsid w:val="00915C0A"/>
    <w:rsid w:val="00916394"/>
    <w:rsid w:val="00916C61"/>
    <w:rsid w:val="00917853"/>
    <w:rsid w:val="00920BE6"/>
    <w:rsid w:val="00920D54"/>
    <w:rsid w:val="00922E91"/>
    <w:rsid w:val="00924A4D"/>
    <w:rsid w:val="009253A2"/>
    <w:rsid w:val="009260F9"/>
    <w:rsid w:val="00926811"/>
    <w:rsid w:val="009328BD"/>
    <w:rsid w:val="0093469C"/>
    <w:rsid w:val="00940D53"/>
    <w:rsid w:val="00942081"/>
    <w:rsid w:val="009447BD"/>
    <w:rsid w:val="0095085C"/>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76946"/>
    <w:rsid w:val="00983A52"/>
    <w:rsid w:val="00984B13"/>
    <w:rsid w:val="00986AE7"/>
    <w:rsid w:val="00987773"/>
    <w:rsid w:val="00987A32"/>
    <w:rsid w:val="00987DB5"/>
    <w:rsid w:val="00993600"/>
    <w:rsid w:val="0099428B"/>
    <w:rsid w:val="00997D11"/>
    <w:rsid w:val="009A0526"/>
    <w:rsid w:val="009A0A96"/>
    <w:rsid w:val="009A271D"/>
    <w:rsid w:val="009A44F9"/>
    <w:rsid w:val="009A70D5"/>
    <w:rsid w:val="009B2507"/>
    <w:rsid w:val="009B2CC9"/>
    <w:rsid w:val="009B2E8E"/>
    <w:rsid w:val="009B3004"/>
    <w:rsid w:val="009B348C"/>
    <w:rsid w:val="009B482A"/>
    <w:rsid w:val="009B7712"/>
    <w:rsid w:val="009B7B83"/>
    <w:rsid w:val="009C0636"/>
    <w:rsid w:val="009C08BA"/>
    <w:rsid w:val="009C6F0A"/>
    <w:rsid w:val="009C6F32"/>
    <w:rsid w:val="009C797B"/>
    <w:rsid w:val="009D02E8"/>
    <w:rsid w:val="009D0C05"/>
    <w:rsid w:val="009D4274"/>
    <w:rsid w:val="009D461F"/>
    <w:rsid w:val="009D5C53"/>
    <w:rsid w:val="009D5D74"/>
    <w:rsid w:val="009D622C"/>
    <w:rsid w:val="009E1268"/>
    <w:rsid w:val="009E1EB4"/>
    <w:rsid w:val="009E5AB3"/>
    <w:rsid w:val="009E61F7"/>
    <w:rsid w:val="009E7BE7"/>
    <w:rsid w:val="009E7EB2"/>
    <w:rsid w:val="009F145D"/>
    <w:rsid w:val="009F17D1"/>
    <w:rsid w:val="009F7CAB"/>
    <w:rsid w:val="00A011F7"/>
    <w:rsid w:val="00A02E6E"/>
    <w:rsid w:val="00A03F22"/>
    <w:rsid w:val="00A064C9"/>
    <w:rsid w:val="00A0662C"/>
    <w:rsid w:val="00A12624"/>
    <w:rsid w:val="00A1407B"/>
    <w:rsid w:val="00A14B13"/>
    <w:rsid w:val="00A14B40"/>
    <w:rsid w:val="00A15BF3"/>
    <w:rsid w:val="00A15C5A"/>
    <w:rsid w:val="00A17FEB"/>
    <w:rsid w:val="00A20772"/>
    <w:rsid w:val="00A214C8"/>
    <w:rsid w:val="00A21567"/>
    <w:rsid w:val="00A215C7"/>
    <w:rsid w:val="00A22C2D"/>
    <w:rsid w:val="00A24B13"/>
    <w:rsid w:val="00A25794"/>
    <w:rsid w:val="00A30451"/>
    <w:rsid w:val="00A3148A"/>
    <w:rsid w:val="00A324AB"/>
    <w:rsid w:val="00A33C11"/>
    <w:rsid w:val="00A34E09"/>
    <w:rsid w:val="00A35B35"/>
    <w:rsid w:val="00A43270"/>
    <w:rsid w:val="00A44A6C"/>
    <w:rsid w:val="00A45819"/>
    <w:rsid w:val="00A4687A"/>
    <w:rsid w:val="00A47350"/>
    <w:rsid w:val="00A47C08"/>
    <w:rsid w:val="00A517BC"/>
    <w:rsid w:val="00A52F47"/>
    <w:rsid w:val="00A54695"/>
    <w:rsid w:val="00A54D83"/>
    <w:rsid w:val="00A61F5C"/>
    <w:rsid w:val="00A63384"/>
    <w:rsid w:val="00A6416E"/>
    <w:rsid w:val="00A71754"/>
    <w:rsid w:val="00A717E7"/>
    <w:rsid w:val="00A71EDB"/>
    <w:rsid w:val="00A74152"/>
    <w:rsid w:val="00A757D1"/>
    <w:rsid w:val="00A76A28"/>
    <w:rsid w:val="00A8284E"/>
    <w:rsid w:val="00A83243"/>
    <w:rsid w:val="00A83CC9"/>
    <w:rsid w:val="00A846DD"/>
    <w:rsid w:val="00A8789C"/>
    <w:rsid w:val="00A90111"/>
    <w:rsid w:val="00A90331"/>
    <w:rsid w:val="00A91528"/>
    <w:rsid w:val="00A95196"/>
    <w:rsid w:val="00A9738A"/>
    <w:rsid w:val="00AA1EFF"/>
    <w:rsid w:val="00AA5115"/>
    <w:rsid w:val="00AB14C7"/>
    <w:rsid w:val="00AB2264"/>
    <w:rsid w:val="00AB4E47"/>
    <w:rsid w:val="00AB67F7"/>
    <w:rsid w:val="00AC054F"/>
    <w:rsid w:val="00AC0715"/>
    <w:rsid w:val="00AC146C"/>
    <w:rsid w:val="00AC1F76"/>
    <w:rsid w:val="00AC2615"/>
    <w:rsid w:val="00AC4770"/>
    <w:rsid w:val="00AC5AB5"/>
    <w:rsid w:val="00AC64D8"/>
    <w:rsid w:val="00AD12D2"/>
    <w:rsid w:val="00AD1729"/>
    <w:rsid w:val="00AD2774"/>
    <w:rsid w:val="00AD31A1"/>
    <w:rsid w:val="00AD3941"/>
    <w:rsid w:val="00AD5261"/>
    <w:rsid w:val="00AE0009"/>
    <w:rsid w:val="00AE357A"/>
    <w:rsid w:val="00AE38B2"/>
    <w:rsid w:val="00AE5A4E"/>
    <w:rsid w:val="00AE76F9"/>
    <w:rsid w:val="00AF3694"/>
    <w:rsid w:val="00AF4B9E"/>
    <w:rsid w:val="00AF6636"/>
    <w:rsid w:val="00B11692"/>
    <w:rsid w:val="00B14116"/>
    <w:rsid w:val="00B146AD"/>
    <w:rsid w:val="00B1486E"/>
    <w:rsid w:val="00B15BDD"/>
    <w:rsid w:val="00B20443"/>
    <w:rsid w:val="00B2550B"/>
    <w:rsid w:val="00B259CE"/>
    <w:rsid w:val="00B25B50"/>
    <w:rsid w:val="00B30680"/>
    <w:rsid w:val="00B31DD7"/>
    <w:rsid w:val="00B32CAF"/>
    <w:rsid w:val="00B33432"/>
    <w:rsid w:val="00B336D5"/>
    <w:rsid w:val="00B35846"/>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07BD"/>
    <w:rsid w:val="00B71457"/>
    <w:rsid w:val="00B750BF"/>
    <w:rsid w:val="00B75217"/>
    <w:rsid w:val="00B776B5"/>
    <w:rsid w:val="00B81AFD"/>
    <w:rsid w:val="00B85442"/>
    <w:rsid w:val="00B90851"/>
    <w:rsid w:val="00B91090"/>
    <w:rsid w:val="00B926B7"/>
    <w:rsid w:val="00B94A3A"/>
    <w:rsid w:val="00B95094"/>
    <w:rsid w:val="00BA5FF1"/>
    <w:rsid w:val="00BA7533"/>
    <w:rsid w:val="00BB7EDF"/>
    <w:rsid w:val="00BC04BD"/>
    <w:rsid w:val="00BC4096"/>
    <w:rsid w:val="00BC44EE"/>
    <w:rsid w:val="00BC65BA"/>
    <w:rsid w:val="00BD55FE"/>
    <w:rsid w:val="00BD75D2"/>
    <w:rsid w:val="00BE0383"/>
    <w:rsid w:val="00BE07A0"/>
    <w:rsid w:val="00BE1C3A"/>
    <w:rsid w:val="00BE611C"/>
    <w:rsid w:val="00BE70FF"/>
    <w:rsid w:val="00BF1079"/>
    <w:rsid w:val="00BF1D2D"/>
    <w:rsid w:val="00BF2768"/>
    <w:rsid w:val="00BF5859"/>
    <w:rsid w:val="00BF6DFF"/>
    <w:rsid w:val="00C00048"/>
    <w:rsid w:val="00C00239"/>
    <w:rsid w:val="00C00828"/>
    <w:rsid w:val="00C068F5"/>
    <w:rsid w:val="00C11842"/>
    <w:rsid w:val="00C12994"/>
    <w:rsid w:val="00C1363B"/>
    <w:rsid w:val="00C14D24"/>
    <w:rsid w:val="00C1538F"/>
    <w:rsid w:val="00C15926"/>
    <w:rsid w:val="00C16139"/>
    <w:rsid w:val="00C17609"/>
    <w:rsid w:val="00C177ED"/>
    <w:rsid w:val="00C2265C"/>
    <w:rsid w:val="00C23420"/>
    <w:rsid w:val="00C3036E"/>
    <w:rsid w:val="00C30985"/>
    <w:rsid w:val="00C33BB9"/>
    <w:rsid w:val="00C3464B"/>
    <w:rsid w:val="00C35140"/>
    <w:rsid w:val="00C35A34"/>
    <w:rsid w:val="00C3715A"/>
    <w:rsid w:val="00C421FF"/>
    <w:rsid w:val="00C425BE"/>
    <w:rsid w:val="00C44F2B"/>
    <w:rsid w:val="00C45A03"/>
    <w:rsid w:val="00C545D3"/>
    <w:rsid w:val="00C54A8C"/>
    <w:rsid w:val="00C56388"/>
    <w:rsid w:val="00C5675C"/>
    <w:rsid w:val="00C571C0"/>
    <w:rsid w:val="00C61233"/>
    <w:rsid w:val="00C61911"/>
    <w:rsid w:val="00C627D8"/>
    <w:rsid w:val="00C62EB5"/>
    <w:rsid w:val="00C65EB9"/>
    <w:rsid w:val="00C66F20"/>
    <w:rsid w:val="00C718D9"/>
    <w:rsid w:val="00C72850"/>
    <w:rsid w:val="00C73632"/>
    <w:rsid w:val="00C75175"/>
    <w:rsid w:val="00C7543D"/>
    <w:rsid w:val="00C759F9"/>
    <w:rsid w:val="00C75EE7"/>
    <w:rsid w:val="00C777E7"/>
    <w:rsid w:val="00C81E92"/>
    <w:rsid w:val="00C82343"/>
    <w:rsid w:val="00C837C1"/>
    <w:rsid w:val="00C91398"/>
    <w:rsid w:val="00C92269"/>
    <w:rsid w:val="00C92ED2"/>
    <w:rsid w:val="00C93239"/>
    <w:rsid w:val="00C94BF8"/>
    <w:rsid w:val="00C94F86"/>
    <w:rsid w:val="00CA180E"/>
    <w:rsid w:val="00CA23F1"/>
    <w:rsid w:val="00CA3D05"/>
    <w:rsid w:val="00CA4DB3"/>
    <w:rsid w:val="00CA574E"/>
    <w:rsid w:val="00CA69FF"/>
    <w:rsid w:val="00CA7FEE"/>
    <w:rsid w:val="00CB0B37"/>
    <w:rsid w:val="00CB0CBA"/>
    <w:rsid w:val="00CB11FA"/>
    <w:rsid w:val="00CC0138"/>
    <w:rsid w:val="00CC1F38"/>
    <w:rsid w:val="00CC4D3B"/>
    <w:rsid w:val="00CC6328"/>
    <w:rsid w:val="00CC69B1"/>
    <w:rsid w:val="00CC722D"/>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2D4"/>
    <w:rsid w:val="00CF38DA"/>
    <w:rsid w:val="00CF6B12"/>
    <w:rsid w:val="00CF6CA8"/>
    <w:rsid w:val="00CF797E"/>
    <w:rsid w:val="00D01079"/>
    <w:rsid w:val="00D018E6"/>
    <w:rsid w:val="00D02059"/>
    <w:rsid w:val="00D02D89"/>
    <w:rsid w:val="00D03B55"/>
    <w:rsid w:val="00D04D65"/>
    <w:rsid w:val="00D063F2"/>
    <w:rsid w:val="00D06DB2"/>
    <w:rsid w:val="00D10FDF"/>
    <w:rsid w:val="00D1111C"/>
    <w:rsid w:val="00D12EF4"/>
    <w:rsid w:val="00D15CC8"/>
    <w:rsid w:val="00D20615"/>
    <w:rsid w:val="00D20796"/>
    <w:rsid w:val="00D2538D"/>
    <w:rsid w:val="00D268C9"/>
    <w:rsid w:val="00D301ED"/>
    <w:rsid w:val="00D313B0"/>
    <w:rsid w:val="00D319D4"/>
    <w:rsid w:val="00D32569"/>
    <w:rsid w:val="00D325E3"/>
    <w:rsid w:val="00D36569"/>
    <w:rsid w:val="00D36FBF"/>
    <w:rsid w:val="00D40062"/>
    <w:rsid w:val="00D405E7"/>
    <w:rsid w:val="00D4133A"/>
    <w:rsid w:val="00D436F6"/>
    <w:rsid w:val="00D440FF"/>
    <w:rsid w:val="00D44DD1"/>
    <w:rsid w:val="00D50BC2"/>
    <w:rsid w:val="00D515C2"/>
    <w:rsid w:val="00D53AD6"/>
    <w:rsid w:val="00D53B9C"/>
    <w:rsid w:val="00D5622E"/>
    <w:rsid w:val="00D570CE"/>
    <w:rsid w:val="00D66F14"/>
    <w:rsid w:val="00D679C1"/>
    <w:rsid w:val="00D67A9D"/>
    <w:rsid w:val="00D72E7C"/>
    <w:rsid w:val="00D7638B"/>
    <w:rsid w:val="00D76DCC"/>
    <w:rsid w:val="00D77CA0"/>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432A"/>
    <w:rsid w:val="00DB6163"/>
    <w:rsid w:val="00DB66A1"/>
    <w:rsid w:val="00DB75D0"/>
    <w:rsid w:val="00DB7C7C"/>
    <w:rsid w:val="00DB7D3B"/>
    <w:rsid w:val="00DC04D3"/>
    <w:rsid w:val="00DC0A19"/>
    <w:rsid w:val="00DC0C8E"/>
    <w:rsid w:val="00DC1BE6"/>
    <w:rsid w:val="00DC758E"/>
    <w:rsid w:val="00DD1317"/>
    <w:rsid w:val="00DD2F1D"/>
    <w:rsid w:val="00DD60CF"/>
    <w:rsid w:val="00DE02C0"/>
    <w:rsid w:val="00DE0C01"/>
    <w:rsid w:val="00DE3797"/>
    <w:rsid w:val="00DE5AB2"/>
    <w:rsid w:val="00DE671D"/>
    <w:rsid w:val="00DE6EFC"/>
    <w:rsid w:val="00DF4497"/>
    <w:rsid w:val="00DF4D3B"/>
    <w:rsid w:val="00DF4E4D"/>
    <w:rsid w:val="00DF5BBF"/>
    <w:rsid w:val="00DF715B"/>
    <w:rsid w:val="00E00C09"/>
    <w:rsid w:val="00E01840"/>
    <w:rsid w:val="00E03760"/>
    <w:rsid w:val="00E03EFD"/>
    <w:rsid w:val="00E05EEC"/>
    <w:rsid w:val="00E0782E"/>
    <w:rsid w:val="00E07EFA"/>
    <w:rsid w:val="00E10D0C"/>
    <w:rsid w:val="00E10E49"/>
    <w:rsid w:val="00E16966"/>
    <w:rsid w:val="00E16B58"/>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26D"/>
    <w:rsid w:val="00E718C8"/>
    <w:rsid w:val="00E7401E"/>
    <w:rsid w:val="00E762FB"/>
    <w:rsid w:val="00E81DDF"/>
    <w:rsid w:val="00E82791"/>
    <w:rsid w:val="00E8332D"/>
    <w:rsid w:val="00E85DFB"/>
    <w:rsid w:val="00E85F74"/>
    <w:rsid w:val="00E865C1"/>
    <w:rsid w:val="00E87CCD"/>
    <w:rsid w:val="00E92C08"/>
    <w:rsid w:val="00E94054"/>
    <w:rsid w:val="00E94B32"/>
    <w:rsid w:val="00E94F48"/>
    <w:rsid w:val="00E95A5B"/>
    <w:rsid w:val="00EA02B6"/>
    <w:rsid w:val="00EA1009"/>
    <w:rsid w:val="00EA39E3"/>
    <w:rsid w:val="00EA50FC"/>
    <w:rsid w:val="00EA6123"/>
    <w:rsid w:val="00EB170B"/>
    <w:rsid w:val="00EB290D"/>
    <w:rsid w:val="00EB632A"/>
    <w:rsid w:val="00EB7D51"/>
    <w:rsid w:val="00EC36BC"/>
    <w:rsid w:val="00ED2203"/>
    <w:rsid w:val="00ED2569"/>
    <w:rsid w:val="00ED25B1"/>
    <w:rsid w:val="00ED2B17"/>
    <w:rsid w:val="00ED7FAF"/>
    <w:rsid w:val="00EE0104"/>
    <w:rsid w:val="00EE07DA"/>
    <w:rsid w:val="00EE2AD2"/>
    <w:rsid w:val="00EE324B"/>
    <w:rsid w:val="00EE56CB"/>
    <w:rsid w:val="00EE6C48"/>
    <w:rsid w:val="00EF0079"/>
    <w:rsid w:val="00EF3E79"/>
    <w:rsid w:val="00EF4E25"/>
    <w:rsid w:val="00EF771A"/>
    <w:rsid w:val="00F009EB"/>
    <w:rsid w:val="00F03DD9"/>
    <w:rsid w:val="00F04AA4"/>
    <w:rsid w:val="00F06A8A"/>
    <w:rsid w:val="00F0761C"/>
    <w:rsid w:val="00F1054C"/>
    <w:rsid w:val="00F11975"/>
    <w:rsid w:val="00F1246B"/>
    <w:rsid w:val="00F243C8"/>
    <w:rsid w:val="00F24E11"/>
    <w:rsid w:val="00F26D6A"/>
    <w:rsid w:val="00F304A9"/>
    <w:rsid w:val="00F30C1A"/>
    <w:rsid w:val="00F31044"/>
    <w:rsid w:val="00F3139D"/>
    <w:rsid w:val="00F33F84"/>
    <w:rsid w:val="00F353F8"/>
    <w:rsid w:val="00F3568E"/>
    <w:rsid w:val="00F35A11"/>
    <w:rsid w:val="00F400ED"/>
    <w:rsid w:val="00F420CC"/>
    <w:rsid w:val="00F43840"/>
    <w:rsid w:val="00F43BBA"/>
    <w:rsid w:val="00F46253"/>
    <w:rsid w:val="00F50479"/>
    <w:rsid w:val="00F507CD"/>
    <w:rsid w:val="00F52083"/>
    <w:rsid w:val="00F52525"/>
    <w:rsid w:val="00F53C91"/>
    <w:rsid w:val="00F56191"/>
    <w:rsid w:val="00F577A8"/>
    <w:rsid w:val="00F6000A"/>
    <w:rsid w:val="00F64BB0"/>
    <w:rsid w:val="00F709AA"/>
    <w:rsid w:val="00F72CCB"/>
    <w:rsid w:val="00F75244"/>
    <w:rsid w:val="00F801B9"/>
    <w:rsid w:val="00F81F02"/>
    <w:rsid w:val="00F8304C"/>
    <w:rsid w:val="00F85A8C"/>
    <w:rsid w:val="00F903F4"/>
    <w:rsid w:val="00F90FCC"/>
    <w:rsid w:val="00F915F1"/>
    <w:rsid w:val="00F91721"/>
    <w:rsid w:val="00F920ED"/>
    <w:rsid w:val="00F95601"/>
    <w:rsid w:val="00FA07E3"/>
    <w:rsid w:val="00FA2E3F"/>
    <w:rsid w:val="00FA5879"/>
    <w:rsid w:val="00FA5CFA"/>
    <w:rsid w:val="00FB04D2"/>
    <w:rsid w:val="00FC3F5D"/>
    <w:rsid w:val="00FD0B60"/>
    <w:rsid w:val="00FD2335"/>
    <w:rsid w:val="00FD29BA"/>
    <w:rsid w:val="00FD2AED"/>
    <w:rsid w:val="00FD739B"/>
    <w:rsid w:val="00FE0E36"/>
    <w:rsid w:val="00FE268E"/>
    <w:rsid w:val="00FE2790"/>
    <w:rsid w:val="00FE639A"/>
    <w:rsid w:val="00FE6EA5"/>
    <w:rsid w:val="00FE76EB"/>
    <w:rsid w:val="00FE7BE9"/>
    <w:rsid w:val="00FF344D"/>
    <w:rsid w:val="00FF39E5"/>
    <w:rsid w:val="00FF3C6E"/>
    <w:rsid w:val="00FF401B"/>
    <w:rsid w:val="00FF463F"/>
    <w:rsid w:val="00FF6E5A"/>
    <w:rsid w:val="00FF7F98"/>
    <w:rsid w:val="01417ED0"/>
    <w:rsid w:val="016531D1"/>
    <w:rsid w:val="04967ABA"/>
    <w:rsid w:val="06124B79"/>
    <w:rsid w:val="07B864D1"/>
    <w:rsid w:val="0B4B5358"/>
    <w:rsid w:val="0B64211D"/>
    <w:rsid w:val="0BE91440"/>
    <w:rsid w:val="0DDB6F15"/>
    <w:rsid w:val="0E0911CC"/>
    <w:rsid w:val="100B7158"/>
    <w:rsid w:val="12A56C4A"/>
    <w:rsid w:val="15186782"/>
    <w:rsid w:val="16D2413C"/>
    <w:rsid w:val="185760F5"/>
    <w:rsid w:val="1B4A1C67"/>
    <w:rsid w:val="1D1C3424"/>
    <w:rsid w:val="1D3F5CF8"/>
    <w:rsid w:val="1DB549D5"/>
    <w:rsid w:val="1E671976"/>
    <w:rsid w:val="1E9602D4"/>
    <w:rsid w:val="1F874D8A"/>
    <w:rsid w:val="20C37B32"/>
    <w:rsid w:val="22392D42"/>
    <w:rsid w:val="25081A96"/>
    <w:rsid w:val="27323D42"/>
    <w:rsid w:val="2AF578DD"/>
    <w:rsid w:val="2AFB0177"/>
    <w:rsid w:val="2B7254AB"/>
    <w:rsid w:val="2B774A68"/>
    <w:rsid w:val="2CD30DAA"/>
    <w:rsid w:val="2F0E715B"/>
    <w:rsid w:val="308C4195"/>
    <w:rsid w:val="31B85401"/>
    <w:rsid w:val="328E14B9"/>
    <w:rsid w:val="32A827E6"/>
    <w:rsid w:val="33590A0D"/>
    <w:rsid w:val="37866565"/>
    <w:rsid w:val="380145D2"/>
    <w:rsid w:val="39BD71D3"/>
    <w:rsid w:val="3A9E1150"/>
    <w:rsid w:val="3AB16C65"/>
    <w:rsid w:val="3B2344B0"/>
    <w:rsid w:val="3C443C71"/>
    <w:rsid w:val="3ED83F87"/>
    <w:rsid w:val="3FDD483D"/>
    <w:rsid w:val="40017D8D"/>
    <w:rsid w:val="403B1435"/>
    <w:rsid w:val="436B0FC0"/>
    <w:rsid w:val="44187FD3"/>
    <w:rsid w:val="446E75ED"/>
    <w:rsid w:val="44C91833"/>
    <w:rsid w:val="45136D0D"/>
    <w:rsid w:val="4823782A"/>
    <w:rsid w:val="492D2D74"/>
    <w:rsid w:val="499524F4"/>
    <w:rsid w:val="4A6B6969"/>
    <w:rsid w:val="4B876EDE"/>
    <w:rsid w:val="4D0A67E3"/>
    <w:rsid w:val="4DA23BF2"/>
    <w:rsid w:val="4DB200A1"/>
    <w:rsid w:val="4E4B7E72"/>
    <w:rsid w:val="4ECE1A55"/>
    <w:rsid w:val="53D05DA1"/>
    <w:rsid w:val="54656664"/>
    <w:rsid w:val="55BD3B21"/>
    <w:rsid w:val="5835613F"/>
    <w:rsid w:val="589635DD"/>
    <w:rsid w:val="5B494DFB"/>
    <w:rsid w:val="5B4F32E3"/>
    <w:rsid w:val="5B734C0E"/>
    <w:rsid w:val="5D111766"/>
    <w:rsid w:val="5D853D9E"/>
    <w:rsid w:val="5ECE01B8"/>
    <w:rsid w:val="5FCB6071"/>
    <w:rsid w:val="61D830B5"/>
    <w:rsid w:val="62200AE8"/>
    <w:rsid w:val="64084829"/>
    <w:rsid w:val="646B48B3"/>
    <w:rsid w:val="65965302"/>
    <w:rsid w:val="67565A36"/>
    <w:rsid w:val="675F549A"/>
    <w:rsid w:val="68815370"/>
    <w:rsid w:val="68B96DFC"/>
    <w:rsid w:val="6A236CE5"/>
    <w:rsid w:val="6C39522C"/>
    <w:rsid w:val="6D866611"/>
    <w:rsid w:val="716606CE"/>
    <w:rsid w:val="71E02129"/>
    <w:rsid w:val="71FD475B"/>
    <w:rsid w:val="740C0E97"/>
    <w:rsid w:val="74F72AA4"/>
    <w:rsid w:val="760D24CD"/>
    <w:rsid w:val="77684DA1"/>
    <w:rsid w:val="77812C28"/>
    <w:rsid w:val="78054671"/>
    <w:rsid w:val="7DC964F0"/>
    <w:rsid w:val="7DCA7617"/>
    <w:rsid w:val="7FE36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29"/>
    <w:qFormat/>
    <w:uiPriority w:val="0"/>
    <w:pPr>
      <w:keepNext/>
      <w:autoSpaceDE w:val="0"/>
      <w:autoSpaceDN w:val="0"/>
      <w:adjustRightInd w:val="0"/>
      <w:jc w:val="center"/>
      <w:outlineLvl w:val="0"/>
    </w:pPr>
    <w:rPr>
      <w:rFonts w:ascii="宋体"/>
      <w:color w:val="000000"/>
      <w:sz w:val="28"/>
      <w:szCs w:val="20"/>
    </w:rPr>
  </w:style>
  <w:style w:type="paragraph" w:styleId="5">
    <w:name w:val="heading 2"/>
    <w:basedOn w:val="6"/>
    <w:next w:val="7"/>
    <w:link w:val="34"/>
    <w:qFormat/>
    <w:uiPriority w:val="0"/>
    <w:pPr>
      <w:outlineLvl w:val="1"/>
    </w:pPr>
    <w:rPr>
      <w:rFonts w:ascii="Arial" w:hAnsi="Arial"/>
    </w:rPr>
  </w:style>
  <w:style w:type="paragraph" w:styleId="6">
    <w:name w:val="heading 3"/>
    <w:basedOn w:val="1"/>
    <w:next w:val="1"/>
    <w:link w:val="36"/>
    <w:semiHidden/>
    <w:unhideWhenUsed/>
    <w:qFormat/>
    <w:uiPriority w:val="9"/>
    <w:pPr>
      <w:spacing w:before="260" w:after="260" w:line="416" w:lineRule="auto"/>
      <w:outlineLvl w:val="2"/>
    </w:pPr>
    <w:rPr>
      <w:sz w:val="32"/>
      <w:szCs w:val="32"/>
    </w:rPr>
  </w:style>
  <w:style w:type="paragraph" w:styleId="7">
    <w:name w:val="heading 4"/>
    <w:basedOn w:val="1"/>
    <w:next w:val="1"/>
    <w:link w:val="37"/>
    <w:qFormat/>
    <w:uiPriority w:val="0"/>
    <w:pPr>
      <w:keepNext/>
      <w:keepLines/>
      <w:spacing w:before="280" w:after="290" w:line="376" w:lineRule="auto"/>
      <w:outlineLvl w:val="3"/>
    </w:pPr>
    <w:rPr>
      <w:rFonts w:ascii="Cambria" w:hAnsi="Cambria"/>
      <w:b/>
      <w:bCs/>
      <w:sz w:val="28"/>
      <w:szCs w:val="28"/>
    </w:rPr>
  </w:style>
  <w:style w:type="paragraph" w:styleId="8">
    <w:name w:val="heading 5"/>
    <w:basedOn w:val="1"/>
    <w:next w:val="9"/>
    <w:qFormat/>
    <w:uiPriority w:val="0"/>
    <w:pPr>
      <w:keepNext/>
      <w:keepLines/>
      <w:numPr>
        <w:ilvl w:val="4"/>
        <w:numId w:val="1"/>
      </w:numPr>
      <w:tabs>
        <w:tab w:val="left" w:pos="371"/>
      </w:tabs>
      <w:spacing w:before="280" w:after="290" w:line="374" w:lineRule="auto"/>
      <w:outlineLvl w:val="4"/>
    </w:pPr>
    <w:rPr>
      <w:b/>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4"/>
    </w:rPr>
  </w:style>
  <w:style w:type="paragraph" w:styleId="3">
    <w:name w:val="Body Text Indent"/>
    <w:basedOn w:val="1"/>
    <w:unhideWhenUsed/>
    <w:qFormat/>
    <w:uiPriority w:val="99"/>
    <w:pPr>
      <w:spacing w:after="120"/>
      <w:ind w:left="420" w:leftChars="200"/>
    </w:pPr>
  </w:style>
  <w:style w:type="paragraph" w:styleId="9">
    <w:name w:val="Normal Indent"/>
    <w:basedOn w:val="1"/>
    <w:qFormat/>
    <w:uiPriority w:val="0"/>
    <w:pPr>
      <w:ind w:firstLine="420" w:firstLineChars="200"/>
    </w:pPr>
  </w:style>
  <w:style w:type="paragraph" w:styleId="10">
    <w:name w:val="annotation text"/>
    <w:basedOn w:val="1"/>
    <w:link w:val="30"/>
    <w:unhideWhenUsed/>
    <w:qFormat/>
    <w:uiPriority w:val="99"/>
    <w:pPr>
      <w:jc w:val="left"/>
    </w:pPr>
  </w:style>
  <w:style w:type="paragraph" w:styleId="11">
    <w:name w:val="Body Text"/>
    <w:basedOn w:val="1"/>
    <w:next w:val="1"/>
    <w:unhideWhenUsed/>
    <w:qFormat/>
    <w:uiPriority w:val="99"/>
    <w:pPr>
      <w:spacing w:after="120"/>
    </w:pPr>
  </w:style>
  <w:style w:type="paragraph" w:styleId="12">
    <w:name w:val="Plain Text"/>
    <w:basedOn w:val="1"/>
    <w:link w:val="33"/>
    <w:qFormat/>
    <w:uiPriority w:val="0"/>
    <w:rPr>
      <w:rFonts w:ascii="宋体" w:hAnsi="Courier New" w:eastAsiaTheme="minorEastAsia" w:cstheme="minorBidi"/>
    </w:rPr>
  </w:style>
  <w:style w:type="paragraph" w:styleId="13">
    <w:name w:val="Date"/>
    <w:basedOn w:val="1"/>
    <w:next w:val="1"/>
    <w:link w:val="25"/>
    <w:qFormat/>
    <w:uiPriority w:val="0"/>
    <w:rPr>
      <w:rFonts w:ascii="宋体" w:hAnsi="Courier New"/>
      <w:kern w:val="0"/>
      <w:sz w:val="32"/>
      <w:szCs w:val="20"/>
    </w:rPr>
  </w:style>
  <w:style w:type="paragraph" w:styleId="14">
    <w:name w:val="Balloon Text"/>
    <w:basedOn w:val="1"/>
    <w:link w:val="26"/>
    <w:semiHidden/>
    <w:unhideWhenUsed/>
    <w:qFormat/>
    <w:uiPriority w:val="99"/>
    <w:rPr>
      <w:sz w:val="18"/>
      <w:szCs w:val="18"/>
    </w:rPr>
  </w:style>
  <w:style w:type="paragraph" w:styleId="15">
    <w:name w:val="footer"/>
    <w:basedOn w:val="1"/>
    <w:link w:val="28"/>
    <w:unhideWhenUsed/>
    <w:qFormat/>
    <w:uiPriority w:val="99"/>
    <w:pPr>
      <w:tabs>
        <w:tab w:val="center" w:pos="4153"/>
        <w:tab w:val="right" w:pos="8306"/>
      </w:tabs>
      <w:snapToGrid w:val="0"/>
      <w:jc w:val="left"/>
    </w:pPr>
    <w:rPr>
      <w:sz w:val="18"/>
      <w:szCs w:val="18"/>
    </w:rPr>
  </w:style>
  <w:style w:type="paragraph" w:styleId="16">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annotation subject"/>
    <w:basedOn w:val="10"/>
    <w:next w:val="10"/>
    <w:link w:val="31"/>
    <w:semiHidden/>
    <w:unhideWhenUsed/>
    <w:qFormat/>
    <w:uiPriority w:val="99"/>
    <w:rPr>
      <w:b/>
      <w:bCs/>
    </w:rPr>
  </w:style>
  <w:style w:type="paragraph" w:styleId="18">
    <w:name w:val="Body Text First Indent"/>
    <w:basedOn w:val="11"/>
    <w:qFormat/>
    <w:uiPriority w:val="0"/>
    <w:pPr>
      <w:ind w:firstLine="420" w:firstLineChars="100"/>
    </w:pPr>
    <w:rPr>
      <w:sz w:val="20"/>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2">
    <w:name w:val="Hyperlink"/>
    <w:qFormat/>
    <w:uiPriority w:val="99"/>
    <w:rPr>
      <w:color w:val="0000FF"/>
      <w:u w:val="single"/>
    </w:rPr>
  </w:style>
  <w:style w:type="character" w:styleId="23">
    <w:name w:val="annotation reference"/>
    <w:basedOn w:val="21"/>
    <w:semiHidden/>
    <w:unhideWhenUsed/>
    <w:qFormat/>
    <w:uiPriority w:val="99"/>
    <w:rPr>
      <w:sz w:val="21"/>
      <w:szCs w:val="21"/>
    </w:rPr>
  </w:style>
  <w:style w:type="character" w:customStyle="1" w:styleId="24">
    <w:name w:val="日期 Char"/>
    <w:basedOn w:val="21"/>
    <w:qFormat/>
    <w:uiPriority w:val="0"/>
    <w:rPr>
      <w:rFonts w:ascii="宋体" w:hAnsi="Courier New" w:eastAsia="宋体" w:cs="Times New Roman"/>
      <w:kern w:val="0"/>
      <w:sz w:val="32"/>
      <w:szCs w:val="20"/>
    </w:rPr>
  </w:style>
  <w:style w:type="character" w:customStyle="1" w:styleId="25">
    <w:name w:val="日期 Char1"/>
    <w:basedOn w:val="21"/>
    <w:link w:val="13"/>
    <w:semiHidden/>
    <w:qFormat/>
    <w:uiPriority w:val="99"/>
    <w:rPr>
      <w:rFonts w:ascii="Calibri" w:hAnsi="Calibri" w:eastAsia="宋体" w:cs="Times New Roman"/>
    </w:rPr>
  </w:style>
  <w:style w:type="character" w:customStyle="1" w:styleId="26">
    <w:name w:val="批注框文本 Char"/>
    <w:basedOn w:val="21"/>
    <w:link w:val="14"/>
    <w:semiHidden/>
    <w:qFormat/>
    <w:uiPriority w:val="99"/>
    <w:rPr>
      <w:rFonts w:ascii="Calibri" w:hAnsi="Calibri" w:eastAsia="宋体" w:cs="Times New Roman"/>
      <w:sz w:val="18"/>
      <w:szCs w:val="18"/>
    </w:rPr>
  </w:style>
  <w:style w:type="character" w:customStyle="1" w:styleId="27">
    <w:name w:val="页眉 Char"/>
    <w:basedOn w:val="21"/>
    <w:link w:val="16"/>
    <w:qFormat/>
    <w:uiPriority w:val="99"/>
    <w:rPr>
      <w:rFonts w:ascii="Calibri" w:hAnsi="Calibri" w:eastAsia="宋体" w:cs="Times New Roman"/>
      <w:sz w:val="18"/>
      <w:szCs w:val="18"/>
    </w:rPr>
  </w:style>
  <w:style w:type="character" w:customStyle="1" w:styleId="28">
    <w:name w:val="页脚 Char"/>
    <w:basedOn w:val="21"/>
    <w:link w:val="15"/>
    <w:qFormat/>
    <w:uiPriority w:val="99"/>
    <w:rPr>
      <w:rFonts w:ascii="Calibri" w:hAnsi="Calibri" w:eastAsia="宋体" w:cs="Times New Roman"/>
      <w:sz w:val="18"/>
      <w:szCs w:val="18"/>
    </w:rPr>
  </w:style>
  <w:style w:type="character" w:customStyle="1" w:styleId="29">
    <w:name w:val="标题 1 Char"/>
    <w:basedOn w:val="21"/>
    <w:link w:val="4"/>
    <w:qFormat/>
    <w:uiPriority w:val="0"/>
    <w:rPr>
      <w:rFonts w:ascii="宋体" w:hAnsi="Calibri" w:eastAsia="宋体" w:cs="Times New Roman"/>
      <w:color w:val="000000"/>
      <w:sz w:val="28"/>
      <w:szCs w:val="20"/>
    </w:rPr>
  </w:style>
  <w:style w:type="character" w:customStyle="1" w:styleId="30">
    <w:name w:val="批注文字 Char"/>
    <w:basedOn w:val="21"/>
    <w:link w:val="10"/>
    <w:qFormat/>
    <w:uiPriority w:val="99"/>
    <w:rPr>
      <w:rFonts w:ascii="Calibri" w:hAnsi="Calibri" w:eastAsia="宋体" w:cs="Times New Roman"/>
    </w:rPr>
  </w:style>
  <w:style w:type="character" w:customStyle="1" w:styleId="31">
    <w:name w:val="批注主题 Char"/>
    <w:basedOn w:val="30"/>
    <w:link w:val="17"/>
    <w:semiHidden/>
    <w:qFormat/>
    <w:uiPriority w:val="99"/>
    <w:rPr>
      <w:rFonts w:ascii="Calibri" w:hAnsi="Calibri" w:eastAsia="宋体" w:cs="Times New Roman"/>
      <w:b/>
      <w:bCs/>
    </w:rPr>
  </w:style>
  <w:style w:type="character" w:customStyle="1" w:styleId="32">
    <w:name w:val="纯文本 Char"/>
    <w:qFormat/>
    <w:uiPriority w:val="0"/>
    <w:rPr>
      <w:rFonts w:ascii="宋体" w:hAnsi="Courier New"/>
    </w:rPr>
  </w:style>
  <w:style w:type="character" w:customStyle="1" w:styleId="33">
    <w:name w:val="纯文本 Char1"/>
    <w:basedOn w:val="21"/>
    <w:link w:val="12"/>
    <w:semiHidden/>
    <w:qFormat/>
    <w:uiPriority w:val="99"/>
    <w:rPr>
      <w:rFonts w:ascii="宋体" w:hAnsi="Courier New" w:eastAsia="宋体" w:cs="Courier New"/>
      <w:szCs w:val="21"/>
    </w:rPr>
  </w:style>
  <w:style w:type="character" w:customStyle="1" w:styleId="34">
    <w:name w:val="标题 2 Char"/>
    <w:basedOn w:val="21"/>
    <w:link w:val="5"/>
    <w:qFormat/>
    <w:uiPriority w:val="0"/>
    <w:rPr>
      <w:rFonts w:ascii="Arial" w:hAnsi="Arial" w:eastAsia="宋体" w:cs="Times New Roman"/>
      <w:b/>
      <w:bCs/>
      <w:sz w:val="32"/>
      <w:szCs w:val="32"/>
    </w:rPr>
  </w:style>
  <w:style w:type="paragraph" w:styleId="35">
    <w:name w:val="List Paragraph"/>
    <w:basedOn w:val="1"/>
    <w:qFormat/>
    <w:uiPriority w:val="34"/>
    <w:pPr>
      <w:ind w:firstLine="420" w:firstLineChars="200"/>
    </w:pPr>
  </w:style>
  <w:style w:type="character" w:customStyle="1" w:styleId="36">
    <w:name w:val="标题 3 Char"/>
    <w:basedOn w:val="21"/>
    <w:link w:val="6"/>
    <w:semiHidden/>
    <w:qFormat/>
    <w:uiPriority w:val="9"/>
    <w:rPr>
      <w:rFonts w:ascii="Calibri" w:hAnsi="Calibri" w:eastAsia="宋体" w:cs="Times New Roman"/>
      <w:b/>
      <w:bCs/>
      <w:sz w:val="32"/>
      <w:szCs w:val="32"/>
    </w:rPr>
  </w:style>
  <w:style w:type="character" w:customStyle="1" w:styleId="37">
    <w:name w:val="标题 4 Char"/>
    <w:basedOn w:val="21"/>
    <w:link w:val="7"/>
    <w:qFormat/>
    <w:uiPriority w:val="0"/>
    <w:rPr>
      <w:rFonts w:ascii="Cambria" w:hAnsi="Cambria" w:eastAsia="宋体" w:cs="Times New Roman"/>
      <w:b/>
      <w:bCs/>
      <w:sz w:val="28"/>
      <w:szCs w:val="28"/>
    </w:rPr>
  </w:style>
  <w:style w:type="paragraph" w:customStyle="1" w:styleId="38">
    <w:name w:val="xl48"/>
    <w:basedOn w:val="1"/>
    <w:qFormat/>
    <w:uiPriority w:val="0"/>
    <w:pPr>
      <w:widowControl/>
      <w:pBdr>
        <w:bottom w:val="single" w:color="auto" w:sz="4" w:space="0"/>
      </w:pBdr>
      <w:spacing w:before="100" w:beforeAutospacing="1" w:after="100" w:afterAutospacing="1"/>
      <w:jc w:val="center"/>
      <w:textAlignment w:val="center"/>
    </w:pPr>
    <w:rPr>
      <w:rFonts w:eastAsia="Arial Unicode MS"/>
      <w:kern w:val="0"/>
      <w:sz w:val="24"/>
      <w:szCs w:val="24"/>
    </w:rPr>
  </w:style>
  <w:style w:type="paragraph" w:customStyle="1" w:styleId="39">
    <w:name w:val="1"/>
    <w:basedOn w:val="1"/>
    <w:next w:val="12"/>
    <w:qFormat/>
    <w:uiPriority w:val="0"/>
    <w:rPr>
      <w:rFonts w:ascii="宋体" w:hAnsi="Courier New"/>
      <w:szCs w:val="20"/>
    </w:rPr>
  </w:style>
  <w:style w:type="paragraph" w:customStyle="1" w:styleId="40">
    <w:name w:val="8"/>
    <w:basedOn w:val="1"/>
    <w:next w:val="12"/>
    <w:qFormat/>
    <w:uiPriority w:val="0"/>
    <w:rPr>
      <w:rFonts w:ascii="宋体" w:hAnsi="Courier New"/>
      <w:szCs w:val="20"/>
    </w:rPr>
  </w:style>
  <w:style w:type="paragraph" w:customStyle="1" w:styleId="41">
    <w:name w:val="_Style 55"/>
    <w:basedOn w:val="1"/>
    <w:next w:val="12"/>
    <w:qFormat/>
    <w:uiPriority w:val="0"/>
    <w:rPr>
      <w:rFonts w:ascii="宋体" w:hAnsi="Courier New"/>
      <w:szCs w:val="20"/>
    </w:rPr>
  </w:style>
  <w:style w:type="paragraph" w:customStyle="1" w:styleId="42">
    <w:name w:val="7"/>
    <w:basedOn w:val="1"/>
    <w:next w:val="12"/>
    <w:link w:val="43"/>
    <w:qFormat/>
    <w:uiPriority w:val="0"/>
    <w:rPr>
      <w:rFonts w:ascii="宋体" w:hAnsi="Courier New"/>
      <w:szCs w:val="20"/>
    </w:rPr>
  </w:style>
  <w:style w:type="character" w:customStyle="1" w:styleId="43">
    <w:name w:val="Char1"/>
    <w:link w:val="42"/>
    <w:qFormat/>
    <w:uiPriority w:val="0"/>
    <w:rPr>
      <w:rFonts w:ascii="宋体" w:hAnsi="Courier New" w:eastAsia="宋体" w:cs="Times New Roman"/>
      <w:szCs w:val="20"/>
    </w:rPr>
  </w:style>
  <w:style w:type="paragraph" w:customStyle="1" w:styleId="44">
    <w:name w:val="列出段落1"/>
    <w:basedOn w:val="1"/>
    <w:qFormat/>
    <w:uiPriority w:val="0"/>
    <w:pPr>
      <w:ind w:firstLine="420" w:firstLineChars="200"/>
    </w:pPr>
    <w:rPr>
      <w:rFonts w:cs="Calibri"/>
      <w:szCs w:val="21"/>
    </w:rPr>
  </w:style>
  <w:style w:type="character" w:customStyle="1" w:styleId="45">
    <w:name w:val="font01"/>
    <w:basedOn w:val="21"/>
    <w:qFormat/>
    <w:uiPriority w:val="0"/>
    <w:rPr>
      <w:rFonts w:hint="eastAsia" w:ascii="宋体" w:hAnsi="宋体" w:eastAsia="宋体" w:cs="宋体"/>
      <w:color w:val="000000"/>
      <w:sz w:val="20"/>
      <w:szCs w:val="20"/>
      <w:u w:val="none"/>
    </w:rPr>
  </w:style>
  <w:style w:type="paragraph" w:customStyle="1" w:styleId="46">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paragraph" w:customStyle="1" w:styleId="47">
    <w:name w:val="Table Paragraph"/>
    <w:basedOn w:val="1"/>
    <w:qFormat/>
    <w:uiPriority w:val="1"/>
    <w:rPr>
      <w:rFonts w:ascii="宋体" w:hAnsi="宋体" w:cs="宋体"/>
      <w:lang w:val="zh-CN" w:bidi="zh-CN"/>
    </w:rPr>
  </w:style>
  <w:style w:type="paragraph" w:customStyle="1" w:styleId="48">
    <w:name w:val="修订1"/>
    <w:hidden/>
    <w:semiHidden/>
    <w:qFormat/>
    <w:uiPriority w:val="99"/>
    <w:rPr>
      <w:rFonts w:ascii="Calibri" w:hAnsi="Calibri" w:eastAsia="宋体" w:cs="Times New Roman"/>
      <w:kern w:val="2"/>
      <w:sz w:val="21"/>
      <w:szCs w:val="22"/>
      <w:lang w:val="en-US" w:eastAsia="zh-CN" w:bidi="ar-SA"/>
    </w:rPr>
  </w:style>
  <w:style w:type="paragraph" w:customStyle="1" w:styleId="49">
    <w:name w:val="修订2"/>
    <w:hidden/>
    <w:semiHidden/>
    <w:qFormat/>
    <w:uiPriority w:val="99"/>
    <w:rPr>
      <w:rFonts w:ascii="Calibri" w:hAnsi="Calibri" w:eastAsia="宋体" w:cs="Times New Roman"/>
      <w:kern w:val="2"/>
      <w:sz w:val="21"/>
      <w:szCs w:val="22"/>
      <w:lang w:val="en-US" w:eastAsia="zh-CN" w:bidi="ar-SA"/>
    </w:rPr>
  </w:style>
  <w:style w:type="paragraph" w:customStyle="1" w:styleId="50">
    <w:name w:val="4"/>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D7EEC3-7E76-446C-8EB1-463BB7E19DB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69</Pages>
  <Words>5587</Words>
  <Characters>31846</Characters>
  <Lines>265</Lines>
  <Paragraphs>74</Paragraphs>
  <TotalTime>67</TotalTime>
  <ScaleCrop>false</ScaleCrop>
  <LinksUpToDate>false</LinksUpToDate>
  <CharactersWithSpaces>37359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2019-10-21T09:39:00Z</dcterms:created>
  <dc:creator>User</dc:creator>
  <cp:lastModifiedBy>mue祢</cp:lastModifiedBy>
  <cp:lastPrinted>2022-11-04T16:35:00Z</cp:lastPrinted>
  <dcterms:modified xsi:type="dcterms:W3CDTF">2022-12-29T03:05:53Z</dcterms:modified>
  <cp:revision>1558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A8FB791AC0A24537BFEDD0481BD25E70</vt:lpwstr>
  </property>
</Properties>
</file>