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3.3pt;height:46.8pt;width:294.8pt;z-index:251659264;mso-width-relative:margin;mso-height-relative:margin;"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fM1x1wAAAAgBAAAPAAAAAAAAAAEAIAAAACIAAABk&#10;cnMvZG93bnJldi54bWxQSwECFAAUAAAACACHTuJAYBctDAcCAAA4BAAADgAAAAAAAAABACAAAAAm&#10;AQAAZHJzL2Uyb0RvYy54bWxQSwUGAAAAAAYABgBZAQAAnwUAAAAA&#10;">
            <v:path/>
            <v:fill focussize="0,0"/>
            <v:stroke color="#FFFFFF" joinstyle="miter"/>
            <v:imagedata o:title=""/>
            <o:lock v:ext="edit"/>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w:r>
      <w:r>
        <w:rPr>
          <w:b/>
          <w:kern w:val="0"/>
          <w:sz w:val="28"/>
          <w:szCs w:val="28"/>
        </w:rPr>
        <w:drawing>
          <wp:inline distT="0" distB="0" distL="0" distR="0">
            <wp:extent cx="552450" cy="476250"/>
            <wp:effectExtent l="57150" t="19050" r="190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更换2台50kW中波发射机及采购配件</w:t>
      </w: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Theme="minorEastAsia" w:hAnsiTheme="minorEastAsia" w:eastAsiaTheme="minorEastAsia"/>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highlight w:val="none"/>
        </w:rPr>
      </w:pPr>
      <w:r>
        <w:rPr>
          <w:rFonts w:hint="eastAsia" w:asciiTheme="minorEastAsia" w:hAnsiTheme="minorEastAsia" w:eastAsiaTheme="minorEastAsia"/>
          <w:b/>
          <w:snapToGrid w:val="0"/>
          <w:kern w:val="0"/>
          <w:sz w:val="32"/>
          <w:highlight w:val="none"/>
        </w:rPr>
        <w:t>项目编号：SZDL2024000633</w:t>
      </w:r>
    </w:p>
    <w:p>
      <w:pPr>
        <w:adjustRightInd w:val="0"/>
        <w:snapToGrid w:val="0"/>
        <w:spacing w:line="300" w:lineRule="auto"/>
        <w:jc w:val="center"/>
        <w:rPr>
          <w:rFonts w:asciiTheme="minorEastAsia" w:hAnsiTheme="minorEastAsia" w:eastAsiaTheme="minorEastAsia"/>
          <w:b/>
          <w:snapToGrid w:val="0"/>
          <w:kern w:val="0"/>
          <w:sz w:val="18"/>
          <w:szCs w:val="18"/>
        </w:rPr>
      </w:pPr>
    </w:p>
    <w:p>
      <w:pPr>
        <w:adjustRightInd w:val="0"/>
        <w:snapToGrid w:val="0"/>
        <w:spacing w:line="300" w:lineRule="auto"/>
        <w:jc w:val="center"/>
        <w:rPr>
          <w:rFonts w:asciiTheme="minorEastAsia" w:hAnsiTheme="minorEastAsia" w:eastAsiaTheme="minorEastAsia"/>
          <w:b/>
          <w:snapToGrid w:val="0"/>
          <w:kern w:val="0"/>
          <w:sz w:val="44"/>
        </w:rPr>
      </w:pPr>
    </w:p>
    <w:p>
      <w:pPr>
        <w:adjustRightInd w:val="0"/>
        <w:snapToGrid w:val="0"/>
        <w:spacing w:line="300" w:lineRule="auto"/>
        <w:jc w:val="center"/>
        <w:rPr>
          <w:rFonts w:asciiTheme="minorEastAsia" w:hAnsiTheme="minorEastAsia" w:eastAsiaTheme="minorEastAsia"/>
          <w:b/>
          <w:snapToGrid w:val="0"/>
          <w:kern w:val="0"/>
          <w:sz w:val="44"/>
        </w:rPr>
      </w:pPr>
      <w:r>
        <w:rPr>
          <w:rFonts w:asciiTheme="minorEastAsia" w:hAnsiTheme="minorEastAsia" w:eastAsiaTheme="minorEastAsia"/>
          <w:b/>
          <w:snapToGrid w:val="0"/>
          <w:kern w:val="0"/>
          <w:sz w:val="44"/>
        </w:rPr>
        <w:t xml:space="preserve"> </w:t>
      </w:r>
    </w:p>
    <w:p>
      <w:pPr>
        <w:pStyle w:val="24"/>
        <w:adjustRightInd w:val="0"/>
        <w:snapToGrid w:val="0"/>
        <w:spacing w:line="300" w:lineRule="auto"/>
        <w:jc w:val="center"/>
        <w:rPr>
          <w:rFonts w:asciiTheme="minorEastAsia" w:hAnsiTheme="minorEastAsia" w:eastAsiaTheme="minorEastAsia"/>
          <w:b/>
          <w:snapToGrid w:val="0"/>
          <w:sz w:val="30"/>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4"/>
        <w:adjustRightInd w:val="0"/>
        <w:snapToGrid w:val="0"/>
        <w:spacing w:line="300" w:lineRule="auto"/>
        <w:jc w:val="center"/>
        <w:rPr>
          <w:sz w:val="40"/>
          <w:szCs w:val="40"/>
        </w:rPr>
      </w:pPr>
      <w:r>
        <w:rPr>
          <w:rFonts w:hint="eastAsia" w:asciiTheme="minorEastAsia" w:hAnsiTheme="minorEastAsia" w:eastAsiaTheme="minorEastAsia"/>
          <w:b/>
          <w:snapToGrid w:val="0"/>
          <w:sz w:val="30"/>
        </w:rPr>
        <w:t>二〇二四年</w:t>
      </w:r>
      <w:r>
        <w:rPr>
          <w:rFonts w:hint="eastAsia" w:asciiTheme="minorEastAsia" w:hAnsiTheme="minorEastAsia" w:eastAsiaTheme="minorEastAsia"/>
          <w:b/>
          <w:snapToGrid w:val="0"/>
          <w:sz w:val="30"/>
          <w:lang w:val="en-US" w:eastAsia="zh-CN"/>
        </w:rPr>
        <w:t>四</w:t>
      </w:r>
      <w:r>
        <w:rPr>
          <w:rFonts w:hint="eastAsia" w:asciiTheme="minorEastAsia" w:hAnsiTheme="minorEastAsia" w:eastAsiaTheme="minorEastAsia"/>
          <w:b/>
          <w:snapToGrid w:val="0"/>
          <w:sz w:val="30"/>
        </w:rPr>
        <w:t>月</w:t>
      </w:r>
      <w:r>
        <w:rPr>
          <w:sz w:val="40"/>
          <w:szCs w:val="40"/>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仿宋" w:hAnsi="仿宋" w:eastAsia="仿宋"/>
          <w:sz w:val="24"/>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一、《深圳经济特区政府采购条例》</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第五十七条</w:t>
      </w:r>
      <w:r>
        <w:rPr>
          <w:rFonts w:asciiTheme="minorEastAsia" w:hAnsiTheme="minorEastAsia" w:eastAsiaTheme="minorEastAsia"/>
          <w:szCs w:val="21"/>
        </w:rPr>
        <w:t xml:space="preserve"> </w:t>
      </w:r>
      <w:r>
        <w:rPr>
          <w:rFonts w:hint="eastAsia" w:asciiTheme="minorEastAsia" w:hAnsiTheme="minorEastAsia" w:eastAsiaTheme="minorEastAsia"/>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（一）在采购活动中应当回避而未回避的；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（二）未按本条例规定签订、履行采购合同，造成严重后果的；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（三）隐瞒真实情况，提供虚假资料的；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（四）以非法手段排斥其他供应商参与竞争的；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（五）与其他采购参加人串通投标的；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（六）恶意投诉的；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（七）向采购项目相关人行贿或者提供其他不当利益的；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（八）阻碍、抗拒主管部门监督检查的；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（九）其他违反本条例规定的行为。</w:t>
      </w:r>
    </w:p>
    <w:p>
      <w:pPr>
        <w:widowControl/>
        <w:spacing w:after="120"/>
        <w:jc w:val="left"/>
        <w:rPr>
          <w:rFonts w:eastAsiaTheme="minorEastAsia"/>
          <w:kern w:val="0"/>
          <w:sz w:val="24"/>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二、《深圳经济特区政府采购条例实施细则》</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第七十五条 供应商有下列情形的，属于采购条例所称的串通投标行为，按照采购条例第五十七条有关规定处理：</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（一）投标供应商之间相互约定给予未中标的供应商利益补偿；</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（三）不同投标供应商的投标文件由同一单位或者同一人编制，或者由同一人分阶段参与编制的；</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（四）不同投标供应商的投标文件或部分投标文件相互混装；</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（五）不同投标供应商的投标文件内容存在非正常一致；</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（六）由同一单位工作人员为两家以上（含两家）供应商进行同一项投标活动的；</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（七）主管部门依照法律、法规认定的其他情形。</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第七十七条 供应商有下列情形之一的，属于隐瞒真实情况，提供虚假资料，按照采购条例第五十七的有关规定处理：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440" w:lineRule="exact"/>
        <w:ind w:firstLine="371" w:firstLineChars="177"/>
        <w:rPr>
          <w:rFonts w:asciiTheme="minorEastAsia" w:hAnsiTheme="minorEastAsia" w:eastAsiaTheme="minorEastAsia"/>
          <w:szCs w:val="21"/>
        </w:rPr>
      </w:pPr>
      <w:r>
        <w:rPr>
          <w:rFonts w:hint="eastAsia" w:asciiTheme="minorEastAsia" w:hAnsiTheme="minorEastAsia" w:eastAsiaTheme="minorEastAsia"/>
          <w:szCs w:val="21"/>
        </w:rPr>
        <w:t>投标供应商不能提供项目负责人或者主要技术人员的劳动合同、社会保险等劳动关系证明材料的，视为存在前款第（三）项规定的情形。</w:t>
      </w:r>
    </w:p>
    <w:p>
      <w:pPr>
        <w:widowControl/>
        <w:spacing w:after="120"/>
        <w:jc w:val="left"/>
        <w:rPr>
          <w:rFonts w:eastAsiaTheme="minorEastAsia"/>
          <w:kern w:val="0"/>
          <w:sz w:val="24"/>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三、《中华人民共和国政府采购法实施条例》</w:t>
      </w:r>
    </w:p>
    <w:p>
      <w:pPr>
        <w:spacing w:line="440" w:lineRule="exact"/>
        <w:ind w:firstLine="371" w:firstLineChars="177"/>
        <w:rPr>
          <w:rFonts w:asciiTheme="minorEastAsia" w:hAnsiTheme="minorEastAsia" w:eastAsiaTheme="minorEastAsia"/>
          <w:szCs w:val="21"/>
        </w:rPr>
      </w:pPr>
      <w:r>
        <w:rPr>
          <w:rFonts w:hint="eastAsia" w:asciiTheme="minorEastAsia" w:hAnsiTheme="minorEastAsia" w:eastAsiaTheme="minorEastAsia"/>
          <w:szCs w:val="21"/>
        </w:rPr>
        <w:t>第十八条 单位负责人为同一人或者存在直接控股、管理关系的不同供应商，不得参加同一合同项下的政府采购活动。</w:t>
      </w:r>
    </w:p>
    <w:p>
      <w:pPr>
        <w:spacing w:line="440" w:lineRule="exact"/>
        <w:ind w:firstLine="371" w:firstLineChars="177"/>
        <w:rPr>
          <w:rFonts w:asciiTheme="minorEastAsia" w:hAnsiTheme="minorEastAsia" w:eastAsiaTheme="minorEastAsia"/>
          <w:szCs w:val="21"/>
        </w:rPr>
      </w:pPr>
      <w:r>
        <w:rPr>
          <w:rFonts w:hint="eastAsia" w:asciiTheme="minorEastAsia" w:hAnsiTheme="minorEastAsia" w:eastAsiaTheme="minorEastAsia"/>
          <w:szCs w:val="21"/>
        </w:rPr>
        <w:t>除单一来源采购项目外，为采购项目提供整体设计、规范编制或者项目管理、监理、检测等服务的供应商，不得再参加该采购项目的其他采购活动。</w:t>
      </w:r>
    </w:p>
    <w:p>
      <w:pPr>
        <w:spacing w:line="440" w:lineRule="exact"/>
        <w:ind w:firstLine="373" w:firstLineChars="177"/>
        <w:rPr>
          <w:rFonts w:asciiTheme="minorEastAsia" w:hAnsiTheme="minorEastAsia" w:eastAsiaTheme="minorEastAsia"/>
          <w:b/>
          <w:color w:val="FF0000"/>
          <w:szCs w:val="21"/>
        </w:rPr>
      </w:pPr>
    </w:p>
    <w:p>
      <w:pPr>
        <w:spacing w:line="440" w:lineRule="exact"/>
        <w:ind w:firstLine="373" w:firstLineChars="17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投标供应商涉嫌存在串通投标等违法行为的，将书面报告财政主管部门依法处理。</w:t>
      </w:r>
    </w:p>
    <w:p>
      <w:pPr>
        <w:pStyle w:val="37"/>
        <w:spacing w:after="1134"/>
        <w:jc w:val="center"/>
        <w:outlineLvl w:val="1"/>
        <w:rPr>
          <w:sz w:val="40"/>
          <w:szCs w:val="40"/>
        </w:rPr>
      </w:pPr>
    </w:p>
    <w:p>
      <w:pPr>
        <w:widowControl/>
        <w:jc w:val="left"/>
        <w:rPr>
          <w:sz w:val="40"/>
          <w:szCs w:val="40"/>
        </w:rPr>
      </w:pPr>
      <w:r>
        <w:rPr>
          <w:sz w:val="40"/>
          <w:szCs w:val="40"/>
        </w:rPr>
        <w:br w:type="page"/>
      </w:r>
    </w:p>
    <w:p>
      <w:pPr>
        <w:pStyle w:val="37"/>
        <w:spacing w:after="480"/>
        <w:jc w:val="center"/>
        <w:outlineLvl w:val="1"/>
        <w:rPr>
          <w:rFonts w:hint="eastAsia" w:eastAsia="宋体"/>
          <w:sz w:val="40"/>
          <w:szCs w:val="40"/>
          <w:lang w:eastAsia="zh-CN"/>
        </w:rPr>
      </w:pPr>
      <w:r>
        <w:rPr>
          <w:rFonts w:hint="eastAsia"/>
          <w:sz w:val="40"/>
          <w:szCs w:val="40"/>
          <w:lang w:eastAsia="zh-CN"/>
        </w:rPr>
        <w:t>更换2台50kW中波发射机及采购配件</w:t>
      </w:r>
    </w:p>
    <w:p>
      <w:pPr>
        <w:pStyle w:val="37"/>
        <w:spacing w:after="480"/>
        <w:jc w:val="center"/>
        <w:outlineLvl w:val="1"/>
        <w:rPr>
          <w:rFonts w:ascii="黑体" w:hAnsi="黑体" w:eastAsia="黑体"/>
          <w:sz w:val="40"/>
          <w:szCs w:val="40"/>
        </w:rPr>
      </w:pPr>
      <w:r>
        <w:rPr>
          <w:rFonts w:hint="eastAsia" w:ascii="黑体" w:hAnsi="黑体" w:eastAsia="黑体"/>
          <w:sz w:val="40"/>
          <w:szCs w:val="40"/>
        </w:rPr>
        <w:t>招标文件信息</w:t>
      </w:r>
    </w:p>
    <w:tbl>
      <w:tblPr>
        <w:tblStyle w:val="42"/>
        <w:tblW w:w="7938" w:type="dxa"/>
        <w:jc w:val="center"/>
        <w:tblCellSpacing w:w="0" w:type="dxa"/>
        <w:tblLayout w:type="autofit"/>
        <w:tblCellMar>
          <w:top w:w="45" w:type="dxa"/>
          <w:left w:w="45" w:type="dxa"/>
          <w:bottom w:w="45" w:type="dxa"/>
          <w:right w:w="45" w:type="dxa"/>
        </w:tblCellMar>
      </w:tblPr>
      <w:tblGrid>
        <w:gridCol w:w="2722"/>
        <w:gridCol w:w="5216"/>
      </w:tblGrid>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asciiTheme="minorEastAsia" w:hAnsiTheme="minorEastAsia" w:eastAsiaTheme="minorEastAsia"/>
                <w:sz w:val="30"/>
                <w:szCs w:val="30"/>
                <w:highlight w:val="none"/>
              </w:rPr>
            </w:pPr>
            <w:r>
              <w:rPr>
                <w:rFonts w:asciiTheme="minorEastAsia" w:hAnsiTheme="minorEastAsia" w:eastAsiaTheme="minorEastAsia"/>
                <w:sz w:val="30"/>
                <w:szCs w:val="30"/>
                <w:highlight w:val="none"/>
              </w:rPr>
              <w:t>项目编号：</w:t>
            </w:r>
          </w:p>
        </w:tc>
        <w:tc>
          <w:tcPr>
            <w:tcW w:w="0" w:type="auto"/>
            <w:vAlign w:val="center"/>
          </w:tcPr>
          <w:p>
            <w:pPr>
              <w:jc w:val="left"/>
              <w:rPr>
                <w:rFonts w:asciiTheme="minorEastAsia" w:hAnsiTheme="minorEastAsia" w:eastAsiaTheme="minorEastAsia"/>
                <w:sz w:val="30"/>
                <w:szCs w:val="30"/>
                <w:highlight w:val="none"/>
              </w:rPr>
            </w:pPr>
            <w:r>
              <w:rPr>
                <w:rFonts w:asciiTheme="minorEastAsia" w:hAnsiTheme="minorEastAsia" w:eastAsiaTheme="minorEastAsia"/>
                <w:sz w:val="30"/>
                <w:szCs w:val="30"/>
                <w:highlight w:val="none"/>
              </w:rPr>
              <w:t>SZDL2024000633</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asciiTheme="minorEastAsia" w:hAnsiTheme="minorEastAsia" w:eastAsiaTheme="minorEastAsia"/>
                <w:sz w:val="30"/>
                <w:szCs w:val="30"/>
              </w:rPr>
            </w:pPr>
            <w:r>
              <w:rPr>
                <w:rFonts w:asciiTheme="minorEastAsia" w:hAnsiTheme="minorEastAsia" w:eastAsiaTheme="minorEastAsia"/>
                <w:sz w:val="30"/>
                <w:szCs w:val="30"/>
              </w:rPr>
              <w:t>项目名称：</w:t>
            </w:r>
          </w:p>
        </w:tc>
        <w:tc>
          <w:tcPr>
            <w:tcW w:w="0" w:type="auto"/>
            <w:vAlign w:val="center"/>
          </w:tcPr>
          <w:p>
            <w:pPr>
              <w:jc w:val="left"/>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t>更换2台50kW中波发射机及采购配件</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asciiTheme="minorEastAsia" w:hAnsiTheme="minorEastAsia" w:eastAsiaTheme="minorEastAsia"/>
                <w:sz w:val="30"/>
                <w:szCs w:val="30"/>
              </w:rPr>
            </w:pPr>
            <w:r>
              <w:rPr>
                <w:rFonts w:asciiTheme="minorEastAsia" w:hAnsiTheme="minorEastAsia" w:eastAsiaTheme="minorEastAsia"/>
                <w:sz w:val="30"/>
                <w:szCs w:val="30"/>
              </w:rPr>
              <w:t>包 号：</w:t>
            </w:r>
          </w:p>
        </w:tc>
        <w:tc>
          <w:tcPr>
            <w:tcW w:w="0" w:type="auto"/>
            <w:vAlign w:val="center"/>
          </w:tcPr>
          <w:p>
            <w:pPr>
              <w:jc w:val="left"/>
              <w:rPr>
                <w:rFonts w:asciiTheme="minorEastAsia" w:hAnsiTheme="minorEastAsia" w:eastAsiaTheme="minorEastAsia"/>
                <w:sz w:val="30"/>
                <w:szCs w:val="30"/>
              </w:rPr>
            </w:pPr>
            <w:r>
              <w:rPr>
                <w:rFonts w:asciiTheme="minorEastAsia" w:hAnsiTheme="minorEastAsia" w:eastAsiaTheme="minorEastAsia"/>
                <w:sz w:val="30"/>
                <w:szCs w:val="30"/>
              </w:rPr>
              <w:t>A</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sz w:val="30"/>
                <w:szCs w:val="30"/>
              </w:rPr>
            </w:pPr>
            <w:r>
              <w:rPr>
                <w:sz w:val="30"/>
                <w:szCs w:val="30"/>
              </w:rPr>
              <w:t>项目类型：</w:t>
            </w:r>
          </w:p>
        </w:tc>
        <w:tc>
          <w:tcPr>
            <w:tcW w:w="0" w:type="auto"/>
            <w:vAlign w:val="center"/>
          </w:tcPr>
          <w:p>
            <w:pPr>
              <w:jc w:val="left"/>
              <w:rPr>
                <w:sz w:val="30"/>
                <w:szCs w:val="30"/>
              </w:rPr>
            </w:pPr>
            <w:r>
              <w:rPr>
                <w:sz w:val="30"/>
                <w:szCs w:val="30"/>
              </w:rPr>
              <w:t>货物类</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sz w:val="30"/>
                <w:szCs w:val="30"/>
              </w:rPr>
            </w:pPr>
            <w:r>
              <w:rPr>
                <w:sz w:val="30"/>
                <w:szCs w:val="30"/>
              </w:rPr>
              <w:t>采购方式：</w:t>
            </w:r>
          </w:p>
        </w:tc>
        <w:tc>
          <w:tcPr>
            <w:tcW w:w="0" w:type="auto"/>
            <w:vAlign w:val="center"/>
          </w:tcPr>
          <w:p>
            <w:pPr>
              <w:jc w:val="left"/>
              <w:rPr>
                <w:sz w:val="30"/>
                <w:szCs w:val="30"/>
              </w:rPr>
            </w:pPr>
            <w:r>
              <w:rPr>
                <w:sz w:val="30"/>
                <w:szCs w:val="30"/>
              </w:rPr>
              <w:t>公开招标</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sz w:val="30"/>
                <w:szCs w:val="30"/>
              </w:rPr>
            </w:pPr>
            <w:r>
              <w:rPr>
                <w:sz w:val="30"/>
                <w:szCs w:val="30"/>
              </w:rPr>
              <w:t>货币类型：</w:t>
            </w:r>
          </w:p>
        </w:tc>
        <w:tc>
          <w:tcPr>
            <w:tcW w:w="0" w:type="auto"/>
            <w:vAlign w:val="center"/>
          </w:tcPr>
          <w:p>
            <w:pPr>
              <w:jc w:val="left"/>
              <w:rPr>
                <w:sz w:val="30"/>
                <w:szCs w:val="30"/>
              </w:rPr>
            </w:pPr>
            <w:r>
              <w:rPr>
                <w:sz w:val="30"/>
                <w:szCs w:val="30"/>
              </w:rPr>
              <w:t>人民币</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sz w:val="30"/>
                <w:szCs w:val="30"/>
              </w:rPr>
            </w:pPr>
            <w:r>
              <w:rPr>
                <w:sz w:val="30"/>
                <w:szCs w:val="30"/>
              </w:rPr>
              <w:t>评标方法：</w:t>
            </w:r>
          </w:p>
        </w:tc>
        <w:tc>
          <w:tcPr>
            <w:tcW w:w="0" w:type="auto"/>
            <w:vAlign w:val="center"/>
          </w:tcPr>
          <w:p>
            <w:pPr>
              <w:jc w:val="left"/>
              <w:rPr>
                <w:sz w:val="30"/>
                <w:szCs w:val="30"/>
              </w:rPr>
            </w:pPr>
            <w:r>
              <w:rPr>
                <w:sz w:val="30"/>
                <w:szCs w:val="30"/>
              </w:rPr>
              <w:t>综合评分法（新价格分算法）</w:t>
            </w:r>
          </w:p>
        </w:tc>
      </w:tr>
    </w:tbl>
    <w:p>
      <w:pPr>
        <w:pStyle w:val="37"/>
        <w:spacing w:afterLines="50"/>
        <w:jc w:val="center"/>
        <w:outlineLvl w:val="1"/>
        <w:rPr>
          <w:rFonts w:ascii="黑体" w:hAnsi="黑体" w:eastAsia="黑体"/>
          <w:sz w:val="40"/>
          <w:szCs w:val="40"/>
        </w:rPr>
      </w:pPr>
      <w:r>
        <w:rPr>
          <w:rFonts w:hint="eastAsia" w:ascii="黑体" w:hAnsi="黑体" w:eastAsia="黑体"/>
          <w:sz w:val="40"/>
          <w:szCs w:val="40"/>
        </w:rPr>
        <w:t>资格性审查表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sz w:val="28"/>
                <w:szCs w:val="28"/>
              </w:rPr>
            </w:pPr>
            <w:r>
              <w:rPr>
                <w:sz w:val="28"/>
                <w:szCs w:val="28"/>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p>
        </w:tc>
        <w:tc>
          <w:tcPr>
            <w:tcW w:w="0" w:type="auto"/>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投标人具备招标文件所列的资格要求，且提交相应的资格证明资料（详见招标公告申请人的资格要求）</w:t>
            </w:r>
          </w:p>
        </w:tc>
      </w:tr>
    </w:tbl>
    <w:p>
      <w:pPr>
        <w:pStyle w:val="37"/>
        <w:spacing w:before="280" w:afterLines="50"/>
        <w:jc w:val="center"/>
        <w:outlineLvl w:val="1"/>
        <w:rPr>
          <w:rFonts w:ascii="黑体" w:hAnsi="黑体" w:eastAsia="黑体"/>
          <w:sz w:val="40"/>
          <w:szCs w:val="40"/>
        </w:rPr>
      </w:pPr>
      <w:r>
        <w:rPr>
          <w:rFonts w:hint="eastAsia" w:ascii="黑体" w:hAnsi="黑体" w:eastAsia="黑体"/>
          <w:sz w:val="40"/>
          <w:szCs w:val="40"/>
        </w:rPr>
        <w:t>符合性审查表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1</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szCs w:val="21"/>
              </w:rPr>
              <w:t>未</w:t>
            </w:r>
            <w:r>
              <w:rPr>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2</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对同一项目投标时，</w:t>
            </w:r>
            <w:r>
              <w:rPr>
                <w:rFonts w:hint="eastAsia"/>
                <w:szCs w:val="21"/>
              </w:rPr>
              <w:t>未</w:t>
            </w:r>
            <w:r>
              <w:rPr>
                <w:szCs w:val="21"/>
              </w:rPr>
              <w:t>提供两套</w:t>
            </w:r>
            <w:r>
              <w:rPr>
                <w:rFonts w:hint="eastAsia"/>
                <w:szCs w:val="21"/>
              </w:rPr>
              <w:t>及</w:t>
            </w:r>
            <w:r>
              <w:rPr>
                <w:szCs w:val="21"/>
              </w:rPr>
              <w:t>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3</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分项报价或投标总价</w:t>
            </w:r>
            <w:r>
              <w:rPr>
                <w:rFonts w:hint="eastAsia"/>
                <w:szCs w:val="21"/>
              </w:rPr>
              <w:t>未超过</w:t>
            </w:r>
            <w:r>
              <w:rPr>
                <w:szCs w:val="21"/>
              </w:rPr>
              <w:t>预算金额（最高投标限价）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4</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szCs w:val="21"/>
              </w:rPr>
              <w:t>如评标委员会认为投标人的报价明显低于其他通过符合性审查投标人的报价，有可能影响产品质量或者不能诚信履约的，应当要求其在评标现场合理的时间内提供书面说明，必要时提交相关证明材料；投标人应证明其报价合理性（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5</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投标报价</w:t>
            </w:r>
            <w:r>
              <w:rPr>
                <w:rFonts w:hint="eastAsia"/>
                <w:szCs w:val="21"/>
              </w:rPr>
              <w:t>满足招标文件报价要求且无</w:t>
            </w:r>
            <w:r>
              <w:rPr>
                <w:szCs w:val="21"/>
              </w:rPr>
              <w:t>严重缺漏项目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szCs w:val="21"/>
              </w:rPr>
              <w:t>6</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所投产品、工程、服务在商务、技术等方面实质性满足招标文件要求（是否实质性满足招标文件要求，由评标委员会根据《</w:t>
            </w:r>
            <w:r>
              <w:rPr>
                <w:rFonts w:hint="eastAsia"/>
                <w:szCs w:val="21"/>
              </w:rPr>
              <w:t>实质性条款响应情况表</w:t>
            </w:r>
            <w:r>
              <w:rPr>
                <w:szCs w:val="21"/>
              </w:rPr>
              <w:t>》做出评判）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szCs w:val="21"/>
              </w:rPr>
              <w:t>7</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按招标文件所提供的样式填写《投标函》；按招标文件所提供的《政府采购投标及履约承诺函》进行承诺；</w:t>
            </w:r>
            <w:r>
              <w:rPr>
                <w:rFonts w:hint="eastAsia"/>
                <w:szCs w:val="21"/>
              </w:rPr>
              <w:t>并</w:t>
            </w:r>
            <w:r>
              <w:rPr>
                <w:szCs w:val="21"/>
              </w:rPr>
              <w:t>按招标文件对投标文件组成的要求提供投标文件（投标文件组成完整）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szCs w:val="21"/>
              </w:rPr>
              <w:t>8</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szCs w:val="21"/>
              </w:rPr>
              <w:t>投标文件不存在列放位置错误，导致属于信息公开内容没有被公开的情形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szCs w:val="21"/>
              </w:rPr>
              <w:t>9</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投标文件</w:t>
            </w:r>
            <w:r>
              <w:rPr>
                <w:rFonts w:hint="eastAsia"/>
                <w:szCs w:val="21"/>
              </w:rPr>
              <w:t>不存在</w:t>
            </w:r>
            <w:r>
              <w:rPr>
                <w:szCs w:val="21"/>
              </w:rPr>
              <w:t>电子文档带病毒</w:t>
            </w:r>
            <w:r>
              <w:rPr>
                <w:rFonts w:hint="eastAsia"/>
                <w:szCs w:val="21"/>
              </w:rPr>
              <w:t>或使</w:t>
            </w:r>
            <w:r>
              <w:rPr>
                <w:szCs w:val="21"/>
              </w:rPr>
              <w:t>用</w:t>
            </w:r>
            <w:r>
              <w:rPr>
                <w:rFonts w:hint="eastAsia"/>
                <w:szCs w:val="21"/>
              </w:rPr>
              <w:t>其他投标人</w:t>
            </w:r>
            <w:r>
              <w:rPr>
                <w:szCs w:val="21"/>
              </w:rPr>
              <w:t>的电子密钥进行加密</w:t>
            </w:r>
            <w:r>
              <w:rPr>
                <w:rFonts w:hint="eastAsia"/>
                <w:szCs w:val="21"/>
              </w:rPr>
              <w:t>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1</w:t>
            </w:r>
            <w:r>
              <w:rPr>
                <w:rFonts w:hint="eastAsia"/>
                <w:szCs w:val="21"/>
              </w:rPr>
              <w:t>0</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rPr>
              <w:t>法律、法规、规章、规范性文件规定的其他情形</w:t>
            </w:r>
          </w:p>
        </w:tc>
      </w:tr>
    </w:tbl>
    <w:p>
      <w:pPr>
        <w:spacing w:line="324" w:lineRule="auto"/>
        <w:ind w:firstLine="420"/>
        <w:rPr>
          <w:b/>
          <w:color w:val="FF0000"/>
          <w:szCs w:val="21"/>
        </w:rPr>
      </w:pPr>
      <w:r>
        <w:rPr>
          <w:rFonts w:hint="eastAsia"/>
          <w:b/>
          <w:color w:val="FF0000"/>
          <w:szCs w:val="21"/>
        </w:rPr>
        <w:t>特别说明：</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1、投标人须在开标当日的开标时间至解密截止时间内完成投标文件在线解密，逾期未解密的作无效处理。</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2、投标人不符合《资格性审查表》或《符合性审查表》中任一情形的，初审不通过，投标无效。</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3、评标系统执行标书雷同性分析，包括分析文件制作机器码、文件创建标识码、IP地址是否一致，以及文本内容相似度分析，供评标委员会参考。</w:t>
      </w:r>
    </w:p>
    <w:p>
      <w:pPr>
        <w:pStyle w:val="37"/>
        <w:spacing w:line="324" w:lineRule="auto"/>
        <w:ind w:firstLine="420"/>
        <w:rPr>
          <w:b/>
          <w:sz w:val="21"/>
          <w:szCs w:val="21"/>
        </w:rPr>
      </w:pPr>
    </w:p>
    <w:p>
      <w:pPr>
        <w:pStyle w:val="37"/>
        <w:spacing w:beforeLines="50" w:afterLines="50"/>
        <w:jc w:val="center"/>
        <w:outlineLvl w:val="1"/>
        <w:rPr>
          <w:rFonts w:ascii="黑体" w:hAnsi="黑体" w:eastAsia="黑体"/>
          <w:sz w:val="40"/>
          <w:szCs w:val="40"/>
        </w:rPr>
      </w:pPr>
      <w:r>
        <w:rPr>
          <w:rFonts w:hint="eastAsia" w:ascii="黑体" w:hAnsi="黑体" w:eastAsia="黑体"/>
          <w:sz w:val="40"/>
          <w:szCs w:val="40"/>
        </w:rPr>
        <w:t>评标信息</w:t>
      </w:r>
    </w:p>
    <w:tbl>
      <w:tblPr>
        <w:tblStyle w:val="42"/>
        <w:tblW w:w="9072" w:type="dxa"/>
        <w:jc w:val="center"/>
        <w:tblCellSpacing w:w="0" w:type="dxa"/>
        <w:tblLayout w:type="autofit"/>
        <w:tblCellMar>
          <w:top w:w="45" w:type="dxa"/>
          <w:left w:w="45" w:type="dxa"/>
          <w:bottom w:w="45" w:type="dxa"/>
          <w:right w:w="45" w:type="dxa"/>
        </w:tblCellMar>
      </w:tblPr>
      <w:tblGrid>
        <w:gridCol w:w="8824"/>
        <w:gridCol w:w="248"/>
      </w:tblGrid>
      <w:tr>
        <w:tblPrEx>
          <w:tblCellMar>
            <w:top w:w="45" w:type="dxa"/>
            <w:left w:w="45" w:type="dxa"/>
            <w:bottom w:w="45" w:type="dxa"/>
            <w:right w:w="45" w:type="dxa"/>
          </w:tblCellMar>
        </w:tblPrEx>
        <w:trPr>
          <w:tblCellSpacing w:w="0" w:type="dxa"/>
          <w:jc w:val="center"/>
        </w:trPr>
        <w:tc>
          <w:tcPr>
            <w:tcW w:w="0" w:type="auto"/>
            <w:tcBorders>
              <w:top w:val="nil"/>
              <w:left w:val="nil"/>
              <w:bottom w:val="nil"/>
              <w:right w:val="nil"/>
            </w:tcBorders>
            <w:vAlign w:val="center"/>
          </w:tcPr>
          <w:p>
            <w:pPr>
              <w:rPr>
                <w:bCs/>
              </w:rPr>
            </w:pPr>
            <w:r>
              <w:rPr>
                <w:bCs/>
              </w:rPr>
              <w:t>评标方法：综合评分法（</w:t>
            </w:r>
            <w:r>
              <w:rPr>
                <w:rFonts w:hint="eastAsia"/>
                <w:bCs/>
              </w:rPr>
              <w:t>新价格分算法</w:t>
            </w:r>
            <w:r>
              <w:rPr>
                <w:bCs/>
              </w:rPr>
              <w:t>）</w:t>
            </w:r>
          </w:p>
        </w:tc>
        <w:tc>
          <w:tcPr>
            <w:tcW w:w="0" w:type="auto"/>
            <w:tcBorders>
              <w:top w:val="nil"/>
              <w:left w:val="nil"/>
              <w:bottom w:val="nil"/>
              <w:right w:val="nil"/>
            </w:tcBorders>
            <w:vAlign w:val="center"/>
          </w:tcPr>
          <w:p>
            <w:pPr>
              <w:rPr>
                <w:b/>
                <w:bCs/>
              </w:rPr>
            </w:pPr>
          </w:p>
        </w:tc>
      </w:tr>
      <w:tr>
        <w:tblPrEx>
          <w:tblCellMar>
            <w:top w:w="45" w:type="dxa"/>
            <w:left w:w="45" w:type="dxa"/>
            <w:bottom w:w="45" w:type="dxa"/>
            <w:right w:w="45" w:type="dxa"/>
          </w:tblCellMar>
        </w:tblPrEx>
        <w:trPr>
          <w:tblCellSpacing w:w="0" w:type="dxa"/>
          <w:jc w:val="center"/>
        </w:trPr>
        <w:tc>
          <w:tcPr>
            <w:tcW w:w="0" w:type="auto"/>
            <w:gridSpan w:val="2"/>
            <w:tcBorders>
              <w:top w:val="nil"/>
              <w:left w:val="nil"/>
              <w:bottom w:val="nil"/>
              <w:right w:val="nil"/>
            </w:tcBorders>
            <w:vAlign w:val="center"/>
          </w:tcPr>
          <w:p>
            <w:pPr>
              <w:pStyle w:val="37"/>
              <w:spacing w:line="324" w:lineRule="auto"/>
              <w:ind w:firstLine="420"/>
              <w:rPr>
                <w:sz w:val="21"/>
                <w:szCs w:val="21"/>
              </w:rPr>
            </w:pPr>
            <w:r>
              <w:rPr>
                <w:sz w:val="21"/>
                <w:szCs w:val="21"/>
              </w:rPr>
              <w:t>综合评分法，是指</w:t>
            </w:r>
            <w:r>
              <w:rPr>
                <w:rFonts w:hint="eastAsia"/>
                <w:sz w:val="21"/>
                <w:szCs w:val="21"/>
              </w:rPr>
              <w:t>在最大限度地满足招标文件实质性要求的前提下，按照招标文件中规定的各项因素进行综合评审，评标总得分排名前列的投标人，作为推荐的候选中标供应商</w:t>
            </w:r>
            <w:r>
              <w:rPr>
                <w:sz w:val="21"/>
                <w:szCs w:val="21"/>
              </w:rPr>
              <w:t xml:space="preserve">。 </w:t>
            </w:r>
          </w:p>
          <w:p>
            <w:pPr>
              <w:pStyle w:val="37"/>
              <w:ind w:firstLine="420"/>
              <w:rPr>
                <w:sz w:val="21"/>
                <w:szCs w:val="21"/>
              </w:rPr>
            </w:pPr>
            <w:r>
              <w:rPr>
                <w:sz w:val="21"/>
                <w:szCs w:val="21"/>
              </w:rPr>
              <w:t>价格分计算方法：</w:t>
            </w:r>
          </w:p>
          <w:p>
            <w:pPr>
              <w:pStyle w:val="37"/>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ype="textWrapping"/>
            </w:r>
            <w:r>
              <w:rPr>
                <w:sz w:val="21"/>
                <w:szCs w:val="21"/>
              </w:rPr>
              <w:t xml:space="preserve">投标报价得分=(评标基准价／投标报价)×100 </w:t>
            </w:r>
            <w:r>
              <w:rPr>
                <w:sz w:val="21"/>
                <w:szCs w:val="21"/>
              </w:rPr>
              <w:br w:type="textWrapping"/>
            </w:r>
            <w:r>
              <w:rPr>
                <w:sz w:val="21"/>
                <w:szCs w:val="21"/>
              </w:rPr>
              <w:t xml:space="preserve">评标总得分＝F1×A1＋F2×A2＋……＋Fn×An </w:t>
            </w:r>
            <w:r>
              <w:rPr>
                <w:sz w:val="21"/>
                <w:szCs w:val="21"/>
              </w:rPr>
              <w:br w:type="textWrapping"/>
            </w:r>
            <w:r>
              <w:rPr>
                <w:sz w:val="21"/>
                <w:szCs w:val="21"/>
              </w:rPr>
              <w:t xml:space="preserve">F1、F2……Fn分别为各项评审因素的得分； </w:t>
            </w:r>
            <w:r>
              <w:rPr>
                <w:sz w:val="21"/>
                <w:szCs w:val="21"/>
              </w:rPr>
              <w:br w:type="textWrapping"/>
            </w:r>
            <w:r>
              <w:rPr>
                <w:sz w:val="21"/>
                <w:szCs w:val="21"/>
              </w:rPr>
              <w:t xml:space="preserve">A1、A2、……An 分别为各项评审因素所占的权重(A1＋A2＋……＋An＝1)。 </w:t>
            </w:r>
            <w:r>
              <w:rPr>
                <w:sz w:val="21"/>
                <w:szCs w:val="21"/>
              </w:rPr>
              <w:br w:type="textWrapping"/>
            </w:r>
            <w:r>
              <w:rPr>
                <w:sz w:val="21"/>
                <w:szCs w:val="21"/>
              </w:rPr>
              <w:t xml:space="preserve">评标过程中，不得去掉报价中的最高报价和最低报价。 </w:t>
            </w:r>
            <w:r>
              <w:rPr>
                <w:sz w:val="21"/>
                <w:szCs w:val="21"/>
              </w:rPr>
              <w:br w:type="textWrapping"/>
            </w:r>
            <w:r>
              <w:rPr>
                <w:sz w:val="21"/>
                <w:szCs w:val="21"/>
              </w:rPr>
              <w:t xml:space="preserve">此方法适用于货物类、服务类、工程类项目。 </w:t>
            </w:r>
          </w:p>
        </w:tc>
      </w:tr>
    </w:tbl>
    <w:p>
      <w:pPr>
        <w:spacing w:after="1134"/>
        <w:rPr>
          <w:vanish/>
        </w:rPr>
      </w:pPr>
    </w:p>
    <w:tbl>
      <w:tblPr>
        <w:tblStyle w:val="42"/>
        <w:tblW w:w="94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680"/>
        <w:gridCol w:w="680"/>
        <w:gridCol w:w="2116"/>
        <w:gridCol w:w="637"/>
        <w:gridCol w:w="53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exact"/>
              <w:jc w:val="center"/>
              <w:rPr>
                <w:rFonts w:asciiTheme="minorEastAsia" w:hAnsiTheme="minorEastAsia" w:eastAsiaTheme="minorEastAsia"/>
                <w:b/>
                <w:bCs/>
                <w:sz w:val="24"/>
              </w:rPr>
            </w:pPr>
            <w:r>
              <w:rPr>
                <w:rFonts w:asciiTheme="minorEastAsia" w:hAnsiTheme="minorEastAsia" w:eastAsiaTheme="minorEastAsia"/>
                <w:b/>
                <w:bCs/>
              </w:rPr>
              <w:t>序号</w:t>
            </w:r>
          </w:p>
        </w:tc>
        <w:tc>
          <w:tcPr>
            <w:tcW w:w="3433"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exact"/>
              <w:jc w:val="center"/>
              <w:rPr>
                <w:rFonts w:asciiTheme="minorEastAsia" w:hAnsiTheme="minorEastAsia" w:eastAsiaTheme="minorEastAsia"/>
                <w:b/>
                <w:bCs/>
              </w:rPr>
            </w:pPr>
            <w:r>
              <w:rPr>
                <w:rFonts w:asciiTheme="minorEastAsia" w:hAnsiTheme="minorEastAsia" w:eastAsiaTheme="minorEastAsia"/>
                <w:b/>
                <w:bCs/>
              </w:rPr>
              <w:t>评分项</w:t>
            </w:r>
          </w:p>
        </w:tc>
        <w:tc>
          <w:tcPr>
            <w:tcW w:w="5386"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exact"/>
              <w:jc w:val="center"/>
              <w:rPr>
                <w:rFonts w:asciiTheme="minorEastAsia" w:hAnsiTheme="minorEastAsia" w:eastAsiaTheme="minorEastAsia"/>
                <w:b/>
                <w:bCs/>
              </w:rPr>
            </w:pPr>
            <w:r>
              <w:rPr>
                <w:rFonts w:asciiTheme="minorEastAsia" w:hAnsiTheme="minorEastAsia" w:eastAsiaTheme="minorEastAsia"/>
                <w:b/>
                <w:bCs/>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asciiTheme="minorEastAsia" w:hAnsiTheme="minorEastAsia" w:eastAsiaTheme="minorEastAsia"/>
                <w:b/>
                <w:bCs/>
                <w:color w:val="0000FF"/>
              </w:rPr>
              <w:t>1</w:t>
            </w:r>
          </w:p>
        </w:tc>
        <w:tc>
          <w:tcPr>
            <w:tcW w:w="3433"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asciiTheme="minorEastAsia" w:hAnsiTheme="minorEastAsia" w:eastAsiaTheme="minorEastAsia"/>
                <w:b/>
                <w:bCs/>
                <w:color w:val="0000FF"/>
              </w:rPr>
              <w:t>价格</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hint="eastAsia" w:asciiTheme="minorEastAsia" w:hAnsiTheme="minorEastAsia" w:eastAsiaTheme="minorEastAsia"/>
                <w:b/>
                <w:bCs/>
                <w:color w:val="0000FF"/>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asciiTheme="minorEastAsia" w:hAnsiTheme="minorEastAsia" w:eastAsiaTheme="minorEastAsia"/>
                <w:b/>
                <w:bCs/>
                <w:color w:val="0000FF"/>
              </w:rPr>
              <w:t>2</w:t>
            </w:r>
          </w:p>
        </w:tc>
        <w:tc>
          <w:tcPr>
            <w:tcW w:w="3433"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asciiTheme="minorEastAsia" w:hAnsiTheme="minorEastAsia" w:eastAsiaTheme="minorEastAsia"/>
                <w:b/>
                <w:bCs/>
                <w:color w:val="0000FF"/>
              </w:rPr>
              <w:t>技术</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Theme="minorEastAsia" w:hAnsiTheme="minorEastAsia" w:eastAsiaTheme="minorEastAsia"/>
                <w:b/>
                <w:bCs/>
                <w:color w:val="0000FF"/>
                <w:lang w:val="en-US" w:eastAsia="zh-CN"/>
              </w:rPr>
            </w:pPr>
            <w:r>
              <w:rPr>
                <w:rFonts w:hint="eastAsia" w:asciiTheme="minorEastAsia" w:hAnsiTheme="minorEastAsia" w:eastAsiaTheme="minorEastAsia"/>
                <w:b/>
                <w:bCs/>
                <w:color w:val="0000FF"/>
                <w:lang w:val="en-US" w:eastAsia="zh-CN"/>
              </w:rPr>
              <w:t>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spacing w:line="360" w:lineRule="exact"/>
              <w:jc w:val="center"/>
              <w:rPr>
                <w:rFonts w:cs="宋体" w:asciiTheme="minorEastAsia" w:hAnsiTheme="minorEastAsia" w:eastAsiaTheme="minorEastAsia"/>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cs="宋体" w:asciiTheme="minorEastAsia" w:hAnsiTheme="minorEastAsia" w:eastAsiaTheme="minorEastAsia"/>
                <w:szCs w:val="21"/>
              </w:rPr>
            </w:pPr>
            <w:r>
              <w:rPr>
                <w:rFonts w:asciiTheme="minorEastAsia" w:hAnsiTheme="minorEastAsia" w:eastAsiaTheme="minorEastAsia"/>
                <w:szCs w:val="21"/>
              </w:rPr>
              <w:t>序号</w:t>
            </w:r>
          </w:p>
        </w:tc>
        <w:tc>
          <w:tcPr>
            <w:tcW w:w="211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评分因素</w:t>
            </w:r>
          </w:p>
        </w:tc>
        <w:tc>
          <w:tcPr>
            <w:tcW w:w="6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权重(%)</w:t>
            </w:r>
          </w:p>
        </w:tc>
        <w:tc>
          <w:tcPr>
            <w:tcW w:w="538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1</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技术</w:t>
            </w:r>
            <w:r>
              <w:rPr>
                <w:rFonts w:hint="eastAsia" w:asciiTheme="minorEastAsia" w:hAnsiTheme="minorEastAsia" w:eastAsiaTheme="minorEastAsia"/>
                <w:szCs w:val="21"/>
              </w:rPr>
              <w:t>规格偏离情况</w:t>
            </w: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5386" w:type="dxa"/>
            <w:tcBorders>
              <w:top w:val="single" w:color="000000" w:sz="8" w:space="0"/>
              <w:left w:val="single" w:color="000000" w:sz="8" w:space="0"/>
              <w:bottom w:val="single" w:color="000000" w:sz="8" w:space="0"/>
              <w:right w:val="single" w:color="000000" w:sz="8" w:space="0"/>
            </w:tcBorders>
          </w:tcPr>
          <w:p>
            <w:pPr>
              <w:pStyle w:val="189"/>
              <w:spacing w:line="360" w:lineRule="exact"/>
              <w:ind w:firstLine="0" w:firstLineChars="0"/>
              <w:rPr>
                <w:rFonts w:ascii="宋体" w:hAnsi="宋体"/>
                <w:szCs w:val="21"/>
                <w:highlight w:val="none"/>
              </w:rPr>
            </w:pPr>
            <w:r>
              <w:rPr>
                <w:rFonts w:hint="eastAsia" w:ascii="宋体" w:hAnsi="宋体"/>
                <w:szCs w:val="21"/>
                <w:highlight w:val="none"/>
              </w:rPr>
              <w:t>（一）评分内容：</w:t>
            </w:r>
          </w:p>
          <w:p>
            <w:pPr>
              <w:spacing w:line="360" w:lineRule="exact"/>
              <w:jc w:val="left"/>
              <w:rPr>
                <w:rFonts w:ascii="宋体" w:hAnsi="宋体" w:cs="仿宋"/>
                <w:szCs w:val="21"/>
                <w:highlight w:val="none"/>
              </w:rPr>
            </w:pPr>
            <w:r>
              <w:rPr>
                <w:rFonts w:hint="eastAsia" w:ascii="宋体" w:hAnsi="宋体" w:cs="仿宋"/>
                <w:szCs w:val="21"/>
                <w:highlight w:val="none"/>
              </w:rPr>
              <w:t xml:space="preserve">投标人应如实填写《技术规格偏离表》，各项技术参数指标及要求全部满足的得 </w:t>
            </w:r>
            <w:r>
              <w:rPr>
                <w:rFonts w:hint="eastAsia" w:ascii="宋体" w:hAnsi="宋体" w:cs="仿宋"/>
                <w:szCs w:val="21"/>
                <w:highlight w:val="none"/>
                <w:lang w:val="en-US" w:eastAsia="zh-CN"/>
              </w:rPr>
              <w:t>100</w:t>
            </w:r>
            <w:r>
              <w:rPr>
                <w:rFonts w:hint="eastAsia" w:ascii="宋体" w:hAnsi="宋体" w:cs="仿宋"/>
                <w:szCs w:val="21"/>
                <w:highlight w:val="none"/>
              </w:rPr>
              <w:t>分；“▲”参数为重要指标，每负偏离一项扣</w:t>
            </w:r>
            <w:r>
              <w:rPr>
                <w:rFonts w:hint="eastAsia" w:ascii="宋体" w:hAnsi="宋体" w:cs="仿宋"/>
                <w:szCs w:val="21"/>
                <w:highlight w:val="none"/>
                <w:lang w:val="en-US" w:eastAsia="zh-CN"/>
              </w:rPr>
              <w:t>6</w:t>
            </w:r>
            <w:r>
              <w:rPr>
                <w:rFonts w:hint="eastAsia" w:ascii="宋体" w:hAnsi="宋体" w:cs="仿宋"/>
                <w:szCs w:val="21"/>
                <w:highlight w:val="none"/>
              </w:rPr>
              <w:t>分；其余指标每负偏离一项扣</w:t>
            </w:r>
            <w:r>
              <w:rPr>
                <w:rFonts w:hint="eastAsia" w:ascii="宋体" w:hAnsi="宋体" w:cs="仿宋"/>
                <w:szCs w:val="21"/>
                <w:highlight w:val="none"/>
                <w:lang w:val="en-US" w:eastAsia="zh-CN"/>
              </w:rPr>
              <w:t>2</w:t>
            </w:r>
            <w:r>
              <w:rPr>
                <w:rFonts w:hint="eastAsia" w:ascii="宋体" w:hAnsi="宋体" w:cs="仿宋"/>
                <w:szCs w:val="21"/>
                <w:highlight w:val="none"/>
              </w:rPr>
              <w:t>分，最低0分。</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（二）评分依据：</w:t>
            </w:r>
          </w:p>
          <w:p>
            <w:pPr>
              <w:spacing w:line="360" w:lineRule="exact"/>
              <w:rPr>
                <w:rFonts w:asciiTheme="minorEastAsia" w:hAnsiTheme="minorEastAsia" w:eastAsiaTheme="minorEastAsia"/>
                <w:szCs w:val="21"/>
              </w:rPr>
            </w:pPr>
            <w:r>
              <w:rPr>
                <w:rFonts w:asciiTheme="minorEastAsia" w:hAnsiTheme="minorEastAsia" w:eastAsiaTheme="minorEastAsia"/>
                <w:szCs w:val="21"/>
              </w:rPr>
              <w:t>投标人应如实填写《技术规格偏离表》，按招标文件要求提供相应的证明材料扫描件（原件备查），并注明证明材料在投标文件中的具体位置。证明材料与偏离表填写内容不一致，未提供有效证明材料或未注明证明材料在投标文件中的具体位置或提供的证明材料不完整或不清晰的，该项技术指标按负偏离处理。</w:t>
            </w:r>
            <w:r>
              <w:rPr>
                <w:rFonts w:hint="eastAsia" w:ascii="宋体" w:hAnsi="宋体" w:cs="仿宋"/>
                <w:szCs w:val="21"/>
                <w:lang w:val="zh-CN"/>
              </w:rPr>
              <w:t>技术要求中包含子项参数的，按子项参数响应情况逐项评分。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宋体" w:hAnsi="宋体" w:cs="仿宋"/>
                <w:szCs w:val="21"/>
              </w:rPr>
            </w:pPr>
            <w:r>
              <w:rPr>
                <w:rFonts w:hint="eastAsia" w:ascii="宋体" w:hAnsi="宋体" w:cs="仿宋"/>
                <w:szCs w:val="21"/>
              </w:rPr>
              <w:t>产品配置功能及性能</w:t>
            </w:r>
          </w:p>
          <w:p>
            <w:pPr>
              <w:spacing w:line="360" w:lineRule="exact"/>
              <w:jc w:val="left"/>
              <w:rPr>
                <w:rFonts w:asciiTheme="minorEastAsia" w:hAnsiTheme="minorEastAsia" w:eastAsiaTheme="minorEastAsia"/>
                <w:szCs w:val="21"/>
              </w:rPr>
            </w:pP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8</w:t>
            </w:r>
          </w:p>
        </w:tc>
        <w:tc>
          <w:tcPr>
            <w:tcW w:w="5386" w:type="dxa"/>
            <w:tcBorders>
              <w:top w:val="single" w:color="000000" w:sz="8" w:space="0"/>
              <w:left w:val="single" w:color="000000" w:sz="8" w:space="0"/>
              <w:bottom w:val="single" w:color="000000" w:sz="8" w:space="0"/>
              <w:right w:val="single" w:color="000000" w:sz="8" w:space="0"/>
            </w:tcBorders>
          </w:tcPr>
          <w:p>
            <w:pPr>
              <w:pStyle w:val="189"/>
              <w:spacing w:line="360" w:lineRule="exact"/>
              <w:ind w:firstLine="0" w:firstLineChars="0"/>
              <w:rPr>
                <w:rFonts w:ascii="宋体" w:hAnsi="宋体"/>
                <w:color w:val="auto"/>
                <w:szCs w:val="21"/>
                <w:highlight w:val="none"/>
              </w:rPr>
            </w:pPr>
            <w:r>
              <w:rPr>
                <w:rFonts w:hint="eastAsia" w:ascii="宋体" w:hAnsi="宋体"/>
                <w:color w:val="auto"/>
                <w:szCs w:val="21"/>
                <w:highlight w:val="none"/>
              </w:rPr>
              <w:t>（一）评分内容：</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投标人</w:t>
            </w:r>
            <w:r>
              <w:rPr>
                <w:rFonts w:ascii="宋体" w:hAnsi="宋体" w:cs="仿宋"/>
                <w:color w:val="auto"/>
                <w:szCs w:val="21"/>
                <w:highlight w:val="none"/>
              </w:rPr>
              <w:t>在投标文件中详细说明</w:t>
            </w:r>
            <w:r>
              <w:rPr>
                <w:rFonts w:hint="eastAsia" w:ascii="宋体" w:hAnsi="宋体" w:cs="仿宋"/>
                <w:color w:val="auto"/>
                <w:szCs w:val="21"/>
                <w:highlight w:val="none"/>
              </w:rPr>
              <w:t>产品配置功能及性能</w:t>
            </w:r>
            <w:r>
              <w:rPr>
                <w:rFonts w:hint="eastAsia" w:asciiTheme="minorEastAsia" w:hAnsiTheme="minorEastAsia" w:eastAsiaTheme="minorEastAsia"/>
                <w:color w:val="auto"/>
                <w:kern w:val="0"/>
                <w:szCs w:val="21"/>
                <w:highlight w:val="none"/>
              </w:rPr>
              <w:t>，包含以下内容：</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（1）</w:t>
            </w:r>
            <w:r>
              <w:rPr>
                <w:rFonts w:hint="eastAsia" w:ascii="宋体" w:hAnsi="宋体"/>
                <w:color w:val="auto"/>
                <w:szCs w:val="21"/>
                <w:highlight w:val="none"/>
              </w:rPr>
              <w:t>产品的工艺及性能</w:t>
            </w:r>
            <w:r>
              <w:rPr>
                <w:rFonts w:hint="eastAsia" w:ascii="宋体" w:hAnsi="宋体" w:cs="仿宋"/>
                <w:color w:val="auto"/>
                <w:szCs w:val="21"/>
                <w:highlight w:val="none"/>
              </w:rPr>
              <w:t>；</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（2）</w:t>
            </w:r>
            <w:r>
              <w:rPr>
                <w:rFonts w:hint="eastAsia" w:ascii="宋体" w:hAnsi="宋体" w:cs="宋体"/>
                <w:color w:val="auto"/>
                <w:szCs w:val="21"/>
                <w:highlight w:val="none"/>
              </w:rPr>
              <w:t>产品生产规范</w:t>
            </w:r>
            <w:r>
              <w:rPr>
                <w:rFonts w:hint="eastAsia" w:ascii="宋体" w:hAnsi="宋体" w:cs="仿宋"/>
                <w:color w:val="auto"/>
                <w:szCs w:val="21"/>
                <w:highlight w:val="none"/>
              </w:rPr>
              <w:t>；</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（3）产品配置功能</w:t>
            </w:r>
            <w:r>
              <w:rPr>
                <w:rFonts w:hint="eastAsia" w:ascii="宋体" w:hAnsi="宋体" w:cs="宋体"/>
                <w:color w:val="auto"/>
                <w:szCs w:val="21"/>
                <w:highlight w:val="none"/>
              </w:rPr>
              <w:t>及供货进度计划</w:t>
            </w:r>
            <w:r>
              <w:rPr>
                <w:rFonts w:hint="eastAsia" w:ascii="宋体" w:hAnsi="宋体" w:cs="仿宋"/>
                <w:color w:val="auto"/>
                <w:szCs w:val="21"/>
                <w:highlight w:val="none"/>
              </w:rPr>
              <w:t>。</w:t>
            </w:r>
          </w:p>
          <w:p>
            <w:pPr>
              <w:autoSpaceDE w:val="0"/>
              <w:autoSpaceDN w:val="0"/>
              <w:adjustRightInd w:val="0"/>
              <w:spacing w:line="360" w:lineRule="exact"/>
              <w:jc w:val="left"/>
              <w:rPr>
                <w:rFonts w:ascii="宋体" w:hAnsi="宋体"/>
                <w:color w:val="auto"/>
                <w:kern w:val="0"/>
                <w:szCs w:val="21"/>
                <w:highlight w:val="none"/>
              </w:rPr>
            </w:pPr>
            <w:r>
              <w:rPr>
                <w:rFonts w:hint="eastAsia" w:ascii="宋体" w:hAnsi="宋体"/>
                <w:color w:val="auto"/>
                <w:kern w:val="0"/>
                <w:szCs w:val="21"/>
                <w:highlight w:val="none"/>
              </w:rPr>
              <w:t>（二）评分标准：</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方案包含以上三项内容得3</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分；包含以上二项内容得2</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分；包含以上一项内容得1</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分；其他情况不得分。</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在此基础上，根据方案响应情况进一步评审：</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1.方案内容全面、具体，可行性高，加7</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2.方案内容较全面，可行性较高，加4</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3.方案全面性、可行性一般，加1</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w:t>
            </w:r>
          </w:p>
          <w:p>
            <w:pPr>
              <w:spacing w:line="360" w:lineRule="exact"/>
              <w:rPr>
                <w:rFonts w:asciiTheme="minorEastAsia" w:hAnsiTheme="minorEastAsia" w:eastAsiaTheme="minorEastAsia"/>
                <w:szCs w:val="21"/>
              </w:rPr>
            </w:pPr>
            <w:r>
              <w:rPr>
                <w:rFonts w:hint="eastAsia" w:ascii="宋体" w:hAnsi="宋体" w:cs="仿宋"/>
                <w:color w:val="auto"/>
                <w:szCs w:val="21"/>
                <w:highlight w:val="none"/>
              </w:rPr>
              <w:t>4.方案不全，可行性低，不加分。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hint="eastAsia"/>
                <w:color w:val="auto"/>
                <w:highlight w:val="none"/>
              </w:rPr>
              <w:t>质量保障措施</w:t>
            </w: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8</w:t>
            </w:r>
          </w:p>
        </w:tc>
        <w:tc>
          <w:tcPr>
            <w:tcW w:w="5386" w:type="dxa"/>
            <w:tcBorders>
              <w:top w:val="single" w:color="000000" w:sz="8" w:space="0"/>
              <w:left w:val="single" w:color="000000" w:sz="8" w:space="0"/>
              <w:bottom w:val="single" w:color="000000" w:sz="8" w:space="0"/>
              <w:right w:val="single" w:color="000000" w:sz="8" w:space="0"/>
            </w:tcBorders>
          </w:tcPr>
          <w:p>
            <w:pPr>
              <w:pStyle w:val="189"/>
              <w:spacing w:line="360" w:lineRule="exact"/>
              <w:ind w:firstLine="0" w:firstLineChars="0"/>
              <w:rPr>
                <w:rFonts w:ascii="宋体" w:hAnsi="宋体"/>
                <w:color w:val="auto"/>
                <w:szCs w:val="21"/>
                <w:highlight w:val="none"/>
              </w:rPr>
            </w:pPr>
            <w:r>
              <w:rPr>
                <w:rFonts w:hint="eastAsia" w:ascii="宋体" w:hAnsi="宋体"/>
                <w:color w:val="auto"/>
                <w:szCs w:val="21"/>
                <w:highlight w:val="none"/>
              </w:rPr>
              <w:t>（一）评分内容：</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投标人提供</w:t>
            </w:r>
            <w:r>
              <w:rPr>
                <w:rFonts w:hint="eastAsia"/>
                <w:color w:val="auto"/>
                <w:highlight w:val="none"/>
              </w:rPr>
              <w:t>质量保障措施</w:t>
            </w:r>
            <w:r>
              <w:rPr>
                <w:rFonts w:hint="eastAsia" w:asciiTheme="minorEastAsia" w:hAnsiTheme="minorEastAsia" w:eastAsiaTheme="minorEastAsia"/>
                <w:color w:val="auto"/>
                <w:kern w:val="0"/>
                <w:szCs w:val="21"/>
                <w:highlight w:val="none"/>
              </w:rPr>
              <w:t>，包含以下内容：</w:t>
            </w:r>
          </w:p>
          <w:p>
            <w:pPr>
              <w:widowControl/>
              <w:spacing w:line="360" w:lineRule="exact"/>
              <w:rPr>
                <w:rFonts w:ascii="宋体" w:hAnsi="宋体" w:cs="仿宋"/>
                <w:color w:val="auto"/>
                <w:szCs w:val="21"/>
                <w:highlight w:val="none"/>
              </w:rPr>
            </w:pPr>
            <w:r>
              <w:rPr>
                <w:rFonts w:hint="eastAsia" w:ascii="宋体" w:hAnsi="宋体" w:cs="仿宋"/>
                <w:color w:val="auto"/>
                <w:szCs w:val="21"/>
                <w:highlight w:val="none"/>
              </w:rPr>
              <w:t>（1）产品及备品备件货源渠道；</w:t>
            </w:r>
          </w:p>
          <w:p>
            <w:pPr>
              <w:widowControl/>
              <w:spacing w:line="360" w:lineRule="exact"/>
              <w:rPr>
                <w:rFonts w:ascii="宋体" w:hAnsi="宋体" w:cs="仿宋"/>
                <w:color w:val="auto"/>
                <w:szCs w:val="21"/>
                <w:highlight w:val="none"/>
              </w:rPr>
            </w:pPr>
            <w:r>
              <w:rPr>
                <w:rFonts w:hint="eastAsia" w:ascii="宋体" w:hAnsi="宋体" w:cs="仿宋"/>
                <w:color w:val="auto"/>
                <w:szCs w:val="21"/>
                <w:highlight w:val="none"/>
              </w:rPr>
              <w:t>（2）产品</w:t>
            </w:r>
            <w:r>
              <w:rPr>
                <w:rFonts w:hint="eastAsia" w:ascii="宋体" w:hAnsi="宋体" w:cs="仿宋"/>
                <w:color w:val="auto"/>
                <w:szCs w:val="21"/>
                <w:highlight w:val="none"/>
                <w:lang w:val="en-US" w:eastAsia="zh-CN"/>
              </w:rPr>
              <w:t>各环节的</w:t>
            </w:r>
            <w:r>
              <w:rPr>
                <w:rFonts w:hint="eastAsia"/>
                <w:color w:val="auto"/>
                <w:highlight w:val="none"/>
              </w:rPr>
              <w:t>质量管理措施</w:t>
            </w:r>
            <w:r>
              <w:rPr>
                <w:rFonts w:hint="eastAsia" w:ascii="宋体" w:hAnsi="宋体" w:cs="仿宋"/>
                <w:color w:val="auto"/>
                <w:szCs w:val="21"/>
                <w:highlight w:val="none"/>
              </w:rPr>
              <w:t>；</w:t>
            </w:r>
          </w:p>
          <w:p>
            <w:pPr>
              <w:widowControl/>
              <w:spacing w:line="360" w:lineRule="exact"/>
              <w:rPr>
                <w:rFonts w:ascii="宋体" w:hAnsi="宋体" w:cs="仿宋"/>
                <w:color w:val="auto"/>
                <w:szCs w:val="21"/>
                <w:highlight w:val="none"/>
              </w:rPr>
            </w:pPr>
            <w:r>
              <w:rPr>
                <w:rFonts w:hint="eastAsia" w:ascii="宋体" w:hAnsi="宋体" w:cs="仿宋"/>
                <w:color w:val="auto"/>
                <w:szCs w:val="21"/>
                <w:highlight w:val="none"/>
              </w:rPr>
              <w:t>（3）配套设备情况。</w:t>
            </w:r>
          </w:p>
          <w:p>
            <w:pPr>
              <w:autoSpaceDE w:val="0"/>
              <w:autoSpaceDN w:val="0"/>
              <w:adjustRightInd w:val="0"/>
              <w:spacing w:line="360" w:lineRule="exact"/>
              <w:jc w:val="left"/>
              <w:rPr>
                <w:rFonts w:ascii="宋体" w:hAnsi="宋体"/>
                <w:color w:val="auto"/>
                <w:kern w:val="0"/>
                <w:szCs w:val="21"/>
                <w:highlight w:val="none"/>
              </w:rPr>
            </w:pPr>
            <w:r>
              <w:rPr>
                <w:rFonts w:hint="eastAsia" w:ascii="宋体" w:hAnsi="宋体"/>
                <w:color w:val="auto"/>
                <w:kern w:val="0"/>
                <w:szCs w:val="21"/>
                <w:highlight w:val="none"/>
              </w:rPr>
              <w:t>（二）评分标准：</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方案包含以上三项内容得3</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分；包含以上二项内容得2</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分；包含以上一项内容得</w:t>
            </w:r>
            <w:r>
              <w:rPr>
                <w:rFonts w:hint="eastAsia" w:ascii="宋体" w:hAnsi="宋体" w:cs="仿宋"/>
                <w:color w:val="auto"/>
                <w:szCs w:val="21"/>
                <w:highlight w:val="none"/>
                <w:lang w:val="en-US" w:eastAsia="zh-CN"/>
              </w:rPr>
              <w:t>10</w:t>
            </w:r>
            <w:r>
              <w:rPr>
                <w:rFonts w:hint="eastAsia" w:ascii="宋体" w:hAnsi="宋体" w:cs="仿宋"/>
                <w:color w:val="auto"/>
                <w:szCs w:val="21"/>
                <w:highlight w:val="none"/>
              </w:rPr>
              <w:t>分；其他情况不得分。</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在此基础上，根据方案响应情况进一步评审：</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1.方案内容全面、具体，可行性高，加7</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2.方案内容较全面，可行性较高，加4</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3.方案全面性、可行性一般，加1</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w:t>
            </w:r>
          </w:p>
          <w:p>
            <w:pPr>
              <w:spacing w:after="60" w:line="360" w:lineRule="exact"/>
              <w:rPr>
                <w:rFonts w:asciiTheme="minorEastAsia" w:hAnsiTheme="minorEastAsia" w:eastAsiaTheme="minorEastAsia"/>
                <w:b/>
                <w:bCs/>
                <w:szCs w:val="21"/>
              </w:rPr>
            </w:pPr>
            <w:r>
              <w:rPr>
                <w:rFonts w:hint="eastAsia" w:ascii="宋体" w:hAnsi="宋体" w:cs="仿宋"/>
                <w:color w:val="auto"/>
                <w:szCs w:val="21"/>
                <w:highlight w:val="none"/>
              </w:rPr>
              <w:t>4.方案不全，可行性低，不加分。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116" w:type="dxa"/>
            <w:tcBorders>
              <w:top w:val="single" w:color="000000" w:sz="8" w:space="0"/>
              <w:left w:val="single" w:color="000000" w:sz="8" w:space="0"/>
              <w:bottom w:val="single" w:color="000000" w:sz="8" w:space="0"/>
              <w:right w:val="single" w:color="000000" w:sz="8" w:space="0"/>
            </w:tcBorders>
          </w:tcPr>
          <w:p>
            <w:pPr>
              <w:widowControl/>
              <w:spacing w:line="360" w:lineRule="exact"/>
              <w:jc w:val="both"/>
              <w:rPr>
                <w:rFonts w:ascii="宋体" w:hAnsi="宋体" w:cs="宋体"/>
                <w:szCs w:val="21"/>
              </w:rPr>
            </w:pPr>
            <w:r>
              <w:rPr>
                <w:rFonts w:hint="eastAsia" w:ascii="宋体" w:hAnsi="宋体" w:cs="宋体"/>
                <w:szCs w:val="21"/>
              </w:rPr>
              <w:t>实施方案</w:t>
            </w:r>
          </w:p>
          <w:p>
            <w:pPr>
              <w:spacing w:line="360" w:lineRule="exact"/>
              <w:jc w:val="left"/>
              <w:rPr>
                <w:rFonts w:asciiTheme="minorEastAsia" w:hAnsiTheme="minorEastAsia" w:eastAsiaTheme="minorEastAsia"/>
                <w:szCs w:val="21"/>
              </w:rPr>
            </w:pP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w:t>
            </w:r>
          </w:p>
        </w:tc>
        <w:tc>
          <w:tcPr>
            <w:tcW w:w="5386" w:type="dxa"/>
            <w:tcBorders>
              <w:top w:val="single" w:color="000000" w:sz="8" w:space="0"/>
              <w:left w:val="single" w:color="000000" w:sz="8" w:space="0"/>
              <w:bottom w:val="single" w:color="000000" w:sz="8" w:space="0"/>
              <w:right w:val="single" w:color="000000" w:sz="8" w:space="0"/>
            </w:tcBorders>
          </w:tcPr>
          <w:p>
            <w:pPr>
              <w:pStyle w:val="189"/>
              <w:spacing w:line="360" w:lineRule="exact"/>
              <w:ind w:firstLine="0" w:firstLineChars="0"/>
              <w:rPr>
                <w:rFonts w:ascii="宋体" w:hAnsi="宋体"/>
                <w:color w:val="auto"/>
                <w:szCs w:val="21"/>
                <w:highlight w:val="none"/>
              </w:rPr>
            </w:pPr>
            <w:r>
              <w:rPr>
                <w:rFonts w:hint="eastAsia" w:ascii="宋体" w:hAnsi="宋体"/>
                <w:color w:val="auto"/>
                <w:szCs w:val="21"/>
                <w:highlight w:val="none"/>
              </w:rPr>
              <w:t>（一）评分内容：</w:t>
            </w:r>
          </w:p>
          <w:p>
            <w:pPr>
              <w:spacing w:line="360" w:lineRule="exact"/>
              <w:jc w:val="left"/>
              <w:rPr>
                <w:rFonts w:ascii="宋体" w:hAnsi="宋体" w:cs="仿宋"/>
                <w:color w:val="auto"/>
                <w:szCs w:val="21"/>
                <w:highlight w:val="none"/>
              </w:rPr>
            </w:pPr>
            <w:r>
              <w:rPr>
                <w:rFonts w:hint="eastAsia" w:ascii="宋体" w:hAnsi="宋体" w:cs="仿宋"/>
                <w:color w:val="auto"/>
                <w:szCs w:val="21"/>
                <w:highlight w:val="none"/>
              </w:rPr>
              <w:t>投标人提供</w:t>
            </w:r>
            <w:r>
              <w:rPr>
                <w:rFonts w:hint="eastAsia" w:ascii="宋体" w:hAnsi="宋体" w:cs="宋体"/>
                <w:color w:val="auto"/>
                <w:szCs w:val="21"/>
                <w:highlight w:val="none"/>
              </w:rPr>
              <w:t>实施方案</w:t>
            </w:r>
            <w:r>
              <w:rPr>
                <w:rFonts w:hint="eastAsia" w:asciiTheme="minorEastAsia" w:hAnsiTheme="minorEastAsia" w:eastAsiaTheme="minorEastAsia"/>
                <w:color w:val="auto"/>
                <w:kern w:val="0"/>
                <w:szCs w:val="21"/>
                <w:highlight w:val="none"/>
              </w:rPr>
              <w:t>，包含以下内容：</w:t>
            </w:r>
          </w:p>
          <w:p>
            <w:pPr>
              <w:widowControl/>
              <w:spacing w:line="360" w:lineRule="exact"/>
              <w:rPr>
                <w:rFonts w:ascii="宋体" w:hAnsi="宋体" w:cs="仿宋"/>
                <w:color w:val="auto"/>
                <w:szCs w:val="21"/>
                <w:highlight w:val="none"/>
              </w:rPr>
            </w:pPr>
            <w:r>
              <w:rPr>
                <w:rFonts w:hint="eastAsia" w:ascii="宋体" w:hAnsi="宋体" w:cs="仿宋"/>
                <w:color w:val="auto"/>
                <w:szCs w:val="21"/>
                <w:highlight w:val="none"/>
              </w:rPr>
              <w:t>（1）项目验收方案；</w:t>
            </w:r>
          </w:p>
          <w:p>
            <w:pPr>
              <w:widowControl/>
              <w:spacing w:line="360" w:lineRule="exact"/>
              <w:rPr>
                <w:rFonts w:ascii="宋体" w:hAnsi="宋体" w:cs="仿宋"/>
                <w:color w:val="auto"/>
                <w:szCs w:val="21"/>
                <w:highlight w:val="none"/>
              </w:rPr>
            </w:pPr>
            <w:r>
              <w:rPr>
                <w:rFonts w:hint="eastAsia" w:ascii="宋体" w:hAnsi="宋体" w:cs="仿宋"/>
                <w:color w:val="auto"/>
                <w:szCs w:val="21"/>
                <w:highlight w:val="none"/>
              </w:rPr>
              <w:t>（2）</w:t>
            </w:r>
            <w:r>
              <w:rPr>
                <w:rFonts w:hint="eastAsia" w:ascii="宋体" w:hAnsi="宋体"/>
                <w:color w:val="auto"/>
                <w:szCs w:val="21"/>
                <w:highlight w:val="none"/>
              </w:rPr>
              <w:t>对本项目实施提出重点、难点并给出相应的解决方案</w:t>
            </w:r>
            <w:r>
              <w:rPr>
                <w:rFonts w:hint="eastAsia" w:ascii="宋体" w:hAnsi="宋体" w:cs="仿宋"/>
                <w:color w:val="auto"/>
                <w:szCs w:val="21"/>
                <w:highlight w:val="none"/>
              </w:rPr>
              <w:t>；</w:t>
            </w:r>
          </w:p>
          <w:p>
            <w:pPr>
              <w:widowControl/>
              <w:spacing w:line="360" w:lineRule="exact"/>
              <w:rPr>
                <w:rFonts w:ascii="宋体" w:hAnsi="宋体" w:cs="仿宋"/>
                <w:color w:val="auto"/>
                <w:szCs w:val="21"/>
                <w:highlight w:val="none"/>
              </w:rPr>
            </w:pPr>
            <w:r>
              <w:rPr>
                <w:rFonts w:hint="eastAsia" w:ascii="宋体" w:hAnsi="宋体" w:cs="仿宋"/>
                <w:color w:val="auto"/>
                <w:szCs w:val="21"/>
                <w:highlight w:val="none"/>
              </w:rPr>
              <w:t>（3）</w:t>
            </w:r>
            <w:r>
              <w:rPr>
                <w:rFonts w:hint="eastAsia" w:ascii="宋体" w:hAnsi="宋体"/>
                <w:color w:val="auto"/>
                <w:szCs w:val="21"/>
                <w:highlight w:val="none"/>
              </w:rPr>
              <w:t>进度安排及质量保证方案</w:t>
            </w:r>
            <w:r>
              <w:rPr>
                <w:rFonts w:hint="eastAsia" w:ascii="宋体" w:hAnsi="宋体" w:cs="仿宋"/>
                <w:color w:val="auto"/>
                <w:szCs w:val="21"/>
                <w:highlight w:val="none"/>
              </w:rPr>
              <w:t>。</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（二）评分标准：</w:t>
            </w:r>
          </w:p>
          <w:p>
            <w:pPr>
              <w:spacing w:line="360" w:lineRule="exact"/>
              <w:jc w:val="left"/>
              <w:rPr>
                <w:rFonts w:ascii="宋体" w:hAnsi="宋体" w:cs="仿宋"/>
                <w:szCs w:val="21"/>
                <w:highlight w:val="none"/>
              </w:rPr>
            </w:pPr>
            <w:r>
              <w:rPr>
                <w:rFonts w:hint="eastAsia" w:ascii="宋体" w:hAnsi="宋体" w:cs="仿宋"/>
                <w:szCs w:val="21"/>
                <w:highlight w:val="none"/>
              </w:rPr>
              <w:t>方案包含以上三项内容得3</w:t>
            </w:r>
            <w:r>
              <w:rPr>
                <w:rFonts w:hint="eastAsia" w:ascii="宋体" w:hAnsi="宋体" w:cs="仿宋"/>
                <w:szCs w:val="21"/>
                <w:highlight w:val="none"/>
                <w:lang w:val="en-US" w:eastAsia="zh-CN"/>
              </w:rPr>
              <w:t>0</w:t>
            </w:r>
            <w:r>
              <w:rPr>
                <w:rFonts w:hint="eastAsia" w:ascii="宋体" w:hAnsi="宋体" w:cs="仿宋"/>
                <w:szCs w:val="21"/>
                <w:highlight w:val="none"/>
              </w:rPr>
              <w:t>分；包含以上二项内容得2</w:t>
            </w:r>
            <w:r>
              <w:rPr>
                <w:rFonts w:hint="eastAsia" w:ascii="宋体" w:hAnsi="宋体" w:cs="仿宋"/>
                <w:szCs w:val="21"/>
                <w:highlight w:val="none"/>
                <w:lang w:val="en-US" w:eastAsia="zh-CN"/>
              </w:rPr>
              <w:t>0</w:t>
            </w:r>
            <w:r>
              <w:rPr>
                <w:rFonts w:hint="eastAsia" w:ascii="宋体" w:hAnsi="宋体" w:cs="仿宋"/>
                <w:szCs w:val="21"/>
                <w:highlight w:val="none"/>
              </w:rPr>
              <w:t>分；包含以上一项内容得1</w:t>
            </w:r>
            <w:r>
              <w:rPr>
                <w:rFonts w:hint="eastAsia" w:ascii="宋体" w:hAnsi="宋体" w:cs="仿宋"/>
                <w:szCs w:val="21"/>
                <w:highlight w:val="none"/>
                <w:lang w:val="en-US" w:eastAsia="zh-CN"/>
              </w:rPr>
              <w:t>0</w:t>
            </w:r>
            <w:r>
              <w:rPr>
                <w:rFonts w:hint="eastAsia" w:ascii="宋体" w:hAnsi="宋体" w:cs="仿宋"/>
                <w:szCs w:val="21"/>
                <w:highlight w:val="none"/>
              </w:rPr>
              <w:t>分；其他情况不得分。</w:t>
            </w:r>
          </w:p>
          <w:p>
            <w:pPr>
              <w:spacing w:line="360" w:lineRule="exact"/>
              <w:jc w:val="left"/>
              <w:rPr>
                <w:rFonts w:ascii="宋体" w:hAnsi="宋体" w:cs="仿宋"/>
                <w:szCs w:val="21"/>
                <w:highlight w:val="none"/>
              </w:rPr>
            </w:pPr>
            <w:r>
              <w:rPr>
                <w:rFonts w:hint="eastAsia" w:ascii="宋体" w:hAnsi="宋体" w:cs="仿宋"/>
                <w:szCs w:val="21"/>
                <w:highlight w:val="none"/>
              </w:rPr>
              <w:t>在此基础上，根据方案响应情况进一步评审：</w:t>
            </w:r>
          </w:p>
          <w:p>
            <w:pPr>
              <w:spacing w:line="360" w:lineRule="exact"/>
              <w:jc w:val="left"/>
              <w:rPr>
                <w:rFonts w:ascii="宋体" w:hAnsi="宋体" w:cs="仿宋"/>
                <w:szCs w:val="21"/>
                <w:highlight w:val="none"/>
              </w:rPr>
            </w:pPr>
            <w:r>
              <w:rPr>
                <w:rFonts w:hint="eastAsia" w:ascii="宋体" w:hAnsi="宋体" w:cs="仿宋"/>
                <w:szCs w:val="21"/>
                <w:highlight w:val="none"/>
              </w:rPr>
              <w:t>1.方案内容全面、具体，可行性高，加7</w:t>
            </w:r>
            <w:r>
              <w:rPr>
                <w:rFonts w:hint="eastAsia" w:ascii="宋体" w:hAnsi="宋体" w:cs="仿宋"/>
                <w:szCs w:val="21"/>
                <w:highlight w:val="none"/>
                <w:lang w:val="en-US" w:eastAsia="zh-CN"/>
              </w:rPr>
              <w:t>0</w:t>
            </w:r>
            <w:r>
              <w:rPr>
                <w:rFonts w:hint="eastAsia" w:ascii="宋体" w:hAnsi="宋体" w:cs="仿宋"/>
                <w:szCs w:val="21"/>
                <w:highlight w:val="none"/>
              </w:rPr>
              <w:t>分；</w:t>
            </w:r>
          </w:p>
          <w:p>
            <w:pPr>
              <w:spacing w:line="360" w:lineRule="exact"/>
              <w:jc w:val="left"/>
              <w:rPr>
                <w:rFonts w:ascii="宋体" w:hAnsi="宋体" w:cs="仿宋"/>
                <w:szCs w:val="21"/>
                <w:highlight w:val="none"/>
              </w:rPr>
            </w:pPr>
            <w:r>
              <w:rPr>
                <w:rFonts w:hint="eastAsia" w:ascii="宋体" w:hAnsi="宋体" w:cs="仿宋"/>
                <w:szCs w:val="21"/>
                <w:highlight w:val="none"/>
              </w:rPr>
              <w:t>2.方案内容较全面，可行性较高，加4</w:t>
            </w:r>
            <w:r>
              <w:rPr>
                <w:rFonts w:hint="eastAsia" w:ascii="宋体" w:hAnsi="宋体" w:cs="仿宋"/>
                <w:szCs w:val="21"/>
                <w:highlight w:val="none"/>
                <w:lang w:val="en-US" w:eastAsia="zh-CN"/>
              </w:rPr>
              <w:t>0</w:t>
            </w:r>
            <w:r>
              <w:rPr>
                <w:rFonts w:hint="eastAsia" w:ascii="宋体" w:hAnsi="宋体" w:cs="仿宋"/>
                <w:szCs w:val="21"/>
                <w:highlight w:val="none"/>
              </w:rPr>
              <w:t>分；</w:t>
            </w:r>
          </w:p>
          <w:p>
            <w:pPr>
              <w:spacing w:line="360" w:lineRule="exact"/>
              <w:jc w:val="left"/>
              <w:rPr>
                <w:rFonts w:ascii="宋体" w:hAnsi="宋体" w:cs="仿宋"/>
                <w:szCs w:val="21"/>
                <w:highlight w:val="none"/>
              </w:rPr>
            </w:pPr>
            <w:r>
              <w:rPr>
                <w:rFonts w:hint="eastAsia" w:ascii="宋体" w:hAnsi="宋体" w:cs="仿宋"/>
                <w:szCs w:val="21"/>
                <w:highlight w:val="none"/>
              </w:rPr>
              <w:t>3.方案全面性、可行性一般，加1</w:t>
            </w:r>
            <w:r>
              <w:rPr>
                <w:rFonts w:hint="eastAsia" w:ascii="宋体" w:hAnsi="宋体" w:cs="仿宋"/>
                <w:szCs w:val="21"/>
                <w:highlight w:val="none"/>
                <w:lang w:val="en-US" w:eastAsia="zh-CN"/>
              </w:rPr>
              <w:t>0</w:t>
            </w:r>
            <w:r>
              <w:rPr>
                <w:rFonts w:hint="eastAsia" w:ascii="宋体" w:hAnsi="宋体" w:cs="仿宋"/>
                <w:szCs w:val="21"/>
                <w:highlight w:val="none"/>
              </w:rPr>
              <w:t>分；</w:t>
            </w:r>
          </w:p>
          <w:p>
            <w:pPr>
              <w:spacing w:line="360" w:lineRule="exact"/>
              <w:rPr>
                <w:rFonts w:asciiTheme="minorEastAsia" w:hAnsiTheme="minorEastAsia" w:eastAsiaTheme="minorEastAsia"/>
                <w:szCs w:val="21"/>
              </w:rPr>
            </w:pPr>
            <w:r>
              <w:rPr>
                <w:rFonts w:hint="eastAsia" w:ascii="宋体" w:hAnsi="宋体" w:cs="仿宋"/>
                <w:szCs w:val="21"/>
                <w:highlight w:val="none"/>
              </w:rPr>
              <w:t>4.方案不全，可行性低，不加分。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116" w:type="dxa"/>
            <w:tcBorders>
              <w:top w:val="single" w:color="000000" w:sz="8" w:space="0"/>
              <w:left w:val="single" w:color="000000" w:sz="8" w:space="0"/>
              <w:bottom w:val="single" w:color="000000" w:sz="8" w:space="0"/>
              <w:right w:val="single" w:color="000000" w:sz="8" w:space="0"/>
            </w:tcBorders>
          </w:tcPr>
          <w:p>
            <w:pPr>
              <w:widowControl/>
              <w:spacing w:line="360" w:lineRule="exact"/>
              <w:jc w:val="center"/>
              <w:rPr>
                <w:rFonts w:ascii="宋体" w:hAnsi="宋体" w:cs="仿宋"/>
                <w:kern w:val="0"/>
                <w:szCs w:val="21"/>
              </w:rPr>
            </w:pPr>
            <w:r>
              <w:rPr>
                <w:rFonts w:hint="eastAsia" w:ascii="宋体" w:hAnsi="宋体" w:cs="仿宋"/>
                <w:kern w:val="0"/>
                <w:szCs w:val="21"/>
              </w:rPr>
              <w:t>售后服务及培训方案</w:t>
            </w:r>
          </w:p>
          <w:p>
            <w:pPr>
              <w:spacing w:line="360" w:lineRule="exact"/>
              <w:jc w:val="left"/>
              <w:rPr>
                <w:rFonts w:asciiTheme="minorEastAsia" w:hAnsiTheme="minorEastAsia" w:eastAsiaTheme="minorEastAsia"/>
                <w:szCs w:val="21"/>
              </w:rPr>
            </w:pP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w:t>
            </w:r>
          </w:p>
        </w:tc>
        <w:tc>
          <w:tcPr>
            <w:tcW w:w="5386" w:type="dxa"/>
            <w:tcBorders>
              <w:top w:val="single" w:color="000000" w:sz="8" w:space="0"/>
              <w:left w:val="single" w:color="000000" w:sz="8" w:space="0"/>
              <w:bottom w:val="single" w:color="000000" w:sz="8" w:space="0"/>
              <w:right w:val="single" w:color="000000" w:sz="8" w:space="0"/>
            </w:tcBorders>
          </w:tcPr>
          <w:p>
            <w:pPr>
              <w:pStyle w:val="189"/>
              <w:spacing w:line="360" w:lineRule="exact"/>
              <w:ind w:firstLine="0" w:firstLineChars="0"/>
              <w:rPr>
                <w:rFonts w:ascii="宋体" w:hAnsi="宋体"/>
                <w:szCs w:val="21"/>
                <w:highlight w:val="none"/>
              </w:rPr>
            </w:pPr>
            <w:r>
              <w:rPr>
                <w:rFonts w:hint="eastAsia" w:ascii="宋体" w:hAnsi="宋体"/>
                <w:szCs w:val="21"/>
                <w:highlight w:val="none"/>
              </w:rPr>
              <w:t>（一）评分内容：</w:t>
            </w:r>
          </w:p>
          <w:p>
            <w:pPr>
              <w:widowControl/>
              <w:spacing w:line="360" w:lineRule="exact"/>
              <w:jc w:val="both"/>
              <w:rPr>
                <w:rFonts w:ascii="宋体" w:hAnsi="宋体" w:cs="仿宋"/>
                <w:szCs w:val="21"/>
                <w:highlight w:val="none"/>
              </w:rPr>
            </w:pPr>
            <w:r>
              <w:rPr>
                <w:rFonts w:hint="eastAsia" w:ascii="宋体" w:hAnsi="宋体" w:cs="仿宋"/>
                <w:szCs w:val="21"/>
                <w:highlight w:val="none"/>
              </w:rPr>
              <w:t>投标人提供</w:t>
            </w:r>
            <w:r>
              <w:rPr>
                <w:rFonts w:hint="eastAsia" w:ascii="宋体" w:hAnsi="宋体" w:cs="仿宋"/>
                <w:kern w:val="0"/>
                <w:szCs w:val="21"/>
                <w:highlight w:val="none"/>
              </w:rPr>
              <w:t>售后服务及培训方案，</w:t>
            </w:r>
            <w:r>
              <w:rPr>
                <w:rFonts w:hint="eastAsia" w:asciiTheme="minorEastAsia" w:hAnsiTheme="minorEastAsia" w:eastAsiaTheme="minorEastAsia"/>
                <w:kern w:val="0"/>
                <w:szCs w:val="21"/>
                <w:highlight w:val="none"/>
              </w:rPr>
              <w:t>包含以下内容：</w:t>
            </w:r>
          </w:p>
          <w:p>
            <w:pPr>
              <w:widowControl/>
              <w:spacing w:line="360" w:lineRule="exact"/>
              <w:rPr>
                <w:rFonts w:ascii="宋体" w:hAnsi="宋体" w:cs="仿宋"/>
                <w:szCs w:val="21"/>
                <w:highlight w:val="none"/>
              </w:rPr>
            </w:pPr>
            <w:r>
              <w:rPr>
                <w:rFonts w:hint="eastAsia" w:ascii="宋体" w:hAnsi="宋体" w:cs="仿宋"/>
                <w:szCs w:val="21"/>
                <w:highlight w:val="none"/>
              </w:rPr>
              <w:t>（1）售后服务机构及维护人员配置；</w:t>
            </w:r>
          </w:p>
          <w:p>
            <w:pPr>
              <w:widowControl/>
              <w:spacing w:line="360" w:lineRule="exact"/>
              <w:rPr>
                <w:rFonts w:ascii="宋体" w:hAnsi="宋体" w:cs="仿宋"/>
                <w:szCs w:val="21"/>
                <w:highlight w:val="none"/>
              </w:rPr>
            </w:pPr>
            <w:r>
              <w:rPr>
                <w:rFonts w:hint="eastAsia" w:ascii="宋体" w:hAnsi="宋体" w:cs="仿宋"/>
                <w:szCs w:val="21"/>
                <w:highlight w:val="none"/>
              </w:rPr>
              <w:t>（2）</w:t>
            </w:r>
            <w:r>
              <w:rPr>
                <w:rFonts w:hint="eastAsia" w:ascii="宋体" w:hAnsi="宋体" w:cs="宋体"/>
                <w:szCs w:val="21"/>
                <w:highlight w:val="none"/>
              </w:rPr>
              <w:t>售后服务内容及</w:t>
            </w:r>
            <w:r>
              <w:rPr>
                <w:rFonts w:hint="eastAsia"/>
                <w:highlight w:val="none"/>
              </w:rPr>
              <w:t>响应时间</w:t>
            </w:r>
            <w:r>
              <w:rPr>
                <w:rFonts w:hint="eastAsia" w:ascii="宋体" w:hAnsi="宋体" w:cs="仿宋"/>
                <w:szCs w:val="21"/>
                <w:highlight w:val="none"/>
              </w:rPr>
              <w:t>；</w:t>
            </w:r>
          </w:p>
          <w:p>
            <w:pPr>
              <w:widowControl/>
              <w:spacing w:line="360" w:lineRule="exact"/>
              <w:rPr>
                <w:rFonts w:ascii="宋体" w:hAnsi="宋体" w:cs="仿宋"/>
                <w:szCs w:val="21"/>
                <w:highlight w:val="none"/>
              </w:rPr>
            </w:pPr>
            <w:r>
              <w:rPr>
                <w:rFonts w:hint="eastAsia" w:ascii="宋体" w:hAnsi="宋体" w:cs="仿宋"/>
                <w:szCs w:val="21"/>
                <w:highlight w:val="none"/>
              </w:rPr>
              <w:t>（3）技术培训及</w:t>
            </w:r>
            <w:r>
              <w:rPr>
                <w:rFonts w:hint="eastAsia" w:ascii="宋体" w:hAnsi="宋体"/>
                <w:szCs w:val="21"/>
                <w:highlight w:val="none"/>
              </w:rPr>
              <w:t>备品备件</w:t>
            </w:r>
            <w:r>
              <w:rPr>
                <w:rFonts w:hint="eastAsia" w:ascii="宋体" w:hAnsi="宋体"/>
                <w:highlight w:val="none"/>
              </w:rPr>
              <w:t>支持计划</w:t>
            </w:r>
            <w:r>
              <w:rPr>
                <w:rFonts w:hint="eastAsia" w:ascii="宋体" w:hAnsi="宋体" w:cs="仿宋"/>
                <w:szCs w:val="21"/>
                <w:highlight w:val="none"/>
              </w:rPr>
              <w:t>。</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（二）评分标准：</w:t>
            </w:r>
          </w:p>
          <w:p>
            <w:pPr>
              <w:spacing w:line="360" w:lineRule="exact"/>
              <w:jc w:val="left"/>
              <w:rPr>
                <w:rFonts w:ascii="宋体" w:hAnsi="宋体" w:cs="仿宋"/>
                <w:szCs w:val="21"/>
                <w:highlight w:val="none"/>
              </w:rPr>
            </w:pPr>
            <w:r>
              <w:rPr>
                <w:rFonts w:hint="eastAsia" w:ascii="宋体" w:hAnsi="宋体" w:cs="仿宋"/>
                <w:szCs w:val="21"/>
                <w:highlight w:val="none"/>
              </w:rPr>
              <w:t>方案包含以上三项内容得3</w:t>
            </w:r>
            <w:r>
              <w:rPr>
                <w:rFonts w:hint="eastAsia" w:ascii="宋体" w:hAnsi="宋体" w:cs="仿宋"/>
                <w:szCs w:val="21"/>
                <w:highlight w:val="none"/>
                <w:lang w:val="en-US" w:eastAsia="zh-CN"/>
              </w:rPr>
              <w:t>0</w:t>
            </w:r>
            <w:r>
              <w:rPr>
                <w:rFonts w:hint="eastAsia" w:ascii="宋体" w:hAnsi="宋体" w:cs="仿宋"/>
                <w:szCs w:val="21"/>
                <w:highlight w:val="none"/>
              </w:rPr>
              <w:t>分；包含以上二项内容得2</w:t>
            </w:r>
            <w:r>
              <w:rPr>
                <w:rFonts w:hint="eastAsia" w:ascii="宋体" w:hAnsi="宋体" w:cs="仿宋"/>
                <w:szCs w:val="21"/>
                <w:highlight w:val="none"/>
                <w:lang w:val="en-US" w:eastAsia="zh-CN"/>
              </w:rPr>
              <w:t>0</w:t>
            </w:r>
            <w:r>
              <w:rPr>
                <w:rFonts w:hint="eastAsia" w:ascii="宋体" w:hAnsi="宋体" w:cs="仿宋"/>
                <w:szCs w:val="21"/>
                <w:highlight w:val="none"/>
              </w:rPr>
              <w:t>分；包含以上一项内容得1</w:t>
            </w:r>
            <w:r>
              <w:rPr>
                <w:rFonts w:hint="eastAsia" w:ascii="宋体" w:hAnsi="宋体" w:cs="仿宋"/>
                <w:szCs w:val="21"/>
                <w:highlight w:val="none"/>
                <w:lang w:val="en-US" w:eastAsia="zh-CN"/>
              </w:rPr>
              <w:t>0</w:t>
            </w:r>
            <w:r>
              <w:rPr>
                <w:rFonts w:hint="eastAsia" w:ascii="宋体" w:hAnsi="宋体" w:cs="仿宋"/>
                <w:szCs w:val="21"/>
                <w:highlight w:val="none"/>
              </w:rPr>
              <w:t>分；其他情况不得分。</w:t>
            </w:r>
          </w:p>
          <w:p>
            <w:pPr>
              <w:spacing w:line="360" w:lineRule="exact"/>
              <w:jc w:val="left"/>
              <w:rPr>
                <w:rFonts w:ascii="宋体" w:hAnsi="宋体" w:cs="仿宋"/>
                <w:szCs w:val="21"/>
                <w:highlight w:val="none"/>
              </w:rPr>
            </w:pPr>
            <w:r>
              <w:rPr>
                <w:rFonts w:hint="eastAsia" w:ascii="宋体" w:hAnsi="宋体" w:cs="仿宋"/>
                <w:szCs w:val="21"/>
                <w:highlight w:val="none"/>
              </w:rPr>
              <w:t>在此基础上，根据方案响应情况进一步评审：</w:t>
            </w:r>
          </w:p>
          <w:p>
            <w:pPr>
              <w:spacing w:line="360" w:lineRule="exact"/>
              <w:jc w:val="left"/>
              <w:rPr>
                <w:rFonts w:ascii="宋体" w:hAnsi="宋体" w:cs="仿宋"/>
                <w:szCs w:val="21"/>
                <w:highlight w:val="none"/>
              </w:rPr>
            </w:pPr>
            <w:r>
              <w:rPr>
                <w:rFonts w:hint="eastAsia" w:ascii="宋体" w:hAnsi="宋体" w:cs="仿宋"/>
                <w:szCs w:val="21"/>
                <w:highlight w:val="none"/>
              </w:rPr>
              <w:t>1.方案内容全面、具体，可行性高，加7</w:t>
            </w:r>
            <w:r>
              <w:rPr>
                <w:rFonts w:hint="eastAsia" w:ascii="宋体" w:hAnsi="宋体" w:cs="仿宋"/>
                <w:szCs w:val="21"/>
                <w:highlight w:val="none"/>
                <w:lang w:val="en-US" w:eastAsia="zh-CN"/>
              </w:rPr>
              <w:t>0</w:t>
            </w:r>
            <w:r>
              <w:rPr>
                <w:rFonts w:hint="eastAsia" w:ascii="宋体" w:hAnsi="宋体" w:cs="仿宋"/>
                <w:szCs w:val="21"/>
                <w:highlight w:val="none"/>
              </w:rPr>
              <w:t>分；</w:t>
            </w:r>
          </w:p>
          <w:p>
            <w:pPr>
              <w:spacing w:line="360" w:lineRule="exact"/>
              <w:jc w:val="left"/>
              <w:rPr>
                <w:rFonts w:ascii="宋体" w:hAnsi="宋体" w:cs="仿宋"/>
                <w:szCs w:val="21"/>
                <w:highlight w:val="none"/>
              </w:rPr>
            </w:pPr>
            <w:r>
              <w:rPr>
                <w:rFonts w:hint="eastAsia" w:ascii="宋体" w:hAnsi="宋体" w:cs="仿宋"/>
                <w:szCs w:val="21"/>
                <w:highlight w:val="none"/>
              </w:rPr>
              <w:t>2.方案内容较全面，可行性较高，加4</w:t>
            </w:r>
            <w:r>
              <w:rPr>
                <w:rFonts w:hint="eastAsia" w:ascii="宋体" w:hAnsi="宋体" w:cs="仿宋"/>
                <w:szCs w:val="21"/>
                <w:highlight w:val="none"/>
                <w:lang w:val="en-US" w:eastAsia="zh-CN"/>
              </w:rPr>
              <w:t>0</w:t>
            </w:r>
            <w:r>
              <w:rPr>
                <w:rFonts w:hint="eastAsia" w:ascii="宋体" w:hAnsi="宋体" w:cs="仿宋"/>
                <w:szCs w:val="21"/>
                <w:highlight w:val="none"/>
              </w:rPr>
              <w:t>分；</w:t>
            </w:r>
          </w:p>
          <w:p>
            <w:pPr>
              <w:spacing w:line="360" w:lineRule="exact"/>
              <w:jc w:val="left"/>
              <w:rPr>
                <w:rFonts w:ascii="宋体" w:hAnsi="宋体" w:cs="仿宋"/>
                <w:szCs w:val="21"/>
                <w:highlight w:val="none"/>
              </w:rPr>
            </w:pPr>
            <w:r>
              <w:rPr>
                <w:rFonts w:hint="eastAsia" w:ascii="宋体" w:hAnsi="宋体" w:cs="仿宋"/>
                <w:szCs w:val="21"/>
                <w:highlight w:val="none"/>
              </w:rPr>
              <w:t>3.方案全面性、可行性一般，加1</w:t>
            </w:r>
            <w:r>
              <w:rPr>
                <w:rFonts w:hint="eastAsia" w:ascii="宋体" w:hAnsi="宋体" w:cs="仿宋"/>
                <w:szCs w:val="21"/>
                <w:highlight w:val="none"/>
                <w:lang w:val="en-US" w:eastAsia="zh-CN"/>
              </w:rPr>
              <w:t>0</w:t>
            </w:r>
            <w:r>
              <w:rPr>
                <w:rFonts w:hint="eastAsia" w:ascii="宋体" w:hAnsi="宋体" w:cs="仿宋"/>
                <w:szCs w:val="21"/>
                <w:highlight w:val="none"/>
              </w:rPr>
              <w:t>分；</w:t>
            </w:r>
          </w:p>
          <w:p>
            <w:pPr>
              <w:pStyle w:val="16"/>
              <w:rPr>
                <w:rFonts w:asciiTheme="minorEastAsia" w:hAnsiTheme="minorEastAsia" w:eastAsiaTheme="minorEastAsia"/>
                <w:b/>
                <w:bCs/>
                <w:szCs w:val="21"/>
              </w:rPr>
            </w:pPr>
            <w:r>
              <w:rPr>
                <w:rFonts w:hint="eastAsia" w:ascii="宋体" w:hAnsi="宋体" w:eastAsia="宋体" w:cs="宋体"/>
                <w:kern w:val="2"/>
                <w:sz w:val="21"/>
                <w:szCs w:val="21"/>
                <w:highlight w:val="none"/>
                <w:lang w:val="en-US" w:eastAsia="zh-CN" w:bidi="ar-SA"/>
              </w:rPr>
              <w:t>4.方案不全，可行性低，不加分。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spacing w:line="360" w:lineRule="exact"/>
              <w:jc w:val="center"/>
              <w:rPr>
                <w:rFonts w:asciiTheme="minorEastAsia" w:hAnsiTheme="minorEastAsia" w:eastAsiaTheme="minorEastAsia"/>
                <w:b/>
                <w:bCs/>
                <w:color w:val="0000FF"/>
                <w:sz w:val="24"/>
              </w:rPr>
            </w:pPr>
            <w:r>
              <w:rPr>
                <w:rFonts w:asciiTheme="minorEastAsia" w:hAnsiTheme="minorEastAsia" w:eastAsiaTheme="minorEastAsia"/>
                <w:b/>
                <w:bCs/>
                <w:color w:val="0000FF"/>
              </w:rPr>
              <w:t>3</w:t>
            </w:r>
          </w:p>
        </w:tc>
        <w:tc>
          <w:tcPr>
            <w:tcW w:w="3433"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asciiTheme="minorEastAsia" w:hAnsiTheme="minorEastAsia" w:eastAsiaTheme="minorEastAsia"/>
                <w:b/>
                <w:bCs/>
                <w:color w:val="0000FF"/>
              </w:rPr>
              <w:t>商务</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Theme="minorEastAsia" w:hAnsiTheme="minorEastAsia" w:eastAsiaTheme="minorEastAsia"/>
                <w:b/>
                <w:bCs/>
                <w:color w:val="0000FF"/>
                <w:lang w:val="en-US" w:eastAsia="zh-CN"/>
              </w:rPr>
            </w:pPr>
            <w:r>
              <w:rPr>
                <w:rFonts w:hint="eastAsia" w:asciiTheme="minorEastAsia" w:hAnsiTheme="minorEastAsia" w:eastAsiaTheme="minorEastAsia"/>
                <w:b/>
                <w:bCs/>
                <w:color w:val="0000FF"/>
              </w:rPr>
              <w:t>1</w:t>
            </w:r>
            <w:r>
              <w:rPr>
                <w:rFonts w:hint="eastAsia" w:asciiTheme="minorEastAsia" w:hAnsiTheme="minorEastAsia" w:eastAsiaTheme="minorEastAsia"/>
                <w:b/>
                <w:bCs/>
                <w:color w:val="0000FF"/>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jc w:val="center"/>
              <w:rPr>
                <w:rFonts w:cs="宋体" w:asciiTheme="minorEastAsia" w:hAnsiTheme="minorEastAsia" w:eastAsiaTheme="minorEastAsia"/>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cs="宋体" w:asciiTheme="minorEastAsia" w:hAnsiTheme="minorEastAsia" w:eastAsiaTheme="minorEastAsia"/>
                <w:szCs w:val="21"/>
              </w:rPr>
            </w:pPr>
            <w:r>
              <w:rPr>
                <w:rFonts w:asciiTheme="minorEastAsia" w:hAnsiTheme="minorEastAsia" w:eastAsiaTheme="minorEastAsia"/>
                <w:szCs w:val="21"/>
              </w:rPr>
              <w:t>序号</w:t>
            </w:r>
          </w:p>
        </w:tc>
        <w:tc>
          <w:tcPr>
            <w:tcW w:w="211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评分因素</w:t>
            </w:r>
          </w:p>
        </w:tc>
        <w:tc>
          <w:tcPr>
            <w:tcW w:w="6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权重(%)</w:t>
            </w:r>
          </w:p>
        </w:tc>
        <w:tc>
          <w:tcPr>
            <w:tcW w:w="538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1</w:t>
            </w:r>
          </w:p>
        </w:tc>
        <w:tc>
          <w:tcPr>
            <w:tcW w:w="2116" w:type="dxa"/>
            <w:tcBorders>
              <w:top w:val="single" w:color="000000" w:sz="8" w:space="0"/>
              <w:left w:val="single" w:color="000000" w:sz="8" w:space="0"/>
              <w:bottom w:val="single" w:color="000000" w:sz="8" w:space="0"/>
              <w:right w:val="single" w:color="000000" w:sz="8" w:space="0"/>
            </w:tcBorders>
            <w:vAlign w:val="top"/>
          </w:tcPr>
          <w:p>
            <w:pPr>
              <w:widowControl/>
              <w:spacing w:line="360" w:lineRule="exact"/>
              <w:jc w:val="both"/>
              <w:rPr>
                <w:rFonts w:asciiTheme="minorEastAsia" w:hAnsiTheme="minorEastAsia" w:eastAsiaTheme="minorEastAsia"/>
                <w:szCs w:val="21"/>
              </w:rPr>
            </w:pPr>
            <w:r>
              <w:rPr>
                <w:rFonts w:hint="eastAsia" w:ascii="宋体" w:hAnsi="宋体" w:cs="仿宋"/>
                <w:color w:val="auto"/>
                <w:szCs w:val="21"/>
                <w:highlight w:val="none"/>
              </w:rPr>
              <w:t>同类项目业绩</w:t>
            </w:r>
          </w:p>
        </w:tc>
        <w:tc>
          <w:tcPr>
            <w:tcW w:w="637" w:type="dxa"/>
            <w:tcBorders>
              <w:top w:val="single" w:color="000000" w:sz="8" w:space="0"/>
              <w:left w:val="single" w:color="000000" w:sz="8" w:space="0"/>
              <w:bottom w:val="single" w:color="000000" w:sz="8" w:space="0"/>
              <w:right w:val="single" w:color="000000" w:sz="8" w:space="0"/>
            </w:tcBorders>
            <w:vAlign w:val="top"/>
          </w:tcPr>
          <w:p>
            <w:pPr>
              <w:widowControl/>
              <w:spacing w:line="360" w:lineRule="exact"/>
              <w:jc w:val="both"/>
              <w:rPr>
                <w:rFonts w:asciiTheme="minorEastAsia" w:hAnsiTheme="minorEastAsia" w:eastAsiaTheme="minorEastAsia"/>
                <w:szCs w:val="21"/>
              </w:rPr>
            </w:pPr>
            <w:r>
              <w:rPr>
                <w:rFonts w:hint="eastAsia" w:ascii="宋体" w:hAnsi="宋体" w:cs="仿宋"/>
                <w:szCs w:val="21"/>
              </w:rPr>
              <w:t>10</w:t>
            </w:r>
          </w:p>
        </w:tc>
        <w:tc>
          <w:tcPr>
            <w:tcW w:w="5386" w:type="dxa"/>
            <w:tcBorders>
              <w:top w:val="single" w:color="000000" w:sz="8" w:space="0"/>
              <w:left w:val="single" w:color="000000" w:sz="8" w:space="0"/>
              <w:bottom w:val="single" w:color="000000" w:sz="8" w:space="0"/>
              <w:right w:val="single" w:color="000000" w:sz="8" w:space="0"/>
            </w:tcBorders>
            <w:vAlign w:val="center"/>
          </w:tcPr>
          <w:p>
            <w:pPr>
              <w:pStyle w:val="189"/>
              <w:spacing w:line="360" w:lineRule="exact"/>
              <w:ind w:firstLine="0" w:firstLineChars="0"/>
              <w:rPr>
                <w:rFonts w:ascii="宋体" w:hAnsi="宋体"/>
                <w:color w:val="auto"/>
                <w:szCs w:val="21"/>
                <w:highlight w:val="none"/>
              </w:rPr>
            </w:pPr>
            <w:r>
              <w:rPr>
                <w:rFonts w:hint="eastAsia" w:ascii="宋体" w:hAnsi="宋体"/>
                <w:color w:val="auto"/>
                <w:szCs w:val="21"/>
                <w:highlight w:val="none"/>
              </w:rPr>
              <w:t>（一）评分内容：</w:t>
            </w:r>
          </w:p>
          <w:p>
            <w:pPr>
              <w:widowControl/>
              <w:spacing w:line="360" w:lineRule="exact"/>
              <w:rPr>
                <w:rFonts w:hint="eastAsia" w:ascii="宋体" w:hAnsi="宋体" w:cs="仿宋"/>
                <w:color w:val="auto"/>
                <w:szCs w:val="21"/>
                <w:highlight w:val="none"/>
                <w:lang w:val="en-US" w:eastAsia="zh-CN"/>
              </w:rPr>
            </w:pPr>
            <w:r>
              <w:rPr>
                <w:rFonts w:hint="eastAsia" w:ascii="宋体" w:hAnsi="宋体" w:cs="宋体"/>
                <w:color w:val="auto"/>
                <w:szCs w:val="21"/>
                <w:highlight w:val="none"/>
              </w:rPr>
              <w:t>2021年1月1日至本项目投标截止日（以合同签订日期</w:t>
            </w:r>
            <w:r>
              <w:rPr>
                <w:rFonts w:hint="eastAsia" w:ascii="宋体" w:hAnsi="宋体"/>
                <w:color w:val="auto"/>
                <w:szCs w:val="21"/>
                <w:highlight w:val="none"/>
              </w:rPr>
              <w:t>或合同中载明的履约起始日期</w:t>
            </w:r>
            <w:r>
              <w:rPr>
                <w:rFonts w:hint="eastAsia" w:ascii="宋体" w:hAnsi="宋体" w:cs="宋体"/>
                <w:color w:val="auto"/>
                <w:szCs w:val="21"/>
                <w:highlight w:val="none"/>
              </w:rPr>
              <w:t>为准），投标人</w:t>
            </w:r>
            <w:r>
              <w:rPr>
                <w:rFonts w:hint="eastAsia" w:ascii="宋体" w:hAnsi="宋体" w:cs="仿宋"/>
                <w:color w:val="auto"/>
                <w:szCs w:val="21"/>
                <w:highlight w:val="none"/>
              </w:rPr>
              <w:t>具有同类项目业绩的，</w:t>
            </w:r>
            <w:r>
              <w:rPr>
                <w:rFonts w:hint="eastAsia" w:ascii="宋体" w:hAnsi="宋体" w:cs="仿宋"/>
                <w:color w:val="auto"/>
                <w:szCs w:val="21"/>
                <w:highlight w:val="none"/>
                <w:lang w:val="en-US" w:eastAsia="zh-CN"/>
              </w:rPr>
              <w:t>按以下标准评审：</w:t>
            </w:r>
          </w:p>
          <w:p>
            <w:pPr>
              <w:widowControl/>
              <w:spacing w:line="360" w:lineRule="exact"/>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（1）功率等级为50kW及以上，</w:t>
            </w:r>
            <w:r>
              <w:rPr>
                <w:rFonts w:hint="eastAsia" w:ascii="宋体" w:hAnsi="宋体" w:cs="仿宋"/>
                <w:color w:val="auto"/>
                <w:szCs w:val="21"/>
                <w:highlight w:val="none"/>
              </w:rPr>
              <w:t>每提供1个项目得2</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分，最高得10</w:t>
            </w:r>
            <w:r>
              <w:rPr>
                <w:rFonts w:hint="eastAsia" w:ascii="宋体" w:hAnsi="宋体" w:cs="仿宋"/>
                <w:color w:val="auto"/>
                <w:szCs w:val="21"/>
                <w:highlight w:val="none"/>
                <w:lang w:val="en-US" w:eastAsia="zh-CN"/>
              </w:rPr>
              <w:t>0</w:t>
            </w:r>
            <w:r>
              <w:rPr>
                <w:rFonts w:hint="eastAsia" w:ascii="宋体" w:hAnsi="宋体" w:cs="仿宋"/>
                <w:color w:val="auto"/>
                <w:szCs w:val="21"/>
                <w:highlight w:val="none"/>
              </w:rPr>
              <w:t>分。</w:t>
            </w:r>
            <w:r>
              <w:rPr>
                <w:rFonts w:hint="eastAsia" w:ascii="宋体" w:hAnsi="宋体" w:cs="仿宋"/>
                <w:color w:val="auto"/>
                <w:szCs w:val="21"/>
                <w:highlight w:val="none"/>
              </w:rPr>
              <w:br w:type="textWrapping"/>
            </w: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2</w:t>
            </w:r>
            <w:r>
              <w:rPr>
                <w:rFonts w:hint="eastAsia" w:ascii="宋体" w:hAnsi="宋体" w:cs="仿宋"/>
                <w:color w:val="auto"/>
                <w:szCs w:val="21"/>
                <w:highlight w:val="none"/>
                <w:lang w:eastAsia="zh-CN"/>
              </w:rPr>
              <w:t>）功率等级为50kW以下</w:t>
            </w:r>
            <w:r>
              <w:rPr>
                <w:rFonts w:hint="eastAsia" w:ascii="宋体" w:hAnsi="宋体" w:cs="仿宋"/>
                <w:color w:val="auto"/>
                <w:szCs w:val="21"/>
                <w:highlight w:val="none"/>
                <w:lang w:val="en-US" w:eastAsia="zh-CN"/>
              </w:rPr>
              <w:t>，</w:t>
            </w:r>
            <w:r>
              <w:rPr>
                <w:rFonts w:hint="eastAsia" w:ascii="宋体" w:hAnsi="宋体" w:cs="仿宋"/>
                <w:color w:val="auto"/>
                <w:szCs w:val="21"/>
                <w:highlight w:val="none"/>
              </w:rPr>
              <w:t>每提供1个项目得</w:t>
            </w:r>
            <w:r>
              <w:rPr>
                <w:rFonts w:hint="eastAsia" w:ascii="宋体" w:hAnsi="宋体" w:cs="仿宋"/>
                <w:color w:val="auto"/>
                <w:szCs w:val="21"/>
                <w:highlight w:val="none"/>
                <w:lang w:val="en-US" w:eastAsia="zh-CN"/>
              </w:rPr>
              <w:t>10</w:t>
            </w:r>
            <w:r>
              <w:rPr>
                <w:rFonts w:hint="eastAsia" w:ascii="宋体" w:hAnsi="宋体" w:cs="仿宋"/>
                <w:color w:val="auto"/>
                <w:szCs w:val="21"/>
                <w:highlight w:val="none"/>
              </w:rPr>
              <w:t>分，最高得</w:t>
            </w:r>
            <w:r>
              <w:rPr>
                <w:rFonts w:hint="eastAsia" w:ascii="宋体" w:hAnsi="宋体" w:cs="仿宋"/>
                <w:color w:val="auto"/>
                <w:szCs w:val="21"/>
                <w:highlight w:val="none"/>
                <w:lang w:val="en-US" w:eastAsia="zh-CN"/>
              </w:rPr>
              <w:t>50</w:t>
            </w:r>
            <w:r>
              <w:rPr>
                <w:rFonts w:hint="eastAsia" w:ascii="宋体" w:hAnsi="宋体" w:cs="仿宋"/>
                <w:color w:val="auto"/>
                <w:szCs w:val="21"/>
                <w:highlight w:val="none"/>
              </w:rPr>
              <w:t>分。</w:t>
            </w:r>
            <w:r>
              <w:rPr>
                <w:rFonts w:hint="eastAsia" w:ascii="宋体" w:hAnsi="宋体" w:cs="仿宋"/>
                <w:color w:val="auto"/>
                <w:szCs w:val="21"/>
                <w:highlight w:val="none"/>
              </w:rPr>
              <w:br w:type="textWrapping"/>
            </w:r>
            <w:r>
              <w:rPr>
                <w:rFonts w:hint="eastAsia" w:ascii="宋体" w:hAnsi="宋体" w:cs="仿宋"/>
                <w:color w:val="auto"/>
                <w:szCs w:val="21"/>
                <w:highlight w:val="none"/>
                <w:lang w:val="en-US" w:eastAsia="zh-CN"/>
              </w:rPr>
              <w:t>本项最高得100分。</w:t>
            </w:r>
          </w:p>
          <w:p>
            <w:pPr>
              <w:autoSpaceDE w:val="0"/>
              <w:autoSpaceDN w:val="0"/>
              <w:adjustRightInd w:val="0"/>
              <w:spacing w:line="360" w:lineRule="exact"/>
              <w:jc w:val="left"/>
              <w:rPr>
                <w:rFonts w:ascii="宋体" w:hAnsi="宋体"/>
                <w:color w:val="auto"/>
                <w:kern w:val="0"/>
                <w:szCs w:val="21"/>
                <w:highlight w:val="none"/>
              </w:rPr>
            </w:pPr>
            <w:r>
              <w:rPr>
                <w:rFonts w:hint="eastAsia" w:ascii="宋体" w:hAnsi="宋体"/>
                <w:color w:val="auto"/>
                <w:kern w:val="0"/>
                <w:szCs w:val="21"/>
                <w:highlight w:val="none"/>
              </w:rPr>
              <w:t>（二）评分依据：</w:t>
            </w:r>
          </w:p>
          <w:p>
            <w:pPr>
              <w:adjustRightInd w:val="0"/>
              <w:snapToGrid w:val="0"/>
              <w:spacing w:line="360" w:lineRule="exact"/>
              <w:rPr>
                <w:rFonts w:ascii="宋体" w:hAnsi="宋体"/>
                <w:color w:val="auto"/>
                <w:szCs w:val="21"/>
                <w:highlight w:val="none"/>
              </w:rPr>
            </w:pPr>
            <w:r>
              <w:rPr>
                <w:rFonts w:hint="eastAsia" w:ascii="宋体" w:hAnsi="宋体" w:cs="仿宋"/>
                <w:color w:val="auto"/>
                <w:szCs w:val="21"/>
                <w:highlight w:val="none"/>
              </w:rPr>
              <w:t>1. 提供合同关键页</w:t>
            </w:r>
            <w:r>
              <w:rPr>
                <w:rFonts w:hint="eastAsia" w:asciiTheme="minorEastAsia" w:hAnsiTheme="minorEastAsia" w:eastAsiaTheme="minorEastAsia"/>
                <w:bCs/>
                <w:color w:val="auto"/>
                <w:szCs w:val="21"/>
                <w:highlight w:val="none"/>
              </w:rPr>
              <w:t>且各项信息不得有任何遮挡</w:t>
            </w:r>
            <w:r>
              <w:rPr>
                <w:rFonts w:hint="eastAsia" w:ascii="宋体" w:hAnsi="宋体"/>
                <w:color w:val="auto"/>
                <w:szCs w:val="21"/>
                <w:highlight w:val="none"/>
              </w:rPr>
              <w:t>；</w:t>
            </w:r>
          </w:p>
          <w:p>
            <w:r>
              <w:rPr>
                <w:rFonts w:hint="eastAsia" w:ascii="宋体" w:hAnsi="宋体"/>
                <w:color w:val="auto"/>
                <w:szCs w:val="21"/>
                <w:highlight w:val="none"/>
              </w:rPr>
              <w:t>2.</w:t>
            </w:r>
            <w:r>
              <w:rPr>
                <w:rFonts w:hint="eastAsia" w:ascii="宋体" w:hAnsi="宋体"/>
                <w:color w:val="auto"/>
                <w:kern w:val="0"/>
                <w:szCs w:val="21"/>
                <w:highlight w:val="none"/>
              </w:rPr>
              <w:t xml:space="preserve"> 以上</w:t>
            </w:r>
            <w:r>
              <w:rPr>
                <w:rFonts w:hint="eastAsia" w:ascii="宋体" w:hAnsi="宋体"/>
                <w:color w:val="auto"/>
                <w:szCs w:val="21"/>
                <w:highlight w:val="none"/>
              </w:rPr>
              <w:t>证明文件</w:t>
            </w:r>
            <w:r>
              <w:rPr>
                <w:rFonts w:hint="eastAsia" w:ascii="宋体" w:hAnsi="宋体"/>
                <w:color w:val="auto"/>
                <w:kern w:val="0"/>
                <w:szCs w:val="21"/>
                <w:highlight w:val="none"/>
              </w:rPr>
              <w:t>均提供扫描件</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原件备查。</w:t>
            </w:r>
            <w:r>
              <w:rPr>
                <w:rFonts w:hint="eastAsia" w:ascii="宋体" w:hAnsi="宋体"/>
                <w:color w:val="auto"/>
                <w:szCs w:val="21"/>
                <w:highlight w:val="none"/>
              </w:rPr>
              <w:t>未按要求提供有效证明材料或提供不清晰导致评委无法识别的不计得分。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w:t>
            </w:r>
          </w:p>
        </w:tc>
        <w:tc>
          <w:tcPr>
            <w:tcW w:w="2116" w:type="dxa"/>
            <w:tcBorders>
              <w:top w:val="single" w:color="000000" w:sz="8" w:space="0"/>
              <w:left w:val="single" w:color="000000" w:sz="8" w:space="0"/>
              <w:bottom w:val="single" w:color="000000" w:sz="8" w:space="0"/>
              <w:right w:val="single" w:color="000000" w:sz="8" w:space="0"/>
            </w:tcBorders>
            <w:vAlign w:val="top"/>
          </w:tcPr>
          <w:p>
            <w:pPr>
              <w:widowControl/>
              <w:spacing w:line="360" w:lineRule="exact"/>
              <w:jc w:val="both"/>
              <w:rPr>
                <w:rFonts w:asciiTheme="minorEastAsia" w:hAnsiTheme="minorEastAsia" w:eastAsiaTheme="minorEastAsia"/>
                <w:szCs w:val="21"/>
              </w:rPr>
            </w:pPr>
            <w:r>
              <w:rPr>
                <w:rFonts w:asciiTheme="minorEastAsia" w:hAnsiTheme="minorEastAsia" w:eastAsiaTheme="minorEastAsia"/>
                <w:szCs w:val="21"/>
              </w:rPr>
              <w:t>拟安排的项目团队成员情况</w:t>
            </w:r>
          </w:p>
        </w:tc>
        <w:tc>
          <w:tcPr>
            <w:tcW w:w="637" w:type="dxa"/>
            <w:tcBorders>
              <w:top w:val="single" w:color="000000" w:sz="8" w:space="0"/>
              <w:left w:val="single" w:color="000000" w:sz="8" w:space="0"/>
              <w:bottom w:val="single" w:color="000000" w:sz="8" w:space="0"/>
              <w:right w:val="single" w:color="000000" w:sz="8" w:space="0"/>
            </w:tcBorders>
            <w:vAlign w:val="top"/>
          </w:tcPr>
          <w:p>
            <w:pPr>
              <w:widowControl/>
              <w:spacing w:line="360" w:lineRule="exact"/>
              <w:jc w:val="both"/>
              <w:rPr>
                <w:rFonts w:hint="eastAsia" w:ascii="宋体" w:hAnsi="宋体" w:eastAsia="宋体" w:cs="仿宋"/>
                <w:szCs w:val="21"/>
                <w:lang w:val="en-US" w:eastAsia="zh-CN"/>
              </w:rPr>
            </w:pPr>
            <w:r>
              <w:rPr>
                <w:rFonts w:hint="eastAsia" w:ascii="宋体" w:hAnsi="宋体" w:cs="仿宋"/>
                <w:szCs w:val="21"/>
                <w:lang w:val="en-US" w:eastAsia="zh-CN"/>
              </w:rPr>
              <w:t>3</w:t>
            </w:r>
          </w:p>
        </w:tc>
        <w:tc>
          <w:tcPr>
            <w:tcW w:w="5386" w:type="dxa"/>
            <w:tcBorders>
              <w:top w:val="single" w:color="000000" w:sz="8" w:space="0"/>
              <w:left w:val="single" w:color="000000" w:sz="8" w:space="0"/>
              <w:bottom w:val="single" w:color="000000" w:sz="8" w:space="0"/>
              <w:right w:val="single" w:color="000000" w:sz="8" w:space="0"/>
            </w:tcBorders>
            <w:vAlign w:val="center"/>
          </w:tcPr>
          <w:p>
            <w:pPr>
              <w:pStyle w:val="189"/>
              <w:spacing w:line="360" w:lineRule="exact"/>
              <w:ind w:firstLine="0" w:firstLineChars="0"/>
              <w:rPr>
                <w:rFonts w:ascii="宋体" w:hAnsi="宋体"/>
                <w:szCs w:val="21"/>
              </w:rPr>
            </w:pPr>
            <w:r>
              <w:rPr>
                <w:rFonts w:hint="eastAsia" w:ascii="宋体" w:hAnsi="宋体"/>
                <w:szCs w:val="21"/>
              </w:rPr>
              <w:t>（一）评分内容：</w:t>
            </w:r>
          </w:p>
          <w:p>
            <w:pPr>
              <w:pStyle w:val="189"/>
              <w:spacing w:line="360" w:lineRule="exact"/>
              <w:ind w:firstLine="0" w:firstLineChars="0"/>
              <w:rPr>
                <w:rFonts w:ascii="宋体" w:hAnsi="宋体"/>
                <w:szCs w:val="21"/>
              </w:rPr>
            </w:pPr>
            <w:r>
              <w:rPr>
                <w:rFonts w:hint="eastAsia" w:ascii="宋体" w:hAnsi="宋体" w:cs="宋体"/>
                <w:szCs w:val="21"/>
              </w:rPr>
              <w:t>拟安排的项目团队成员</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员工，否则本项不得分。在此基础上，按以下标准评分：</w:t>
            </w:r>
          </w:p>
          <w:p>
            <w:pPr>
              <w:pStyle w:val="189"/>
              <w:spacing w:line="360" w:lineRule="exact"/>
              <w:ind w:firstLine="0" w:firstLineChars="0"/>
              <w:rPr>
                <w:rFonts w:hint="default" w:ascii="宋体" w:hAnsi="宋体"/>
                <w:szCs w:val="21"/>
                <w:lang w:val="en-US" w:eastAsia="zh-CN"/>
              </w:rPr>
            </w:pPr>
            <w:r>
              <w:rPr>
                <w:rFonts w:hint="eastAsia" w:ascii="宋体" w:hAnsi="宋体"/>
                <w:szCs w:val="21"/>
              </w:rPr>
              <w:t>（1）每有一</w:t>
            </w:r>
            <w:r>
              <w:rPr>
                <w:rFonts w:hint="eastAsia" w:ascii="宋体" w:hAnsi="宋体"/>
                <w:szCs w:val="21"/>
                <w:lang w:val="en-US" w:eastAsia="zh-CN"/>
              </w:rPr>
              <w:t>人具有</w:t>
            </w:r>
            <w:r>
              <w:rPr>
                <w:rFonts w:hint="eastAsia" w:ascii="宋体" w:hAnsi="宋体"/>
                <w:szCs w:val="21"/>
              </w:rPr>
              <w:t>高级</w:t>
            </w:r>
            <w:r>
              <w:rPr>
                <w:rFonts w:hint="eastAsia"/>
                <w:lang w:val="en-US" w:eastAsia="zh-CN"/>
              </w:rPr>
              <w:t>（含副高）</w:t>
            </w:r>
            <w:r>
              <w:rPr>
                <w:rFonts w:hint="eastAsia" w:ascii="宋体" w:hAnsi="宋体"/>
                <w:szCs w:val="21"/>
              </w:rPr>
              <w:t>工程师证书</w:t>
            </w:r>
            <w:r>
              <w:rPr>
                <w:rFonts w:hint="eastAsia" w:ascii="宋体" w:hAnsi="宋体"/>
                <w:szCs w:val="21"/>
                <w:lang w:eastAsia="zh-CN"/>
              </w:rPr>
              <w:t>，</w:t>
            </w:r>
            <w:r>
              <w:rPr>
                <w:rFonts w:hint="eastAsia" w:ascii="宋体" w:hAnsi="宋体"/>
                <w:szCs w:val="21"/>
                <w:lang w:val="en-US" w:eastAsia="zh-CN"/>
              </w:rPr>
              <w:t>得35分；最高得100分。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189"/>
              <w:spacing w:line="360" w:lineRule="exact"/>
              <w:ind w:firstLine="0" w:firstLineChars="0"/>
              <w:rPr>
                <w:rFonts w:ascii="宋体" w:hAnsi="宋体"/>
                <w:szCs w:val="21"/>
              </w:rPr>
            </w:pPr>
            <w:r>
              <w:rPr>
                <w:rFonts w:hint="eastAsia" w:ascii="宋体" w:hAnsi="宋体"/>
                <w:szCs w:val="21"/>
              </w:rPr>
              <w:t>1. 提供项目团队成员通过投标单位缴纳的载有</w:t>
            </w:r>
            <w:r>
              <w:rPr>
                <w:rFonts w:hint="eastAsia" w:cs="宋体" w:asciiTheme="minorEastAsia" w:hAnsiTheme="minorEastAsia" w:eastAsiaTheme="minorEastAsia"/>
                <w:szCs w:val="21"/>
              </w:rPr>
              <w:t>社保部门或税务部门</w:t>
            </w:r>
            <w:r>
              <w:rPr>
                <w:rFonts w:hint="eastAsia" w:ascii="宋体" w:hAnsi="宋体"/>
                <w:szCs w:val="21"/>
              </w:rPr>
              <w:t>公章的近三个月的个人社保证明；如供应商为新成立单位且成立时间不足</w:t>
            </w:r>
            <w:r>
              <w:rPr>
                <w:rFonts w:hint="eastAsia" w:ascii="宋体" w:hAnsi="宋体"/>
                <w:szCs w:val="21"/>
                <w:lang w:val="en-US" w:eastAsia="zh-CN"/>
              </w:rPr>
              <w:t>三</w:t>
            </w:r>
            <w:r>
              <w:rPr>
                <w:rFonts w:hint="eastAsia" w:ascii="宋体" w:hAnsi="宋体"/>
                <w:szCs w:val="21"/>
              </w:rPr>
              <w:t>个月的，</w:t>
            </w:r>
            <w:r>
              <w:rPr>
                <w:rFonts w:hint="eastAsia" w:ascii="宋体" w:hAnsi="宋体" w:cs="宋体"/>
                <w:szCs w:val="21"/>
              </w:rPr>
              <w:t>可提供加盖公章的情况说明或者证明材料，</w:t>
            </w:r>
            <w:r>
              <w:rPr>
                <w:rFonts w:hint="eastAsia" w:ascii="宋体" w:hAnsi="宋体" w:cs="宋体"/>
              </w:rPr>
              <w:t>无需提供相关人员社保，亦视为符合；</w:t>
            </w:r>
            <w:r>
              <w:rPr>
                <w:rFonts w:hint="eastAsia" w:ascii="宋体" w:hAnsi="宋体"/>
                <w:szCs w:val="21"/>
              </w:rPr>
              <w:t>如为退休返聘人员则提供劳动合同或返聘协议，</w:t>
            </w:r>
            <w:r>
              <w:rPr>
                <w:rFonts w:hint="eastAsia" w:ascii="宋体" w:hAnsi="宋体" w:cs="宋体"/>
              </w:rPr>
              <w:t>无需提供相关人员社保，亦视为符合</w:t>
            </w:r>
            <w:r>
              <w:rPr>
                <w:rFonts w:hint="eastAsia" w:ascii="宋体" w:hAnsi="宋体"/>
                <w:szCs w:val="21"/>
              </w:rPr>
              <w:t>；</w:t>
            </w:r>
          </w:p>
          <w:p>
            <w:pPr>
              <w:pStyle w:val="189"/>
              <w:spacing w:line="360" w:lineRule="exact"/>
              <w:ind w:firstLine="0" w:firstLineChars="0"/>
              <w:rPr>
                <w:rFonts w:ascii="宋体" w:hAnsi="宋体"/>
                <w:szCs w:val="21"/>
              </w:rPr>
            </w:pPr>
            <w:r>
              <w:rPr>
                <w:rFonts w:hint="eastAsia" w:ascii="宋体" w:hAnsi="宋体"/>
                <w:szCs w:val="21"/>
              </w:rPr>
              <w:t>2. 提供上述</w:t>
            </w:r>
            <w:r>
              <w:rPr>
                <w:rFonts w:hint="eastAsia" w:ascii="宋体" w:hAnsi="宋体"/>
                <w:szCs w:val="21"/>
                <w:lang w:val="en-US" w:eastAsia="zh-CN"/>
              </w:rPr>
              <w:t>人员</w:t>
            </w:r>
            <w:r>
              <w:rPr>
                <w:rFonts w:hint="eastAsia" w:ascii="宋体" w:hAnsi="宋体"/>
                <w:szCs w:val="21"/>
              </w:rPr>
              <w:t>工程师证书；</w:t>
            </w:r>
          </w:p>
          <w:p>
            <w:pPr>
              <w:rPr>
                <w:rFonts w:hint="eastAsia" w:ascii="宋体" w:hAnsi="宋体"/>
                <w:color w:val="auto"/>
                <w:szCs w:val="21"/>
                <w:highlight w:val="none"/>
              </w:rPr>
            </w:pPr>
            <w:r>
              <w:rPr>
                <w:rFonts w:hint="eastAsia" w:ascii="宋体" w:hAnsi="宋体"/>
                <w:szCs w:val="21"/>
                <w:lang w:val="en-US" w:eastAsia="zh-CN"/>
              </w:rPr>
              <w:t>3</w:t>
            </w:r>
            <w:r>
              <w:rPr>
                <w:rFonts w:hint="eastAsia" w:ascii="宋体" w:hAnsi="宋体"/>
                <w:szCs w:val="21"/>
              </w:rPr>
              <w:t>. 提供以上证明文件扫描件，如涉及网站截图或照片等证明材料，需提供清晰图片，原件备查。未按要求提供有效证明材料或提供不清晰导致评委无法识别的不计得分。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hint="eastAsia" w:asciiTheme="minorEastAsia" w:hAnsiTheme="minorEastAsia" w:eastAsiaTheme="minorEastAsia"/>
                <w:b/>
                <w:bCs/>
                <w:color w:val="0000FF"/>
              </w:rPr>
              <w:t>4</w:t>
            </w:r>
          </w:p>
        </w:tc>
        <w:tc>
          <w:tcPr>
            <w:tcW w:w="3433"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hint="eastAsia" w:asciiTheme="minorEastAsia" w:hAnsiTheme="minorEastAsia" w:eastAsiaTheme="minorEastAsia"/>
                <w:b/>
                <w:bCs/>
                <w:color w:val="0000FF"/>
              </w:rPr>
              <w:t>其他</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hint="eastAsia" w:asciiTheme="minorEastAsia" w:hAnsiTheme="minorEastAsia" w:eastAsiaTheme="minorEastAsia"/>
                <w:b/>
                <w:bCs/>
                <w:color w:val="0000FF"/>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spacing w:line="360" w:lineRule="exact"/>
              <w:jc w:val="center"/>
              <w:rPr>
                <w:rFonts w:cs="宋体" w:asciiTheme="minorEastAsia" w:hAnsiTheme="minorEastAsia" w:eastAsiaTheme="minorEastAsia"/>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cs="宋体" w:asciiTheme="minorEastAsia" w:hAnsiTheme="minorEastAsia" w:eastAsiaTheme="minorEastAsia"/>
                <w:szCs w:val="21"/>
              </w:rPr>
            </w:pPr>
            <w:r>
              <w:rPr>
                <w:rFonts w:asciiTheme="minorEastAsia" w:hAnsiTheme="minorEastAsia" w:eastAsiaTheme="minorEastAsia"/>
                <w:szCs w:val="21"/>
              </w:rPr>
              <w:t>序号</w:t>
            </w:r>
          </w:p>
        </w:tc>
        <w:tc>
          <w:tcPr>
            <w:tcW w:w="211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评分因素</w:t>
            </w:r>
          </w:p>
        </w:tc>
        <w:tc>
          <w:tcPr>
            <w:tcW w:w="6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权重(%)</w:t>
            </w:r>
          </w:p>
        </w:tc>
        <w:tc>
          <w:tcPr>
            <w:tcW w:w="538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492" w:hRule="atLeast"/>
          <w:jc w:val="center"/>
        </w:trPr>
        <w:tc>
          <w:tcPr>
            <w:tcW w:w="0" w:type="auto"/>
            <w:vMerge w:val="continue"/>
            <w:tcBorders>
              <w:left w:val="single" w:color="000000" w:sz="8" w:space="0"/>
              <w:bottom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诚信评审</w:t>
            </w: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5</w:t>
            </w:r>
          </w:p>
        </w:tc>
        <w:tc>
          <w:tcPr>
            <w:tcW w:w="538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宋体" w:hAnsi="宋体"/>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w:t>
            </w:r>
            <w:r>
              <w:rPr>
                <w:rFonts w:hint="eastAsia" w:ascii="宋体" w:hAnsi="宋体"/>
                <w:szCs w:val="21"/>
              </w:rPr>
              <w:t>，如供应商在全国范围内存在因政府采购违法、违规行为受到财政部门罚款等一般行政处罚信息，或者存在该办法第十一条所称</w:t>
            </w:r>
            <w:r>
              <w:rPr>
                <w:rFonts w:hint="eastAsia" w:asciiTheme="minorEastAsia" w:hAnsiTheme="minorEastAsia" w:eastAsiaTheme="minorEastAsia"/>
                <w:szCs w:val="21"/>
              </w:rPr>
              <w:t>在本市集中采购活动中的</w:t>
            </w:r>
            <w:r>
              <w:rPr>
                <w:rFonts w:hint="eastAsia" w:ascii="宋体" w:hAnsi="宋体"/>
                <w:szCs w:val="21"/>
              </w:rPr>
              <w:t>一般违法失信行为记录信息，且在公示期内的，本项不得分，否则得100分。</w:t>
            </w:r>
          </w:p>
          <w:p>
            <w:pPr>
              <w:spacing w:line="360" w:lineRule="exact"/>
              <w:rPr>
                <w:rFonts w:asciiTheme="minorEastAsia" w:hAnsiTheme="minorEastAsia" w:eastAsiaTheme="minorEastAsia"/>
                <w:szCs w:val="21"/>
              </w:rPr>
            </w:pPr>
            <w:r>
              <w:rPr>
                <w:rFonts w:hint="eastAsia" w:ascii="宋体" w:hAnsi="宋体"/>
                <w:szCs w:val="21"/>
              </w:rPr>
              <w:t>（采购代理机构通过“信用中国”、“中国政府采购网”、“深圳市政府采购监管网”以及市、区财政部门认定的其他渠道查询供应商信用信息，投标人无需提供证明材料。）</w:t>
            </w:r>
          </w:p>
        </w:tc>
      </w:tr>
    </w:tbl>
    <w:p>
      <w:pPr>
        <w:sectPr>
          <w:footerReference r:id="rId3" w:type="default"/>
          <w:footerReference r:id="rId4" w:type="even"/>
          <w:pgSz w:w="11906" w:h="16838"/>
          <w:pgMar w:top="1440" w:right="1418" w:bottom="1440" w:left="1418" w:header="851" w:footer="992" w:gutter="0"/>
          <w:cols w:space="720" w:num="1"/>
          <w:titlePg/>
          <w:docGrid w:type="lines" w:linePitch="312" w:charSpace="0"/>
        </w:sectPr>
      </w:pPr>
    </w:p>
    <w:p>
      <w:pPr>
        <w:pStyle w:val="2"/>
        <w:rPr>
          <w:rFonts w:eastAsia="宋体"/>
          <w:szCs w:val="32"/>
        </w:rPr>
      </w:pPr>
      <w:r>
        <w:rPr>
          <w:rFonts w:hint="eastAsia" w:eastAsia="宋体"/>
          <w:szCs w:val="32"/>
        </w:rPr>
        <w:t>其它关键信息</w:t>
      </w:r>
    </w:p>
    <w:p>
      <w:pPr>
        <w:spacing w:line="360" w:lineRule="auto"/>
        <w:ind w:firstLine="413" w:firstLineChars="196"/>
        <w:rPr>
          <w:b/>
        </w:rPr>
      </w:pPr>
      <w:r>
        <w:rPr>
          <w:rFonts w:hint="eastAsia" w:ascii="宋体" w:hAnsi="宋体"/>
          <w:b/>
          <w:szCs w:val="21"/>
        </w:rPr>
        <w:t>一</w:t>
      </w:r>
      <w:r>
        <w:rPr>
          <w:rFonts w:hint="eastAsia" w:asciiTheme="minorEastAsia" w:hAnsiTheme="minorEastAsia" w:eastAsiaTheme="minorEastAsia"/>
          <w:b/>
          <w:szCs w:val="21"/>
        </w:rPr>
        <w:t>、</w:t>
      </w:r>
      <w:r>
        <w:rPr>
          <w:rFonts w:hint="eastAsia"/>
          <w:b/>
        </w:rPr>
        <w:t>评标定标信息</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是否评标定标分离</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非评定分离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定标方法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评标方法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中标供应商家数</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候选中标供应商家数</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1</w:t>
            </w:r>
          </w:p>
        </w:tc>
      </w:tr>
    </w:tbl>
    <w:p>
      <w:pPr>
        <w:pStyle w:val="18"/>
      </w:pPr>
    </w:p>
    <w:p>
      <w:pPr>
        <w:spacing w:line="360" w:lineRule="auto"/>
        <w:ind w:firstLine="413" w:firstLineChars="196"/>
        <w:rPr>
          <w:rFonts w:ascii="宋体" w:hAnsi="宋体"/>
          <w:b/>
          <w:szCs w:val="21"/>
        </w:rPr>
      </w:pPr>
      <w:r>
        <w:rPr>
          <w:rFonts w:hint="eastAsia" w:ascii="宋体" w:hAnsi="宋体"/>
          <w:b/>
          <w:szCs w:val="21"/>
        </w:rPr>
        <w:t>二</w:t>
      </w:r>
      <w:r>
        <w:rPr>
          <w:rFonts w:hint="eastAsia" w:asciiTheme="minorEastAsia" w:hAnsiTheme="minorEastAsia" w:eastAsiaTheme="minorEastAsia"/>
          <w:b/>
          <w:szCs w:val="21"/>
        </w:rPr>
        <w:t>、</w:t>
      </w:r>
      <w:r>
        <w:rPr>
          <w:rFonts w:hint="eastAsia" w:ascii="宋体" w:hAnsi="宋体"/>
          <w:b/>
          <w:szCs w:val="21"/>
        </w:rPr>
        <w:t>报价明显偏低的合理性说明</w:t>
      </w:r>
    </w:p>
    <w:p>
      <w:pPr>
        <w:spacing w:line="360" w:lineRule="auto"/>
        <w:ind w:firstLine="420" w:firstLineChars="200"/>
        <w:rPr>
          <w:rFonts w:ascii="宋体" w:hAnsi="宋体"/>
          <w:szCs w:val="21"/>
        </w:rPr>
      </w:pP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hAns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pPr>
    </w:p>
    <w:p>
      <w:pPr>
        <w:spacing w:line="360" w:lineRule="auto"/>
        <w:ind w:firstLine="422" w:firstLineChars="200"/>
        <w:rPr>
          <w:rFonts w:asciiTheme="minorEastAsia" w:hAnsiTheme="minorEastAsia" w:eastAsiaTheme="minorEastAsia"/>
          <w:b/>
          <w:bCs/>
        </w:rPr>
      </w:pPr>
      <w:r>
        <w:rPr>
          <w:rFonts w:hint="eastAsia" w:asciiTheme="minorEastAsia" w:hAnsiTheme="minorEastAsia" w:eastAsiaTheme="minorEastAsia"/>
          <w:b/>
          <w:szCs w:val="21"/>
        </w:rPr>
        <w:t>三、</w:t>
      </w:r>
      <w:r>
        <w:rPr>
          <w:rFonts w:hint="eastAsia" w:asciiTheme="minorEastAsia" w:hAnsiTheme="minorEastAsia" w:eastAsiaTheme="minorEastAsia"/>
          <w:b/>
          <w:bCs/>
        </w:rPr>
        <w:t>关于享受政府采购扶持政策的主体及价格扣除比例</w:t>
      </w:r>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工业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宋体" w:cs="MS Mincho" w:hAnsiTheme="minorEastAsia"/>
          <w:kern w:val="0"/>
          <w:szCs w:val="21"/>
          <w:lang w:eastAsia="zh-CN"/>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w:t>
      </w:r>
      <w:r>
        <w:rPr>
          <w:rFonts w:hint="eastAsia" w:ascii="宋体" w:hAnsi="宋体" w:cs="宋体"/>
          <w:szCs w:val="21"/>
        </w:rPr>
        <w:t>格式详见招标文件第三章</w:t>
      </w:r>
      <w:r>
        <w:rPr>
          <w:rFonts w:hint="eastAsia" w:ascii="宋体" w:hAnsi="宋体"/>
          <w:szCs w:val="22"/>
        </w:rPr>
        <w:t>）；监狱企业或者代理提供监狱企业货物的供应商如需享受优惠政策，除上述资料外，还须提供省级以上监狱管理局、戒毒管理局出具的监狱企业证明文件。</w:t>
      </w:r>
    </w:p>
    <w:p>
      <w:pPr>
        <w:pStyle w:val="18"/>
      </w:pP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rPr>
          <w:b/>
          <w:bCs/>
          <w:sz w:val="24"/>
        </w:rPr>
      </w:pPr>
    </w:p>
    <w:p>
      <w:pPr>
        <w:spacing w:line="360" w:lineRule="auto"/>
        <w:ind w:firstLine="422" w:firstLineChars="200"/>
        <w:rPr>
          <w:rFonts w:ascii="宋体" w:hAnsi="宋体"/>
          <w:b/>
          <w:szCs w:val="21"/>
        </w:rPr>
      </w:pPr>
      <w:r>
        <w:rPr>
          <w:rFonts w:hint="eastAsia" w:asciiTheme="minorEastAsia" w:hAnsiTheme="minorEastAsia" w:eastAsiaTheme="minorEastAsia"/>
          <w:b/>
          <w:szCs w:val="21"/>
        </w:rPr>
        <w:t>五、</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pStyle w:val="2"/>
      </w:pPr>
      <w:r>
        <w:rPr>
          <w:rFonts w:hint="eastAsia"/>
        </w:rPr>
        <w:t>目   录</w:t>
      </w:r>
    </w:p>
    <w:p>
      <w:pPr>
        <w:rPr>
          <w:b/>
          <w:sz w:val="24"/>
        </w:rPr>
      </w:pPr>
      <w:r>
        <w:rPr>
          <w:rFonts w:hint="eastAsia"/>
          <w:b/>
          <w:sz w:val="24"/>
        </w:rPr>
        <w:t>第一册  专用条款</w:t>
      </w:r>
    </w:p>
    <w:p>
      <w:pPr>
        <w:ind w:left="630" w:leftChars="300" w:firstLine="411" w:firstLineChars="196"/>
        <w:rPr>
          <w:rFonts w:ascii="宋体" w:hAnsi="宋体"/>
          <w:szCs w:val="21"/>
        </w:rPr>
      </w:pP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投标文件格式、附件</w:t>
      </w:r>
    </w:p>
    <w:p>
      <w:pPr>
        <w:ind w:left="630" w:leftChars="300" w:firstLine="411" w:firstLineChars="196"/>
        <w:rPr>
          <w:rFonts w:ascii="宋体" w:hAnsi="宋体"/>
          <w:szCs w:val="21"/>
        </w:rPr>
      </w:pPr>
      <w:r>
        <w:rPr>
          <w:rFonts w:hint="eastAsia" w:ascii="宋体" w:hAnsi="宋体"/>
          <w:szCs w:val="21"/>
        </w:rPr>
        <w:t>第四章  合同及履约情况反馈格式</w:t>
      </w:r>
    </w:p>
    <w:p>
      <w:pPr>
        <w:ind w:left="630" w:leftChars="300" w:firstLine="411" w:firstLineChars="196"/>
        <w:rPr>
          <w:rFonts w:ascii="宋体" w:hAnsi="宋体"/>
          <w:szCs w:val="21"/>
        </w:rPr>
      </w:pPr>
      <w:r>
        <w:rPr>
          <w:rFonts w:hint="eastAsia" w:ascii="宋体" w:hAnsi="宋体"/>
          <w:szCs w:val="21"/>
        </w:rPr>
        <w:t>第五章  附件</w:t>
      </w:r>
    </w:p>
    <w:p>
      <w:pPr>
        <w:ind w:left="630" w:leftChars="300" w:firstLine="411" w:firstLineChars="196"/>
        <w:rPr>
          <w:rFonts w:ascii="宋体" w:hAnsi="宋体"/>
          <w:szCs w:val="21"/>
        </w:rPr>
      </w:pPr>
    </w:p>
    <w:p>
      <w:pPr>
        <w:rPr>
          <w:b/>
          <w:sz w:val="24"/>
        </w:rPr>
      </w:pPr>
    </w:p>
    <w:p>
      <w:pPr>
        <w:rPr>
          <w:b/>
          <w:sz w:val="24"/>
        </w:rPr>
      </w:pPr>
      <w:r>
        <w:rPr>
          <w:rFonts w:hint="eastAsia"/>
          <w:b/>
          <w:sz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评标要求</w:t>
      </w:r>
    </w:p>
    <w:p>
      <w:pPr>
        <w:ind w:left="630" w:leftChars="300" w:firstLine="411" w:firstLineChars="196"/>
        <w:rPr>
          <w:rFonts w:ascii="宋体" w:hAnsi="宋体"/>
          <w:szCs w:val="21"/>
        </w:rPr>
      </w:pPr>
      <w:r>
        <w:rPr>
          <w:rFonts w:hint="eastAsia" w:ascii="宋体" w:hAnsi="宋体"/>
          <w:szCs w:val="21"/>
        </w:rPr>
        <w:t>第七章  评标程序及评标方法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rPr>
          <w:sz w:val="24"/>
        </w:rPr>
      </w:pPr>
    </w:p>
    <w:p>
      <w:pPr>
        <w:rPr>
          <w:b/>
        </w:rPr>
      </w:pPr>
      <w:r>
        <w:rPr>
          <w:rFonts w:hint="eastAsia"/>
          <w:b/>
        </w:rPr>
        <w:t>备注：</w:t>
      </w:r>
    </w:p>
    <w:p>
      <w:pPr>
        <w:spacing w:line="360" w:lineRule="auto"/>
        <w:ind w:firstLine="420" w:firstLineChars="200"/>
        <w:jc w:val="left"/>
        <w:rPr>
          <w:rFonts w:ascii="宋体" w:hAnsi="宋体"/>
          <w:szCs w:val="21"/>
        </w:rPr>
      </w:pPr>
      <w:r>
        <w:rPr>
          <w:rFonts w:hint="eastAsia" w:ascii="宋体" w:hAnsi="宋体"/>
          <w:szCs w:val="21"/>
        </w:rPr>
        <w:t>1.本招标文件分为第一册“专用条款”和第二册“通用条款”。</w:t>
      </w:r>
    </w:p>
    <w:p>
      <w:pPr>
        <w:spacing w:line="360" w:lineRule="auto"/>
        <w:ind w:firstLine="420" w:firstLineChars="200"/>
        <w:jc w:val="left"/>
        <w:rPr>
          <w:rFonts w:ascii="宋体" w:hAnsi="宋体"/>
          <w:szCs w:val="21"/>
        </w:rPr>
      </w:pPr>
      <w:r>
        <w:rPr>
          <w:rFonts w:hint="eastAsia" w:ascii="宋体" w:hAnsi="宋体"/>
          <w:szCs w:val="21"/>
        </w:rPr>
        <w:t>2.“专用条款”是对本次采购项目的具体要求，包含招标公告、招标项目需求、投标文件格式、合同及履约情况反馈格式等内容。</w:t>
      </w:r>
    </w:p>
    <w:p>
      <w:pPr>
        <w:spacing w:line="360" w:lineRule="auto"/>
        <w:ind w:firstLine="420" w:firstLineChars="200"/>
        <w:jc w:val="left"/>
        <w:rPr>
          <w:rFonts w:ascii="宋体" w:hAnsi="宋体"/>
          <w:szCs w:val="21"/>
        </w:rPr>
      </w:pPr>
      <w:r>
        <w:rPr>
          <w:rFonts w:hint="eastAsia" w:ascii="宋体" w:hAnsi="宋体"/>
          <w:szCs w:val="21"/>
        </w:rPr>
        <w:t>3.“通用条款”是适用于政府采购项目的基础性条款，具有普遍性和通用性。</w:t>
      </w:r>
    </w:p>
    <w:p>
      <w:pPr>
        <w:spacing w:line="360" w:lineRule="auto"/>
        <w:ind w:firstLine="420" w:firstLineChars="200"/>
        <w:jc w:val="left"/>
        <w:rPr>
          <w:rFonts w:ascii="宋体" w:hAnsi="宋体"/>
          <w:szCs w:val="21"/>
        </w:rPr>
      </w:pPr>
      <w:r>
        <w:rPr>
          <w:rFonts w:hint="eastAsia" w:ascii="宋体" w:hAnsi="宋体"/>
          <w:szCs w:val="21"/>
        </w:rPr>
        <w:t>4.当出现“专用条款”和“通用条款”表述不一致或有冲突时，以“专用条款”为准。</w:t>
      </w:r>
    </w:p>
    <w:p>
      <w:pPr>
        <w:rPr>
          <w:b/>
          <w:sz w:val="24"/>
        </w:rPr>
      </w:pPr>
    </w:p>
    <w:p>
      <w:pPr>
        <w:rPr>
          <w:rFonts w:ascii="宋体" w:hAnsi="宋体"/>
          <w:szCs w:val="21"/>
        </w:rPr>
      </w:pPr>
      <w:r>
        <w:rPr>
          <w:rFonts w:hint="eastAsia"/>
          <w:sz w:val="24"/>
        </w:rPr>
        <w:t xml:space="preserve">  </w:t>
      </w:r>
    </w:p>
    <w:p>
      <w:pPr>
        <w:pStyle w:val="2"/>
        <w:rPr>
          <w:sz w:val="24"/>
        </w:rPr>
      </w:pPr>
      <w:r>
        <w:br w:type="page"/>
      </w:r>
      <w:bookmarkStart w:id="0" w:name="bt本工程承诺书"/>
      <w:bookmarkEnd w:id="0"/>
      <w:bookmarkStart w:id="1" w:name="bt合同格式"/>
      <w:bookmarkEnd w:id="1"/>
      <w:bookmarkStart w:id="2" w:name="bt合同条款"/>
      <w:bookmarkEnd w:id="2"/>
      <w:bookmarkStart w:id="3" w:name="bt其他资料2"/>
      <w:bookmarkEnd w:id="3"/>
      <w:bookmarkStart w:id="4" w:name="bt开标一览表"/>
      <w:bookmarkEnd w:id="4"/>
      <w:bookmarkStart w:id="5" w:name="bt投标人情况介绍"/>
      <w:bookmarkEnd w:id="5"/>
      <w:bookmarkStart w:id="6" w:name="bt投标文件签署授权委托书"/>
      <w:bookmarkEnd w:id="6"/>
      <w:bookmarkStart w:id="7" w:name="bt其他资料由投标人自定"/>
      <w:bookmarkEnd w:id="7"/>
      <w:bookmarkStart w:id="8" w:name="bt说明"/>
      <w:bookmarkEnd w:id="8"/>
      <w:bookmarkStart w:id="9" w:name="bt商务标投标文件格式"/>
      <w:bookmarkEnd w:id="9"/>
      <w:bookmarkStart w:id="10" w:name="bt投标报价汇总表"/>
      <w:bookmarkEnd w:id="10"/>
      <w:bookmarkStart w:id="11" w:name="合同格式"/>
      <w:bookmarkEnd w:id="11"/>
      <w:bookmarkStart w:id="12" w:name="bt技术标投标文件格式"/>
      <w:bookmarkEnd w:id="12"/>
      <w:bookmarkStart w:id="13" w:name="bt投标函"/>
      <w:bookmarkEnd w:id="13"/>
      <w:bookmarkStart w:id="14" w:name="bt合同条款及格式"/>
      <w:bookmarkEnd w:id="14"/>
      <w:bookmarkStart w:id="15" w:name="bt投标人须知"/>
      <w:bookmarkEnd w:id="15"/>
      <w:bookmarkStart w:id="16" w:name="bt项目管理班子配备情况"/>
      <w:bookmarkEnd w:id="16"/>
      <w:r>
        <w:rPr>
          <w:rFonts w:hint="eastAsia"/>
        </w:rPr>
        <w:t>第一册  专用条款</w:t>
      </w:r>
    </w:p>
    <w:p>
      <w:pPr>
        <w:keepNext/>
        <w:keepLines/>
        <w:adjustRightInd w:val="0"/>
        <w:spacing w:before="260" w:after="260" w:line="360" w:lineRule="exact"/>
        <w:jc w:val="center"/>
        <w:textAlignment w:val="baseline"/>
        <w:outlineLvl w:val="1"/>
        <w:rPr>
          <w:rFonts w:ascii="宋体" w:hAnsi="宋体"/>
          <w:b/>
          <w:bCs/>
          <w:kern w:val="0"/>
          <w:sz w:val="24"/>
          <w:szCs w:val="20"/>
        </w:rPr>
      </w:pPr>
      <w:r>
        <w:rPr>
          <w:rFonts w:hint="eastAsia" w:ascii="宋体" w:hAnsi="宋体"/>
          <w:b/>
          <w:bCs/>
          <w:kern w:val="0"/>
          <w:sz w:val="24"/>
          <w:szCs w:val="20"/>
        </w:rPr>
        <w:t>第一章  招标公告</w:t>
      </w:r>
    </w:p>
    <w:p>
      <w:pPr>
        <w:pStyle w:val="37"/>
        <w:widowControl/>
        <w:spacing w:line="360" w:lineRule="exact"/>
        <w:rPr>
          <w:rFonts w:ascii="宋体" w:hAnsi="宋体"/>
          <w:sz w:val="21"/>
        </w:rPr>
      </w:pPr>
      <w:bookmarkStart w:id="17" w:name="OLE_LINK1"/>
      <w:bookmarkStart w:id="18" w:name="OLE_LINK2"/>
      <w:r>
        <w:rPr>
          <w:rFonts w:ascii="宋体" w:hAnsi="宋体"/>
          <w:sz w:val="21"/>
        </w:rPr>
        <w:t>项目概况</w:t>
      </w:r>
      <w:r>
        <w:rPr>
          <w:rFonts w:hint="eastAsia" w:ascii="宋体" w:hAnsi="宋体"/>
          <w:sz w:val="21"/>
        </w:rPr>
        <w:t>:</w:t>
      </w:r>
    </w:p>
    <w:p>
      <w:pPr>
        <w:pStyle w:val="37"/>
        <w:widowControl/>
        <w:spacing w:line="360" w:lineRule="exact"/>
        <w:ind w:firstLine="424" w:firstLineChars="202"/>
        <w:rPr>
          <w:rFonts w:ascii="宋体" w:hAnsi="宋体"/>
          <w:sz w:val="21"/>
        </w:rPr>
      </w:pPr>
      <w:r>
        <w:rPr>
          <w:rFonts w:hint="eastAsia" w:asciiTheme="minorEastAsia" w:hAnsiTheme="minorEastAsia" w:eastAsiaTheme="minorEastAsia"/>
          <w:sz w:val="21"/>
          <w:lang w:eastAsia="zh-CN"/>
        </w:rPr>
        <w:t>更换2台50kW中波发射机及采购配件</w:t>
      </w:r>
      <w:r>
        <w:rPr>
          <w:rFonts w:hint="eastAsia" w:asciiTheme="minorEastAsia" w:hAnsiTheme="minorEastAsia" w:eastAsiaTheme="minorEastAsia"/>
          <w:sz w:val="21"/>
        </w:rPr>
        <w:t>招标项目</w:t>
      </w:r>
      <w:r>
        <w:rPr>
          <w:rFonts w:ascii="宋体" w:hAnsi="宋体"/>
          <w:sz w:val="21"/>
        </w:rPr>
        <w:t xml:space="preserve">的潜在投标人应在（本公告附件中）获取招标文件，并于 </w:t>
      </w:r>
      <w:r>
        <w:rPr>
          <w:rFonts w:ascii="宋体" w:hAnsi="宋体"/>
          <w:b/>
          <w:sz w:val="21"/>
          <w:u w:val="single"/>
        </w:rPr>
        <w:t>2024年</w:t>
      </w:r>
      <w:r>
        <w:rPr>
          <w:rFonts w:hint="eastAsia" w:ascii="宋体" w:hAnsi="宋体"/>
          <w:b/>
          <w:sz w:val="21"/>
          <w:u w:val="single"/>
          <w:lang w:val="en-US" w:eastAsia="zh-CN"/>
        </w:rPr>
        <w:t>4</w:t>
      </w:r>
      <w:r>
        <w:rPr>
          <w:rFonts w:ascii="宋体" w:hAnsi="宋体"/>
          <w:b/>
          <w:sz w:val="21"/>
          <w:u w:val="single"/>
        </w:rPr>
        <w:t>月</w:t>
      </w:r>
      <w:r>
        <w:rPr>
          <w:rFonts w:hint="eastAsia" w:ascii="宋体" w:hAnsi="宋体"/>
          <w:b/>
          <w:sz w:val="21"/>
          <w:u w:val="single"/>
          <w:lang w:val="en-US" w:eastAsia="zh-CN"/>
        </w:rPr>
        <w:t>28</w:t>
      </w:r>
      <w:r>
        <w:rPr>
          <w:rFonts w:ascii="宋体" w:hAnsi="宋体"/>
          <w:b/>
          <w:sz w:val="21"/>
          <w:u w:val="single"/>
        </w:rPr>
        <w:t>日</w:t>
      </w:r>
      <w:r>
        <w:rPr>
          <w:rFonts w:hint="eastAsia" w:ascii="宋体" w:hAnsi="宋体"/>
          <w:b/>
          <w:sz w:val="21"/>
          <w:u w:val="single"/>
          <w:lang w:val="en-US" w:eastAsia="zh-CN"/>
        </w:rPr>
        <w:t>09</w:t>
      </w:r>
      <w:r>
        <w:rPr>
          <w:rFonts w:hint="eastAsia" w:ascii="宋体" w:hAnsi="宋体"/>
          <w:b/>
          <w:sz w:val="21"/>
          <w:u w:val="single"/>
        </w:rPr>
        <w:t>:00</w:t>
      </w:r>
      <w:r>
        <w:rPr>
          <w:rFonts w:ascii="宋体" w:hAnsi="宋体"/>
          <w:b/>
          <w:sz w:val="21"/>
          <w:u w:val="single"/>
        </w:rPr>
        <w:t>（北京时间）</w:t>
      </w:r>
      <w:r>
        <w:rPr>
          <w:rFonts w:ascii="宋体" w:hAnsi="宋体"/>
          <w:sz w:val="21"/>
        </w:rPr>
        <w:t xml:space="preserve">前递交投标文件。 </w:t>
      </w:r>
    </w:p>
    <w:p>
      <w:pPr>
        <w:pStyle w:val="37"/>
        <w:widowControl/>
        <w:spacing w:line="360" w:lineRule="exact"/>
        <w:rPr>
          <w:rFonts w:ascii="宋体" w:hAnsi="宋体"/>
          <w:sz w:val="21"/>
        </w:rPr>
      </w:pPr>
    </w:p>
    <w:p>
      <w:pPr>
        <w:pStyle w:val="37"/>
        <w:widowControl/>
        <w:spacing w:line="360" w:lineRule="exact"/>
        <w:rPr>
          <w:rFonts w:ascii="宋体" w:hAnsi="宋体"/>
          <w:sz w:val="21"/>
        </w:rPr>
      </w:pPr>
      <w:r>
        <w:rPr>
          <w:rFonts w:ascii="宋体" w:hAnsi="宋体"/>
          <w:sz w:val="21"/>
        </w:rPr>
        <w:t>一、项目基本情况</w:t>
      </w:r>
    </w:p>
    <w:p>
      <w:pPr>
        <w:pStyle w:val="37"/>
        <w:widowControl/>
        <w:spacing w:line="360" w:lineRule="exact"/>
        <w:ind w:firstLine="424" w:firstLineChars="202"/>
        <w:rPr>
          <w:rFonts w:ascii="宋体" w:hAnsi="宋体"/>
          <w:sz w:val="21"/>
          <w:szCs w:val="21"/>
          <w:highlight w:val="none"/>
        </w:rPr>
      </w:pPr>
      <w:r>
        <w:rPr>
          <w:rFonts w:ascii="宋体" w:hAnsi="宋体"/>
          <w:sz w:val="21"/>
          <w:szCs w:val="21"/>
          <w:highlight w:val="none"/>
        </w:rPr>
        <w:t>1</w:t>
      </w:r>
      <w:r>
        <w:rPr>
          <w:rFonts w:hint="eastAsia" w:ascii="宋体" w:hAnsi="宋体"/>
          <w:sz w:val="21"/>
          <w:szCs w:val="21"/>
          <w:highlight w:val="none"/>
        </w:rPr>
        <w:t>、</w:t>
      </w:r>
      <w:r>
        <w:rPr>
          <w:rFonts w:ascii="宋体" w:hAnsi="宋体"/>
          <w:sz w:val="21"/>
          <w:szCs w:val="21"/>
          <w:highlight w:val="none"/>
        </w:rPr>
        <w:t>项目编号：SZDL2024000633</w:t>
      </w:r>
    </w:p>
    <w:p>
      <w:pPr>
        <w:pStyle w:val="37"/>
        <w:widowControl/>
        <w:spacing w:line="360" w:lineRule="exact"/>
        <w:ind w:firstLine="424" w:firstLineChars="202"/>
        <w:rPr>
          <w:rFonts w:hint="eastAsia" w:ascii="宋体" w:hAnsi="宋体" w:eastAsia="宋体"/>
          <w:sz w:val="21"/>
          <w:szCs w:val="21"/>
          <w:lang w:eastAsia="zh-CN"/>
        </w:rPr>
      </w:pPr>
      <w:r>
        <w:rPr>
          <w:rFonts w:ascii="宋体" w:hAnsi="宋体"/>
          <w:sz w:val="21"/>
          <w:szCs w:val="21"/>
        </w:rPr>
        <w:t>2</w:t>
      </w:r>
      <w:r>
        <w:rPr>
          <w:rFonts w:hint="eastAsia" w:ascii="宋体" w:hAnsi="宋体"/>
          <w:sz w:val="21"/>
          <w:szCs w:val="21"/>
        </w:rPr>
        <w:t>、</w:t>
      </w:r>
      <w:r>
        <w:rPr>
          <w:rFonts w:ascii="宋体" w:hAnsi="宋体"/>
          <w:sz w:val="21"/>
          <w:szCs w:val="21"/>
        </w:rPr>
        <w:t>项目名称：</w:t>
      </w:r>
      <w:r>
        <w:rPr>
          <w:rFonts w:hint="eastAsia" w:ascii="宋体" w:hAnsi="宋体"/>
          <w:sz w:val="21"/>
          <w:szCs w:val="21"/>
          <w:lang w:eastAsia="zh-CN"/>
        </w:rPr>
        <w:t>更换2台50kW中波发射机及采购配件</w:t>
      </w:r>
    </w:p>
    <w:p>
      <w:pPr>
        <w:pStyle w:val="37"/>
        <w:widowControl/>
        <w:spacing w:line="360" w:lineRule="exact"/>
        <w:ind w:firstLine="424" w:firstLineChars="202"/>
        <w:rPr>
          <w:rFonts w:ascii="宋体" w:hAnsi="宋体"/>
          <w:sz w:val="21"/>
          <w:szCs w:val="21"/>
        </w:rPr>
      </w:pPr>
      <w:r>
        <w:rPr>
          <w:rFonts w:ascii="宋体" w:hAnsi="宋体"/>
          <w:sz w:val="21"/>
          <w:szCs w:val="21"/>
        </w:rPr>
        <w:t>3</w:t>
      </w:r>
      <w:r>
        <w:rPr>
          <w:rFonts w:hint="eastAsia" w:ascii="宋体" w:hAnsi="宋体"/>
          <w:sz w:val="21"/>
          <w:szCs w:val="21"/>
        </w:rPr>
        <w:t>、</w:t>
      </w:r>
      <w:r>
        <w:rPr>
          <w:rFonts w:ascii="宋体" w:hAnsi="宋体"/>
          <w:sz w:val="21"/>
          <w:szCs w:val="21"/>
        </w:rPr>
        <w:t>预算金额：</w:t>
      </w:r>
      <w:r>
        <w:rPr>
          <w:rFonts w:hint="eastAsia" w:ascii="宋体" w:hAnsi="宋体"/>
          <w:sz w:val="21"/>
          <w:szCs w:val="21"/>
        </w:rPr>
        <w:t>人民币</w:t>
      </w:r>
      <w:r>
        <w:rPr>
          <w:rFonts w:ascii="宋体" w:hAnsi="宋体"/>
          <w:sz w:val="21"/>
          <w:szCs w:val="21"/>
        </w:rPr>
        <w:t>1,</w:t>
      </w:r>
      <w:r>
        <w:rPr>
          <w:rFonts w:hint="eastAsia" w:ascii="宋体" w:hAnsi="宋体"/>
          <w:sz w:val="21"/>
          <w:szCs w:val="21"/>
          <w:lang w:val="en-US" w:eastAsia="zh-CN"/>
        </w:rPr>
        <w:t>08</w:t>
      </w:r>
      <w:r>
        <w:rPr>
          <w:rFonts w:ascii="宋体" w:hAnsi="宋体"/>
          <w:sz w:val="21"/>
          <w:szCs w:val="21"/>
        </w:rPr>
        <w:t>0,000.00元</w:t>
      </w:r>
    </w:p>
    <w:p>
      <w:pPr>
        <w:pStyle w:val="37"/>
        <w:widowControl/>
        <w:spacing w:line="360" w:lineRule="exact"/>
        <w:ind w:firstLine="424" w:firstLineChars="202"/>
        <w:rPr>
          <w:rFonts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最高限价：</w:t>
      </w:r>
      <w:r>
        <w:rPr>
          <w:rFonts w:hint="eastAsia" w:ascii="宋体" w:hAnsi="宋体"/>
          <w:sz w:val="21"/>
          <w:szCs w:val="21"/>
        </w:rPr>
        <w:t>人民币1,</w:t>
      </w:r>
      <w:r>
        <w:rPr>
          <w:rFonts w:hint="eastAsia" w:ascii="宋体" w:hAnsi="宋体"/>
          <w:sz w:val="21"/>
          <w:szCs w:val="21"/>
          <w:lang w:val="en-US" w:eastAsia="zh-CN"/>
        </w:rPr>
        <w:t>08</w:t>
      </w:r>
      <w:r>
        <w:rPr>
          <w:rFonts w:hint="eastAsia" w:ascii="宋体" w:hAnsi="宋体"/>
          <w:sz w:val="21"/>
          <w:szCs w:val="21"/>
        </w:rPr>
        <w:t>0,000.00元</w:t>
      </w:r>
    </w:p>
    <w:p>
      <w:pPr>
        <w:pStyle w:val="37"/>
        <w:widowControl/>
        <w:spacing w:line="360" w:lineRule="exact"/>
        <w:ind w:firstLine="424" w:firstLineChars="202"/>
        <w:rPr>
          <w:rFonts w:ascii="宋体" w:hAnsi="宋体"/>
          <w:sz w:val="21"/>
          <w:szCs w:val="21"/>
        </w:rPr>
      </w:pPr>
      <w:r>
        <w:rPr>
          <w:rFonts w:ascii="宋体" w:hAnsi="宋体"/>
          <w:sz w:val="21"/>
          <w:szCs w:val="21"/>
        </w:rPr>
        <w:t>5</w:t>
      </w:r>
      <w:r>
        <w:rPr>
          <w:rFonts w:hint="eastAsia" w:ascii="宋体" w:hAnsi="宋体"/>
          <w:sz w:val="21"/>
          <w:szCs w:val="21"/>
        </w:rPr>
        <w:t>、</w:t>
      </w:r>
      <w:r>
        <w:rPr>
          <w:rFonts w:ascii="宋体" w:hAnsi="宋体"/>
          <w:sz w:val="21"/>
          <w:szCs w:val="21"/>
        </w:rPr>
        <w:t>采购需求：</w:t>
      </w:r>
    </w:p>
    <w:tbl>
      <w:tblPr>
        <w:tblStyle w:val="42"/>
        <w:tblW w:w="8505" w:type="dxa"/>
        <w:tblInd w:w="60"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autofit"/>
        <w:tblCellMar>
          <w:top w:w="60" w:type="dxa"/>
          <w:left w:w="60" w:type="dxa"/>
          <w:bottom w:w="60" w:type="dxa"/>
          <w:right w:w="60" w:type="dxa"/>
        </w:tblCellMar>
      </w:tblPr>
      <w:tblGrid>
        <w:gridCol w:w="3261"/>
        <w:gridCol w:w="850"/>
        <w:gridCol w:w="992"/>
        <w:gridCol w:w="2552"/>
        <w:gridCol w:w="850"/>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rPr>
            </w:pPr>
            <w:r>
              <w:rPr>
                <w:rFonts w:ascii="宋体" w:hAnsi="宋体"/>
              </w:rPr>
              <w:t>标的名称</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rPr>
            </w:pPr>
            <w:r>
              <w:rPr>
                <w:rFonts w:ascii="宋体" w:hAnsi="宋体"/>
              </w:rPr>
              <w:t>数量</w:t>
            </w:r>
          </w:p>
        </w:tc>
        <w:tc>
          <w:tcPr>
            <w:tcW w:w="992"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rPr>
            </w:pPr>
            <w:r>
              <w:rPr>
                <w:rFonts w:ascii="宋体" w:hAnsi="宋体"/>
              </w:rPr>
              <w:t>单位</w:t>
            </w:r>
          </w:p>
        </w:tc>
        <w:tc>
          <w:tcPr>
            <w:tcW w:w="2552"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rPr>
            </w:pPr>
            <w:r>
              <w:rPr>
                <w:rFonts w:hint="eastAsia" w:ascii="宋体" w:hAnsi="宋体"/>
              </w:rPr>
              <w:t>简要技术需求或服务要求</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rPr>
            </w:pPr>
            <w:r>
              <w:rPr>
                <w:rFonts w:ascii="宋体" w:hAnsi="宋体"/>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exact"/>
              <w:jc w:val="center"/>
              <w:rPr>
                <w:rFonts w:ascii="宋体" w:hAnsi="宋体"/>
              </w:rPr>
            </w:pPr>
            <w:r>
              <w:rPr>
                <w:rFonts w:hint="eastAsia" w:ascii="宋体" w:hAnsi="宋体"/>
              </w:rPr>
              <w:t>详见《货物清单明细》</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exact"/>
              <w:jc w:val="center"/>
              <w:rPr>
                <w:rFonts w:hint="eastAsia" w:eastAsia="宋体"/>
                <w:lang w:eastAsia="zh-CN"/>
              </w:rPr>
            </w:pPr>
            <w:r>
              <w:rPr>
                <w:rFonts w:hint="eastAsia"/>
                <w:lang w:val="en-US" w:eastAsia="zh-CN"/>
              </w:rPr>
              <w:t>2</w:t>
            </w:r>
          </w:p>
        </w:tc>
        <w:tc>
          <w:tcPr>
            <w:tcW w:w="992"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exact"/>
              <w:jc w:val="center"/>
              <w:rPr>
                <w:rFonts w:hint="eastAsia" w:eastAsia="宋体"/>
                <w:lang w:eastAsia="zh-CN"/>
              </w:rPr>
            </w:pPr>
            <w:r>
              <w:rPr>
                <w:rFonts w:hint="eastAsia"/>
                <w:lang w:val="en-US" w:eastAsia="zh-CN"/>
              </w:rPr>
              <w:t>台</w:t>
            </w:r>
            <w:bookmarkStart w:id="101" w:name="_GoBack"/>
            <w:bookmarkEnd w:id="101"/>
          </w:p>
        </w:tc>
        <w:tc>
          <w:tcPr>
            <w:tcW w:w="2552"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exact"/>
              <w:jc w:val="center"/>
            </w:pPr>
            <w:r>
              <w:rPr>
                <w:rFonts w:hint="eastAsia"/>
              </w:rPr>
              <w:t>详见招标文件</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exact"/>
              <w:jc w:val="center"/>
              <w:rPr>
                <w:rFonts w:ascii="宋体" w:hAnsi="宋体"/>
              </w:rPr>
            </w:pPr>
            <w:r>
              <w:rPr>
                <w:rFonts w:hint="eastAsia" w:ascii="宋体" w:hAnsi="宋体"/>
              </w:rPr>
              <w:t>无</w:t>
            </w:r>
          </w:p>
        </w:tc>
      </w:tr>
    </w:tbl>
    <w:p>
      <w:pPr>
        <w:pStyle w:val="37"/>
        <w:widowControl/>
        <w:spacing w:line="360" w:lineRule="exact"/>
        <w:ind w:firstLine="424" w:firstLineChars="202"/>
        <w:rPr>
          <w:rFonts w:ascii="宋体" w:hAnsi="宋体"/>
          <w:sz w:val="21"/>
          <w:szCs w:val="21"/>
        </w:rPr>
      </w:pPr>
      <w:r>
        <w:rPr>
          <w:rFonts w:ascii="宋体" w:hAnsi="宋体"/>
          <w:sz w:val="21"/>
          <w:szCs w:val="21"/>
        </w:rPr>
        <w:t>6</w:t>
      </w:r>
      <w:r>
        <w:rPr>
          <w:rFonts w:hint="eastAsia" w:ascii="宋体" w:hAnsi="宋体"/>
          <w:sz w:val="21"/>
          <w:szCs w:val="21"/>
        </w:rPr>
        <w:t>、</w:t>
      </w:r>
      <w:r>
        <w:rPr>
          <w:rFonts w:ascii="宋体" w:hAnsi="宋体"/>
          <w:sz w:val="21"/>
          <w:szCs w:val="21"/>
        </w:rPr>
        <w:t>合同履行期限：</w:t>
      </w:r>
      <w:r>
        <w:rPr>
          <w:rFonts w:hint="eastAsia" w:asciiTheme="minorEastAsia" w:hAnsiTheme="minorEastAsia" w:eastAsiaTheme="minorEastAsia"/>
          <w:sz w:val="21"/>
          <w:szCs w:val="21"/>
        </w:rPr>
        <w:t>详见招标文件</w:t>
      </w:r>
    </w:p>
    <w:p>
      <w:pPr>
        <w:pStyle w:val="37"/>
        <w:widowControl/>
        <w:spacing w:line="360" w:lineRule="exact"/>
        <w:ind w:firstLine="424" w:firstLineChars="202"/>
        <w:rPr>
          <w:rFonts w:ascii="宋体" w:hAnsi="宋体"/>
          <w:sz w:val="21"/>
          <w:szCs w:val="21"/>
        </w:rPr>
      </w:pPr>
      <w:r>
        <w:rPr>
          <w:rFonts w:ascii="宋体" w:hAnsi="宋体"/>
          <w:sz w:val="21"/>
          <w:szCs w:val="21"/>
        </w:rPr>
        <w:t>7</w:t>
      </w:r>
      <w:r>
        <w:rPr>
          <w:rFonts w:hint="eastAsia" w:ascii="宋体" w:hAnsi="宋体"/>
          <w:sz w:val="21"/>
          <w:szCs w:val="21"/>
        </w:rPr>
        <w:t>、本项目（是/否）接受联合体投标：详见“申请人的资格要求”</w:t>
      </w:r>
    </w:p>
    <w:p>
      <w:pPr>
        <w:pStyle w:val="37"/>
        <w:widowControl/>
        <w:spacing w:line="360" w:lineRule="exact"/>
        <w:rPr>
          <w:rFonts w:ascii="宋体" w:hAnsi="宋体"/>
          <w:sz w:val="21"/>
          <w:szCs w:val="21"/>
        </w:rPr>
      </w:pPr>
    </w:p>
    <w:p>
      <w:pPr>
        <w:pStyle w:val="37"/>
        <w:widowControl/>
        <w:spacing w:line="360" w:lineRule="exact"/>
        <w:rPr>
          <w:rFonts w:ascii="宋体" w:hAnsi="宋体"/>
          <w:sz w:val="21"/>
        </w:rPr>
      </w:pPr>
      <w:r>
        <w:rPr>
          <w:rFonts w:ascii="宋体" w:hAnsi="宋体"/>
          <w:sz w:val="21"/>
        </w:rPr>
        <w:t>二、申请人的资格要求：</w:t>
      </w:r>
    </w:p>
    <w:p>
      <w:pPr>
        <w:pStyle w:val="37"/>
        <w:spacing w:line="360" w:lineRule="exact"/>
        <w:ind w:firstLine="424" w:firstLineChars="202"/>
        <w:rPr>
          <w:rFonts w:asciiTheme="minorEastAsia" w:hAnsiTheme="minorEastAsia" w:eastAsiaTheme="minorEastAsia"/>
          <w:sz w:val="21"/>
        </w:rPr>
      </w:pPr>
      <w:r>
        <w:rPr>
          <w:rFonts w:asciiTheme="minorEastAsia" w:hAnsiTheme="minorEastAsia" w:eastAsiaTheme="minorEastAsia"/>
          <w:sz w:val="21"/>
        </w:rPr>
        <w:t>1</w:t>
      </w:r>
      <w:r>
        <w:rPr>
          <w:rFonts w:hint="eastAsia" w:asciiTheme="minorEastAsia" w:hAnsiTheme="minorEastAsia" w:eastAsiaTheme="minorEastAsia"/>
          <w:sz w:val="21"/>
        </w:rPr>
        <w:t>、</w:t>
      </w:r>
      <w:r>
        <w:rPr>
          <w:rFonts w:asciiTheme="minorEastAsia" w:hAnsiTheme="minorEastAsia" w:eastAsiaTheme="minorEastAsia"/>
          <w:sz w:val="21"/>
        </w:rPr>
        <w:t>满足《中华人民共和国政府采购法》第二十二条规定</w:t>
      </w:r>
      <w:r>
        <w:rPr>
          <w:rFonts w:hint="eastAsia" w:asciiTheme="minorEastAsia" w:hAnsiTheme="minorEastAsia" w:eastAsiaTheme="minorEastAsia"/>
          <w:snapToGrid w:val="0"/>
          <w:sz w:val="21"/>
        </w:rPr>
        <w:t>（须提供具有独立承担民事责任能力的法人或其他组织的营业执照或法人证书等证明材料扫描件以及《</w:t>
      </w:r>
      <w:r>
        <w:rPr>
          <w:rFonts w:hint="eastAsia" w:asciiTheme="minorEastAsia" w:hAnsiTheme="minorEastAsia" w:eastAsiaTheme="minorEastAsia"/>
          <w:sz w:val="21"/>
        </w:rPr>
        <w:t>政府采购投标及履约承诺函</w:t>
      </w:r>
      <w:r>
        <w:rPr>
          <w:rFonts w:hint="eastAsia" w:asciiTheme="minorEastAsia" w:hAnsiTheme="minorEastAsia" w:eastAsiaTheme="minorEastAsia"/>
          <w:snapToGrid w:val="0"/>
          <w:sz w:val="21"/>
        </w:rPr>
        <w:t>》）。如果是分支机构参与投标，还须同时提供其具有独立法人资格的上级主体出具的</w:t>
      </w:r>
      <w:r>
        <w:rPr>
          <w:rFonts w:hint="eastAsia" w:ascii="宋体" w:hAnsi="宋体"/>
          <w:snapToGrid w:val="0"/>
          <w:sz w:val="21"/>
        </w:rPr>
        <w:t>有效授权书及</w:t>
      </w:r>
      <w:r>
        <w:rPr>
          <w:rFonts w:hint="eastAsia" w:asciiTheme="minorEastAsia" w:hAnsiTheme="minorEastAsia" w:eastAsiaTheme="minorEastAsia"/>
          <w:snapToGrid w:val="0"/>
          <w:sz w:val="21"/>
        </w:rPr>
        <w:t>上级主体的</w:t>
      </w:r>
      <w:r>
        <w:rPr>
          <w:rFonts w:hint="eastAsia" w:ascii="宋体" w:hAnsi="宋体"/>
          <w:snapToGrid w:val="0"/>
          <w:sz w:val="21"/>
        </w:rPr>
        <w:t>营业执照或法人证书等证明材料扫描件</w:t>
      </w:r>
      <w:r>
        <w:rPr>
          <w:rFonts w:hint="eastAsia" w:asciiTheme="minorEastAsia" w:hAnsiTheme="minorEastAsia" w:eastAsiaTheme="minorEastAsia"/>
          <w:snapToGrid w:val="0"/>
          <w:sz w:val="21"/>
        </w:rPr>
        <w:t>；</w:t>
      </w:r>
      <w:r>
        <w:rPr>
          <w:rFonts w:hint="eastAsia" w:ascii="宋体" w:hAnsi="宋体"/>
          <w:snapToGrid w:val="0"/>
          <w:sz w:val="21"/>
        </w:rPr>
        <w:t>本项目不接受总公司与分支机构同时参与投标，也不接受同一总公司有两个或以上分支机构参与投标，如出现以上情形，该两家或以上投标人均按无效投标处理</w:t>
      </w:r>
      <w:r>
        <w:rPr>
          <w:rFonts w:hint="eastAsia" w:asciiTheme="minorEastAsia" w:hAnsiTheme="minorEastAsia" w:eastAsiaTheme="minorEastAsia"/>
          <w:sz w:val="21"/>
        </w:rPr>
        <w:t>。</w:t>
      </w:r>
      <w:r>
        <w:rPr>
          <w:rFonts w:asciiTheme="minorEastAsia" w:hAnsiTheme="minorEastAsia" w:eastAsiaTheme="minorEastAsia"/>
          <w:sz w:val="21"/>
        </w:rPr>
        <w:t xml:space="preserve"> </w:t>
      </w:r>
    </w:p>
    <w:p>
      <w:pPr>
        <w:pStyle w:val="37"/>
        <w:spacing w:line="360" w:lineRule="exact"/>
        <w:ind w:firstLine="424" w:firstLineChars="202"/>
        <w:rPr>
          <w:rFonts w:asciiTheme="minorEastAsia" w:hAnsiTheme="minorEastAsia" w:eastAsiaTheme="minorEastAsia"/>
          <w:sz w:val="21"/>
        </w:rPr>
      </w:pPr>
      <w:r>
        <w:rPr>
          <w:rFonts w:asciiTheme="minorEastAsia" w:hAnsiTheme="minorEastAsia" w:eastAsiaTheme="minorEastAsia"/>
          <w:sz w:val="21"/>
        </w:rPr>
        <w:t>2</w:t>
      </w:r>
      <w:r>
        <w:rPr>
          <w:rFonts w:hint="eastAsia" w:asciiTheme="minorEastAsia" w:hAnsiTheme="minorEastAsia" w:eastAsiaTheme="minorEastAsia"/>
          <w:sz w:val="21"/>
        </w:rPr>
        <w:t>、</w:t>
      </w:r>
      <w:r>
        <w:rPr>
          <w:rFonts w:asciiTheme="minorEastAsia" w:hAnsiTheme="minorEastAsia" w:eastAsiaTheme="minorEastAsia"/>
          <w:sz w:val="21"/>
        </w:rPr>
        <w:t xml:space="preserve">落实政府采购政策需满足的资格要求： </w:t>
      </w:r>
    </w:p>
    <w:p>
      <w:pPr>
        <w:spacing w:line="360" w:lineRule="exact"/>
        <w:ind w:firstLine="424" w:firstLineChars="202"/>
        <w:rPr>
          <w:rFonts w:ascii="宋体" w:hAnsi="宋体"/>
          <w:snapToGrid w:val="0"/>
          <w:color w:val="FF0000"/>
          <w:szCs w:val="22"/>
          <w:highlight w:val="yellow"/>
        </w:rPr>
      </w:pPr>
      <w:r>
        <w:rPr>
          <w:rFonts w:hint="eastAsia" w:ascii="宋体" w:hAnsi="宋体"/>
          <w:snapToGrid w:val="0"/>
          <w:color w:val="FF0000"/>
          <w:highlight w:val="yellow"/>
        </w:rPr>
        <w:t>本项目属于专门面向中小微企业采购的项目（提供符合要求的《中小企业声明函》，且所投产品制造商均属于中型企业、小型企业或微型企业；如所投产品制造商为残疾人福利性单位或监狱企业，视同小型、微型企业，提供《残疾人福利性单位声明函》或《监狱企业声明函》及监狱企业证明文件亦视为符合）</w:t>
      </w:r>
      <w:r>
        <w:rPr>
          <w:rFonts w:hint="eastAsia" w:ascii="宋体" w:hAnsi="宋体"/>
          <w:snapToGrid w:val="0"/>
          <w:color w:val="FF0000"/>
          <w:szCs w:val="22"/>
          <w:highlight w:val="yellow"/>
        </w:rPr>
        <w:t>。</w:t>
      </w:r>
    </w:p>
    <w:p>
      <w:pPr>
        <w:pStyle w:val="37"/>
        <w:spacing w:line="360" w:lineRule="exact"/>
        <w:ind w:firstLine="424" w:firstLineChars="202"/>
        <w:rPr>
          <w:rFonts w:asciiTheme="minorEastAsia" w:hAnsiTheme="minorEastAsia" w:eastAsiaTheme="minorEastAsia"/>
          <w:sz w:val="21"/>
        </w:rPr>
      </w:pPr>
      <w:r>
        <w:rPr>
          <w:rFonts w:asciiTheme="minorEastAsia" w:hAnsiTheme="minorEastAsia" w:eastAsiaTheme="minorEastAsia"/>
          <w:sz w:val="21"/>
        </w:rPr>
        <w:t>3</w:t>
      </w:r>
      <w:r>
        <w:rPr>
          <w:rFonts w:hint="eastAsia" w:asciiTheme="minorEastAsia" w:hAnsiTheme="minorEastAsia" w:eastAsiaTheme="minorEastAsia"/>
          <w:sz w:val="21"/>
        </w:rPr>
        <w:t>、</w:t>
      </w:r>
      <w:r>
        <w:rPr>
          <w:rFonts w:asciiTheme="minorEastAsia" w:hAnsiTheme="minorEastAsia" w:eastAsiaTheme="minorEastAsia"/>
          <w:sz w:val="21"/>
        </w:rPr>
        <w:t>本项目的特定资格要求：</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（1）</w:t>
      </w:r>
      <w:r>
        <w:rPr>
          <w:rFonts w:hint="eastAsia" w:asciiTheme="minorEastAsia" w:hAnsiTheme="minorEastAsia" w:eastAsiaTheme="minorEastAsia"/>
          <w:snapToGrid w:val="0"/>
          <w:sz w:val="21"/>
        </w:rPr>
        <w:t>参与本项目采购活动前三年内，在经营活动中没有重大违法记录</w:t>
      </w:r>
      <w:r>
        <w:rPr>
          <w:rFonts w:hint="eastAsia" w:asciiTheme="minorEastAsia" w:hAnsiTheme="minorEastAsia" w:eastAsiaTheme="minorEastAsia"/>
          <w:sz w:val="21"/>
        </w:rPr>
        <w:t>（由供应商在《政府采购投标及履约承诺函》中作出声明）；</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（2）</w:t>
      </w:r>
      <w:r>
        <w:rPr>
          <w:rFonts w:hint="eastAsia" w:asciiTheme="minorEastAsia" w:hAnsiTheme="minorEastAsia" w:eastAsiaTheme="minorEastAsia"/>
          <w:snapToGrid w:val="0"/>
          <w:sz w:val="21"/>
        </w:rPr>
        <w:t>参与本项目政府采购活动时不存在被有关部门禁止参与政府采购活动且在有效期内的情况</w:t>
      </w:r>
      <w:r>
        <w:rPr>
          <w:rFonts w:hint="eastAsia" w:asciiTheme="minorEastAsia" w:hAnsiTheme="minorEastAsia" w:eastAsiaTheme="minorEastAsia"/>
          <w:sz w:val="21"/>
        </w:rPr>
        <w:t>（由供应商在《政府采购投标及履约承诺函》中作出声明）；</w:t>
      </w:r>
    </w:p>
    <w:p>
      <w:pPr>
        <w:pStyle w:val="37"/>
        <w:spacing w:line="360" w:lineRule="exact"/>
        <w:ind w:firstLine="424" w:firstLineChars="202"/>
        <w:jc w:val="left"/>
        <w:rPr>
          <w:rFonts w:asciiTheme="minorEastAsia" w:hAnsiTheme="minorEastAsia" w:eastAsiaTheme="minorEastAsia"/>
          <w:sz w:val="21"/>
        </w:rPr>
      </w:pPr>
      <w:r>
        <w:rPr>
          <w:rFonts w:hint="eastAsia" w:asciiTheme="minorEastAsia" w:hAnsiTheme="minorEastAsia" w:eastAsiaTheme="minorEastAsia"/>
          <w:sz w:val="21"/>
        </w:rPr>
        <w:t>（3）</w:t>
      </w:r>
      <w:r>
        <w:rPr>
          <w:rFonts w:hint="eastAsia" w:asciiTheme="minorEastAsia" w:hAnsiTheme="minorEastAsia" w:eastAsiaTheme="minorEastAsia"/>
          <w:snapToGrid w:val="0"/>
          <w:sz w:val="21"/>
        </w:rPr>
        <w:t>单位负责人为同一人或者存在直接控股、管理关系的不同供应商，不得参加同一合同项下</w:t>
      </w:r>
      <w:r>
        <w:rPr>
          <w:rFonts w:hint="eastAsia" w:asciiTheme="minorEastAsia" w:hAnsiTheme="minorEastAsia" w:eastAsiaTheme="minorEastAsia"/>
          <w:sz w:val="21"/>
        </w:rPr>
        <w:t>的政府采购活动（由供应商在《政府采购投标及履约承诺函》中作出声明）；</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（4）</w:t>
      </w:r>
      <w:r>
        <w:rPr>
          <w:rFonts w:hint="eastAsia" w:asciiTheme="minorEastAsia" w:hAnsiTheme="minorEastAsia" w:eastAsiaTheme="minorEastAsia"/>
          <w:snapToGrid w:val="0"/>
          <w:sz w:val="21"/>
        </w:rPr>
        <w:t>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sz w:val="21"/>
        </w:rPr>
        <w:t>（由供应商在《政府采购投标及履约承诺函》中作出声明）</w:t>
      </w:r>
      <w:r>
        <w:rPr>
          <w:rFonts w:hint="eastAsia" w:asciiTheme="minorEastAsia" w:hAnsiTheme="minorEastAsia" w:eastAsiaTheme="minorEastAsia"/>
          <w:snapToGrid w:val="0"/>
          <w:sz w:val="21"/>
        </w:rPr>
        <w:t>；</w:t>
      </w:r>
    </w:p>
    <w:p>
      <w:pPr>
        <w:spacing w:line="360" w:lineRule="exact"/>
        <w:ind w:firstLine="424" w:firstLineChars="202"/>
        <w:jc w:val="left"/>
        <w:rPr>
          <w:rFonts w:asciiTheme="minorEastAsia" w:hAnsiTheme="minorEastAsia" w:eastAsiaTheme="minorEastAsia"/>
        </w:rPr>
      </w:pPr>
      <w:r>
        <w:rPr>
          <w:rFonts w:hint="eastAsia" w:asciiTheme="minorEastAsia" w:hAnsiTheme="minorEastAsia" w:eastAsiaTheme="minorEastAsia"/>
        </w:rPr>
        <w:t>（5）参与本项目政府采购活动不存在与其他采购参加人串通投标，隐瞒真实情况，提供虚假资料等违法违规情形（由供应商在《政府采购投标及履约承诺函》中作出声明）；</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供应商信用信息查询渠道，相关信息以开标当日的查询结果为准。由采购代理机构查询，供应商无需提供证明材料）；</w:t>
      </w:r>
    </w:p>
    <w:p>
      <w:pPr>
        <w:pStyle w:val="195"/>
        <w:adjustRightInd w:val="0"/>
        <w:snapToGrid w:val="0"/>
        <w:spacing w:before="0" w:beforeAutospacing="0" w:after="0" w:afterAutospacing="0" w:line="360" w:lineRule="exact"/>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195"/>
        <w:adjustRightInd w:val="0"/>
        <w:snapToGrid w:val="0"/>
        <w:spacing w:before="0" w:beforeAutospacing="0" w:after="0" w:afterAutospacing="0" w:line="360" w:lineRule="exact"/>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（8）本项目不接受进口产品投标（进口产品是指通过中国海关报关验放进入中国境内且产自关境外的产品，相关内容以“财库【2007】119号文”和“财办库【2008】248号文”的相关规定为准）。</w:t>
      </w:r>
    </w:p>
    <w:p>
      <w:pPr>
        <w:pStyle w:val="195"/>
        <w:adjustRightInd w:val="0"/>
        <w:snapToGrid w:val="0"/>
        <w:spacing w:before="0" w:beforeAutospacing="0" w:after="0" w:afterAutospacing="0" w:line="360" w:lineRule="exact"/>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注：供应商投标（上传投标文件）必须先行办理注册手续，具体请按照本公告“三、获取招标文件”相关内容指引办理。</w:t>
      </w:r>
    </w:p>
    <w:p>
      <w:pPr>
        <w:pStyle w:val="37"/>
        <w:widowControl/>
        <w:spacing w:line="360" w:lineRule="exact"/>
        <w:rPr>
          <w:rFonts w:ascii="宋体" w:hAnsi="宋体"/>
          <w:sz w:val="21"/>
        </w:rPr>
      </w:pPr>
    </w:p>
    <w:p>
      <w:pPr>
        <w:pStyle w:val="37"/>
        <w:widowControl/>
        <w:spacing w:line="360" w:lineRule="exact"/>
        <w:rPr>
          <w:rFonts w:ascii="宋体" w:hAnsi="宋体"/>
          <w:sz w:val="21"/>
        </w:rPr>
      </w:pPr>
      <w:r>
        <w:rPr>
          <w:rFonts w:ascii="宋体" w:hAnsi="宋体"/>
          <w:sz w:val="21"/>
        </w:rPr>
        <w:t>三、获取招标文件</w:t>
      </w:r>
    </w:p>
    <w:p>
      <w:pPr>
        <w:pStyle w:val="37"/>
        <w:widowControl/>
        <w:spacing w:line="360" w:lineRule="exact"/>
        <w:ind w:firstLine="420" w:firstLineChars="200"/>
        <w:rPr>
          <w:rFonts w:ascii="宋体" w:hAnsi="宋体"/>
          <w:sz w:val="21"/>
        </w:rPr>
      </w:pPr>
      <w:r>
        <w:rPr>
          <w:rFonts w:hint="eastAsia" w:ascii="宋体" w:hAnsi="宋体"/>
          <w:sz w:val="21"/>
        </w:rPr>
        <w:t>1、</w:t>
      </w:r>
      <w:r>
        <w:rPr>
          <w:rFonts w:ascii="宋体" w:hAnsi="宋体"/>
          <w:sz w:val="21"/>
        </w:rPr>
        <w:t>时间：</w:t>
      </w:r>
      <w:r>
        <w:rPr>
          <w:rFonts w:hint="eastAsia" w:ascii="宋体" w:hAnsi="宋体"/>
          <w:b/>
          <w:sz w:val="21"/>
          <w:u w:val="single"/>
        </w:rPr>
        <w:t>2024年</w:t>
      </w:r>
      <w:r>
        <w:rPr>
          <w:rFonts w:hint="eastAsia" w:ascii="宋体" w:hAnsi="宋体"/>
          <w:b/>
          <w:sz w:val="21"/>
          <w:u w:val="single"/>
          <w:lang w:val="en-US" w:eastAsia="zh-CN"/>
        </w:rPr>
        <w:t>4</w:t>
      </w:r>
      <w:r>
        <w:rPr>
          <w:rFonts w:hint="eastAsia" w:ascii="宋体" w:hAnsi="宋体"/>
          <w:b/>
          <w:sz w:val="21"/>
          <w:u w:val="single"/>
        </w:rPr>
        <w:t>月</w:t>
      </w:r>
      <w:r>
        <w:rPr>
          <w:rFonts w:hint="eastAsia" w:ascii="宋体" w:hAnsi="宋体"/>
          <w:b/>
          <w:sz w:val="21"/>
          <w:u w:val="single"/>
          <w:lang w:val="en-US" w:eastAsia="zh-CN"/>
        </w:rPr>
        <w:t>17</w:t>
      </w:r>
      <w:r>
        <w:rPr>
          <w:rFonts w:hint="eastAsia" w:ascii="宋体" w:hAnsi="宋体"/>
          <w:b/>
          <w:sz w:val="21"/>
          <w:u w:val="single"/>
        </w:rPr>
        <w:t>日至2024年</w:t>
      </w:r>
      <w:r>
        <w:rPr>
          <w:rFonts w:hint="eastAsia" w:ascii="宋体" w:hAnsi="宋体"/>
          <w:b/>
          <w:sz w:val="21"/>
          <w:u w:val="single"/>
          <w:lang w:val="en-US" w:eastAsia="zh-CN"/>
        </w:rPr>
        <w:t>4</w:t>
      </w:r>
      <w:r>
        <w:rPr>
          <w:rFonts w:hint="eastAsia" w:ascii="宋体" w:hAnsi="宋体"/>
          <w:b/>
          <w:sz w:val="21"/>
          <w:u w:val="single"/>
        </w:rPr>
        <w:t>月</w:t>
      </w:r>
      <w:r>
        <w:rPr>
          <w:rFonts w:hint="eastAsia" w:ascii="宋体" w:hAnsi="宋体"/>
          <w:b/>
          <w:sz w:val="21"/>
          <w:u w:val="single"/>
          <w:lang w:val="en-US" w:eastAsia="zh-CN"/>
        </w:rPr>
        <w:t>28</w:t>
      </w:r>
      <w:r>
        <w:rPr>
          <w:rFonts w:hint="eastAsia" w:ascii="宋体" w:hAnsi="宋体"/>
          <w:b/>
          <w:sz w:val="21"/>
          <w:u w:val="single"/>
        </w:rPr>
        <w:t>日</w:t>
      </w:r>
      <w:r>
        <w:rPr>
          <w:rFonts w:hint="eastAsia" w:ascii="宋体" w:hAnsi="宋体"/>
          <w:b/>
          <w:sz w:val="21"/>
          <w:u w:val="single"/>
          <w:lang w:val="en-US" w:eastAsia="zh-CN"/>
        </w:rPr>
        <w:t>09</w:t>
      </w:r>
      <w:r>
        <w:rPr>
          <w:rFonts w:ascii="宋体" w:hAnsi="宋体"/>
          <w:b/>
          <w:sz w:val="21"/>
          <w:u w:val="single"/>
        </w:rPr>
        <w:t>:00</w:t>
      </w:r>
      <w:r>
        <w:rPr>
          <w:rFonts w:hint="eastAsia" w:ascii="宋体" w:hAnsi="宋体"/>
          <w:b/>
          <w:sz w:val="21"/>
          <w:u w:val="single"/>
        </w:rPr>
        <w:t>，每天上午0:00至12:00，下午12:00至24:00（北京时间，法定节假日除外）</w:t>
      </w:r>
      <w:r>
        <w:rPr>
          <w:rFonts w:hint="eastAsia" w:ascii="宋体" w:hAnsi="宋体"/>
          <w:sz w:val="21"/>
        </w:rPr>
        <w:t>。</w:t>
      </w:r>
      <w:r>
        <w:rPr>
          <w:rFonts w:ascii="宋体" w:hAnsi="宋体"/>
          <w:sz w:val="21"/>
        </w:rPr>
        <w:t xml:space="preserve"> </w:t>
      </w:r>
    </w:p>
    <w:p>
      <w:pPr>
        <w:pStyle w:val="37"/>
        <w:spacing w:line="360" w:lineRule="exact"/>
        <w:ind w:firstLine="420" w:firstLineChars="200"/>
        <w:rPr>
          <w:rFonts w:asciiTheme="minorEastAsia" w:hAnsiTheme="minorEastAsia" w:eastAsiaTheme="minorEastAsia"/>
          <w:sz w:val="21"/>
        </w:rPr>
      </w:pPr>
      <w:r>
        <w:rPr>
          <w:rFonts w:hint="eastAsia" w:asciiTheme="minorEastAsia" w:hAnsiTheme="minorEastAsia" w:eastAsiaTheme="minorEastAsia"/>
          <w:sz w:val="21"/>
        </w:rPr>
        <w:t>2、</w:t>
      </w:r>
      <w:r>
        <w:rPr>
          <w:rFonts w:asciiTheme="minorEastAsia" w:hAnsiTheme="minorEastAsia" w:eastAsiaTheme="minorEastAsia"/>
          <w:sz w:val="21"/>
        </w:rPr>
        <w:t>地点：</w:t>
      </w:r>
      <w:r>
        <w:rPr>
          <w:rFonts w:hint="eastAsia" w:asciiTheme="minorEastAsia" w:hAnsiTheme="minorEastAsia" w:eastAsiaTheme="minorEastAsia"/>
          <w:sz w:val="21"/>
        </w:rPr>
        <w:t>登录深圳政府采购智慧平台（http://zfcg.szggzy.com:8081/）下载本项目的招标文件</w:t>
      </w:r>
      <w:r>
        <w:rPr>
          <w:rFonts w:asciiTheme="minorEastAsia" w:hAnsiTheme="minorEastAsia" w:eastAsiaTheme="minorEastAsia"/>
          <w:sz w:val="21"/>
        </w:rPr>
        <w:t xml:space="preserve">。 </w:t>
      </w:r>
    </w:p>
    <w:p>
      <w:pPr>
        <w:pStyle w:val="37"/>
        <w:spacing w:line="360" w:lineRule="exact"/>
        <w:ind w:firstLine="420" w:firstLineChars="200"/>
        <w:rPr>
          <w:rFonts w:asciiTheme="minorEastAsia" w:hAnsiTheme="minorEastAsia" w:eastAsiaTheme="minorEastAsia"/>
          <w:sz w:val="21"/>
        </w:rPr>
      </w:pPr>
      <w:r>
        <w:rPr>
          <w:rFonts w:hint="eastAsia" w:asciiTheme="minorEastAsia" w:hAnsiTheme="minorEastAsia" w:eastAsiaTheme="minorEastAsia"/>
          <w:sz w:val="21"/>
        </w:rPr>
        <w:t>3、</w:t>
      </w:r>
      <w:r>
        <w:rPr>
          <w:rFonts w:asciiTheme="minorEastAsia" w:hAnsiTheme="minorEastAsia" w:eastAsiaTheme="minorEastAsia"/>
          <w:sz w:val="21"/>
        </w:rPr>
        <w:t xml:space="preserve">方式：在线下载。 </w:t>
      </w:r>
    </w:p>
    <w:p>
      <w:pPr>
        <w:pStyle w:val="37"/>
        <w:spacing w:line="360" w:lineRule="exact"/>
        <w:ind w:firstLine="420" w:firstLineChars="200"/>
        <w:rPr>
          <w:rFonts w:asciiTheme="minorEastAsia" w:hAnsiTheme="minorEastAsia" w:eastAsiaTheme="minorEastAsia"/>
          <w:sz w:val="21"/>
        </w:rPr>
      </w:pPr>
      <w:r>
        <w:rPr>
          <w:rFonts w:hint="eastAsia" w:asciiTheme="minorEastAsia" w:hAnsiTheme="minorEastAsia" w:eastAsiaTheme="minorEastAsia"/>
          <w:sz w:val="21"/>
        </w:rPr>
        <w:t>4、</w:t>
      </w:r>
      <w:r>
        <w:rPr>
          <w:rFonts w:asciiTheme="minorEastAsia" w:hAnsiTheme="minorEastAsia" w:eastAsiaTheme="minorEastAsia"/>
          <w:sz w:val="21"/>
        </w:rPr>
        <w:t>售价：免费。</w:t>
      </w:r>
    </w:p>
    <w:p>
      <w:pPr>
        <w:pStyle w:val="37"/>
        <w:spacing w:line="360" w:lineRule="exact"/>
        <w:ind w:firstLine="420" w:firstLineChars="200"/>
        <w:rPr>
          <w:rFonts w:asciiTheme="minorEastAsia" w:hAnsiTheme="minorEastAsia" w:eastAsiaTheme="minorEastAsia"/>
          <w:sz w:val="21"/>
        </w:rPr>
      </w:pPr>
      <w:r>
        <w:rPr>
          <w:rFonts w:hint="eastAsia" w:asciiTheme="minorEastAsia" w:hAnsiTheme="minorEastAsia" w:eastAsiaTheme="minorEastAsia"/>
          <w:sz w:val="21"/>
        </w:rPr>
        <w:t>凡已注册的深圳市网上政府采购供应商，按照授予的操作权限，可于</w:t>
      </w:r>
      <w:r>
        <w:rPr>
          <w:rFonts w:hint="eastAsia" w:ascii="宋体" w:hAnsi="宋体"/>
          <w:b/>
          <w:sz w:val="21"/>
          <w:u w:val="single"/>
        </w:rPr>
        <w:t>获取招标文件时间内</w:t>
      </w:r>
      <w:r>
        <w:rPr>
          <w:rFonts w:hint="eastAsia" w:asciiTheme="minorEastAsia" w:hAnsiTheme="minorEastAsia" w:eastAsiaTheme="minorEastAsia"/>
          <w:sz w:val="21"/>
        </w:rPr>
        <w:t>登录深圳政府采购智慧平台（http://zfcg.szggzy.com:8081/）下载本项目的采购文件。投标人如确定参加投标，首先要在深圳政府采购智慧平台网上办事子系统（http://zfcg.szggzy.com:8081/TPBidder/memberLogin）网上报名投标，方法为登陆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w:t>
      </w:r>
      <w:r>
        <w:fldChar w:fldCharType="begin"/>
      </w:r>
      <w:r>
        <w:instrText xml:space="preserve"> HYPERLINK "http://zfcg.szggzy.com:8081/TPBidder/CAHandle" </w:instrText>
      </w:r>
      <w:r>
        <w:fldChar w:fldCharType="separate"/>
      </w:r>
      <w:r>
        <w:rPr>
          <w:rStyle w:val="53"/>
          <w:rFonts w:asciiTheme="minorEastAsia" w:hAnsiTheme="minorEastAsia" w:eastAsiaTheme="minorEastAsia"/>
          <w:sz w:val="21"/>
          <w:szCs w:val="21"/>
          <w:shd w:val="clear" w:color="auto" w:fill="FFFFFF"/>
        </w:rPr>
        <w:t>请点击</w:t>
      </w:r>
      <w:r>
        <w:rPr>
          <w:rStyle w:val="53"/>
          <w:rFonts w:asciiTheme="minorEastAsia" w:hAnsiTheme="minorEastAsia" w:eastAsiaTheme="minorEastAsia"/>
          <w:sz w:val="21"/>
          <w:szCs w:val="21"/>
          <w:shd w:val="clear" w:color="auto" w:fill="FFFFFF"/>
        </w:rPr>
        <w:fldChar w:fldCharType="end"/>
      </w:r>
      <w:r>
        <w:rPr>
          <w:rFonts w:hint="eastAsia" w:asciiTheme="minorEastAsia" w:hAnsiTheme="minorEastAsia" w:eastAsiaTheme="minorEastAsia"/>
          <w:sz w:val="21"/>
        </w:rPr>
        <w:t>），并前往深圳公共资源交易中心绑定深圳政府采购智慧平台用户（电子密钥办理咨询电话：0755-83948165、0755-83938966、020-89524338），再进行投标报名。在网上报名后，点击“【我的项目】→【项目流程】→【采购文件下载】”进行招标文件的下载。</w:t>
      </w:r>
    </w:p>
    <w:p>
      <w:pPr>
        <w:pStyle w:val="37"/>
        <w:widowControl/>
        <w:spacing w:line="360" w:lineRule="exact"/>
        <w:ind w:firstLine="420" w:firstLineChars="200"/>
        <w:rPr>
          <w:rFonts w:ascii="宋体" w:hAnsi="宋体"/>
          <w:sz w:val="21"/>
        </w:rPr>
      </w:pPr>
    </w:p>
    <w:p>
      <w:pPr>
        <w:pStyle w:val="37"/>
        <w:widowControl/>
        <w:spacing w:line="360" w:lineRule="exact"/>
        <w:rPr>
          <w:rFonts w:ascii="宋体" w:hAnsi="宋体"/>
          <w:sz w:val="21"/>
        </w:rPr>
      </w:pPr>
      <w:r>
        <w:rPr>
          <w:rFonts w:ascii="宋体" w:hAnsi="宋体"/>
          <w:sz w:val="21"/>
        </w:rPr>
        <w:t>四、提交投标文件截止时间、开标时间和地点</w:t>
      </w:r>
    </w:p>
    <w:p>
      <w:pPr>
        <w:pStyle w:val="37"/>
        <w:widowControl/>
        <w:spacing w:line="360" w:lineRule="exact"/>
        <w:ind w:firstLine="424" w:firstLineChars="202"/>
        <w:rPr>
          <w:rFonts w:ascii="宋体" w:hAnsi="宋体"/>
          <w:sz w:val="21"/>
        </w:rPr>
      </w:pPr>
      <w:r>
        <w:rPr>
          <w:rFonts w:hint="eastAsia" w:ascii="宋体" w:hAnsi="宋体"/>
          <w:sz w:val="21"/>
        </w:rPr>
        <w:t>1、投标截止时间：所有投标文件应于</w:t>
      </w:r>
      <w:r>
        <w:rPr>
          <w:rFonts w:hint="eastAsia" w:ascii="宋体" w:hAnsi="宋体"/>
          <w:b/>
          <w:sz w:val="21"/>
          <w:u w:val="single"/>
        </w:rPr>
        <w:t>2024年</w:t>
      </w:r>
      <w:r>
        <w:rPr>
          <w:rFonts w:hint="eastAsia" w:ascii="宋体" w:hAnsi="宋体"/>
          <w:b/>
          <w:sz w:val="21"/>
          <w:u w:val="single"/>
          <w:lang w:val="en-US" w:eastAsia="zh-CN"/>
        </w:rPr>
        <w:t>4</w:t>
      </w:r>
      <w:r>
        <w:rPr>
          <w:rFonts w:hint="eastAsia" w:ascii="宋体" w:hAnsi="宋体"/>
          <w:b/>
          <w:sz w:val="21"/>
          <w:u w:val="single"/>
        </w:rPr>
        <w:t>月</w:t>
      </w:r>
      <w:r>
        <w:rPr>
          <w:rFonts w:hint="eastAsia" w:ascii="宋体" w:hAnsi="宋体"/>
          <w:b/>
          <w:sz w:val="21"/>
          <w:u w:val="single"/>
          <w:lang w:val="en-US" w:eastAsia="zh-CN"/>
        </w:rPr>
        <w:t>28</w:t>
      </w:r>
      <w:r>
        <w:rPr>
          <w:rFonts w:hint="eastAsia" w:ascii="宋体" w:hAnsi="宋体"/>
          <w:b/>
          <w:sz w:val="21"/>
          <w:u w:val="single"/>
        </w:rPr>
        <w:t>日</w:t>
      </w:r>
      <w:r>
        <w:rPr>
          <w:rFonts w:hint="eastAsia" w:ascii="宋体" w:hAnsi="宋体"/>
          <w:b/>
          <w:sz w:val="21"/>
          <w:u w:val="single"/>
          <w:lang w:val="en-US" w:eastAsia="zh-CN"/>
        </w:rPr>
        <w:t>09</w:t>
      </w:r>
      <w:r>
        <w:rPr>
          <w:rFonts w:hint="eastAsia" w:ascii="宋体" w:hAnsi="宋体"/>
          <w:b/>
          <w:sz w:val="21"/>
          <w:u w:val="single"/>
        </w:rPr>
        <w:t>:00（北京时间）</w:t>
      </w:r>
      <w:r>
        <w:rPr>
          <w:rFonts w:hint="eastAsia" w:ascii="宋体" w:hAnsi="宋体"/>
          <w:sz w:val="21"/>
        </w:rPr>
        <w:t>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200MB</w:t>
      </w:r>
      <w:r>
        <w:rPr>
          <w:rFonts w:hint="eastAsia" w:ascii="宋体" w:hAnsi="宋体" w:cs="宋体"/>
          <w:sz w:val="21"/>
          <w:szCs w:val="21"/>
        </w:rPr>
        <w:t>，单个节点文件不能超过</w:t>
      </w:r>
      <w:r>
        <w:rPr>
          <w:rFonts w:ascii="宋体" w:hAnsi="宋体" w:cs="宋体"/>
          <w:sz w:val="21"/>
          <w:szCs w:val="21"/>
        </w:rPr>
        <w:t>50M</w:t>
      </w:r>
      <w:r>
        <w:rPr>
          <w:rFonts w:hint="eastAsia" w:ascii="宋体" w:hAnsi="宋体" w:cs="宋体"/>
          <w:sz w:val="21"/>
          <w:szCs w:val="21"/>
        </w:rPr>
        <w:t>B</w:t>
      </w:r>
      <w:r>
        <w:rPr>
          <w:rFonts w:hint="eastAsia" w:ascii="宋体" w:hAnsi="宋体"/>
          <w:sz w:val="21"/>
        </w:rPr>
        <w:t>，超过此容量的文件将被拒绝。</w:t>
      </w:r>
    </w:p>
    <w:p>
      <w:pPr>
        <w:pStyle w:val="37"/>
        <w:widowControl/>
        <w:spacing w:line="360" w:lineRule="exact"/>
        <w:ind w:firstLine="424" w:firstLineChars="202"/>
        <w:rPr>
          <w:rFonts w:ascii="宋体" w:hAnsi="宋体"/>
          <w:sz w:val="21"/>
        </w:rPr>
      </w:pPr>
      <w:r>
        <w:rPr>
          <w:rFonts w:hint="eastAsia" w:ascii="宋体" w:hAnsi="宋体"/>
          <w:sz w:val="21"/>
        </w:rPr>
        <w:t>2、开标时间和地点：定于</w:t>
      </w:r>
      <w:r>
        <w:rPr>
          <w:rFonts w:hint="eastAsia" w:ascii="宋体" w:hAnsi="宋体"/>
          <w:b/>
          <w:sz w:val="21"/>
          <w:u w:val="single"/>
        </w:rPr>
        <w:t>2024年</w:t>
      </w:r>
      <w:r>
        <w:rPr>
          <w:rFonts w:hint="eastAsia" w:ascii="宋体" w:hAnsi="宋体"/>
          <w:b/>
          <w:sz w:val="21"/>
          <w:u w:val="single"/>
          <w:lang w:val="en-US" w:eastAsia="zh-CN"/>
        </w:rPr>
        <w:t>4</w:t>
      </w:r>
      <w:r>
        <w:rPr>
          <w:rFonts w:hint="eastAsia" w:ascii="宋体" w:hAnsi="宋体"/>
          <w:b/>
          <w:sz w:val="21"/>
          <w:u w:val="single"/>
        </w:rPr>
        <w:t>月</w:t>
      </w:r>
      <w:r>
        <w:rPr>
          <w:rFonts w:hint="eastAsia" w:ascii="宋体" w:hAnsi="宋体"/>
          <w:b/>
          <w:sz w:val="21"/>
          <w:u w:val="single"/>
          <w:lang w:val="en-US" w:eastAsia="zh-CN"/>
        </w:rPr>
        <w:t>28</w:t>
      </w:r>
      <w:r>
        <w:rPr>
          <w:rFonts w:hint="eastAsia" w:ascii="宋体" w:hAnsi="宋体"/>
          <w:b/>
          <w:sz w:val="21"/>
          <w:u w:val="single"/>
        </w:rPr>
        <w:t>日</w:t>
      </w:r>
      <w:r>
        <w:rPr>
          <w:rFonts w:hint="eastAsia" w:ascii="宋体" w:hAnsi="宋体"/>
          <w:b/>
          <w:sz w:val="21"/>
          <w:u w:val="single"/>
          <w:lang w:val="en-US" w:eastAsia="zh-CN"/>
        </w:rPr>
        <w:t>09</w:t>
      </w:r>
      <w:r>
        <w:rPr>
          <w:rFonts w:hint="eastAsia" w:ascii="宋体" w:hAnsi="宋体"/>
          <w:b/>
          <w:sz w:val="21"/>
          <w:u w:val="single"/>
        </w:rPr>
        <w:t>:00（北京时间）</w:t>
      </w:r>
      <w:r>
        <w:rPr>
          <w:rFonts w:hint="eastAsia" w:ascii="宋体" w:hAnsi="宋体"/>
          <w:sz w:val="21"/>
        </w:rPr>
        <w:t>，在深圳市中正招标有限公司公开开标。供应商可以登录“深圳政府采购智慧平台用户网上办事子系统（http://zfcg.szggzy.com:8081/TPBidder/memberLogin）”，在“【我的项目】→【项目流程】→【开标及解密】”进行在线解密、查询开标情况。</w:t>
      </w:r>
    </w:p>
    <w:p>
      <w:pPr>
        <w:pStyle w:val="37"/>
        <w:widowControl/>
        <w:spacing w:line="360" w:lineRule="exact"/>
        <w:ind w:firstLine="426" w:firstLineChars="202"/>
        <w:rPr>
          <w:rFonts w:ascii="宋体" w:hAnsi="宋体"/>
          <w:sz w:val="21"/>
        </w:rPr>
      </w:pPr>
      <w:r>
        <w:rPr>
          <w:rFonts w:hint="eastAsia" w:ascii="宋体" w:hAnsi="宋体"/>
          <w:b/>
          <w:sz w:val="21"/>
        </w:rPr>
        <w:t>3、在线解密：投标人须在</w:t>
      </w:r>
      <w:r>
        <w:rPr>
          <w:rFonts w:hint="eastAsia" w:ascii="宋体" w:hAnsi="宋体"/>
          <w:b/>
          <w:sz w:val="21"/>
          <w:u w:val="single"/>
        </w:rPr>
        <w:t>2024年</w:t>
      </w:r>
      <w:r>
        <w:rPr>
          <w:rFonts w:hint="eastAsia" w:ascii="宋体" w:hAnsi="宋体"/>
          <w:b/>
          <w:sz w:val="21"/>
          <w:u w:val="single"/>
          <w:lang w:val="en-US" w:eastAsia="zh-CN"/>
        </w:rPr>
        <w:t>4</w:t>
      </w:r>
      <w:r>
        <w:rPr>
          <w:rFonts w:hint="eastAsia" w:ascii="宋体" w:hAnsi="宋体"/>
          <w:b/>
          <w:sz w:val="21"/>
          <w:u w:val="single"/>
        </w:rPr>
        <w:t>月</w:t>
      </w:r>
      <w:r>
        <w:rPr>
          <w:rFonts w:hint="eastAsia" w:ascii="宋体" w:hAnsi="宋体"/>
          <w:b/>
          <w:sz w:val="21"/>
          <w:u w:val="single"/>
          <w:lang w:val="en-US" w:eastAsia="zh-CN"/>
        </w:rPr>
        <w:t>28</w:t>
      </w:r>
      <w:r>
        <w:rPr>
          <w:rFonts w:hint="eastAsia" w:ascii="宋体" w:hAnsi="宋体"/>
          <w:b/>
          <w:sz w:val="21"/>
          <w:u w:val="single"/>
        </w:rPr>
        <w:t>日</w:t>
      </w:r>
      <w:r>
        <w:rPr>
          <w:rFonts w:hint="eastAsia" w:ascii="宋体" w:hAnsi="宋体"/>
          <w:b/>
          <w:sz w:val="21"/>
          <w:u w:val="single"/>
          <w:lang w:val="en-US" w:eastAsia="zh-CN"/>
        </w:rPr>
        <w:t>09</w:t>
      </w:r>
      <w:r>
        <w:rPr>
          <w:rFonts w:hint="eastAsia" w:ascii="宋体" w:hAnsi="宋体"/>
          <w:b/>
          <w:sz w:val="21"/>
          <w:u w:val="single"/>
        </w:rPr>
        <w:t>:00-1</w:t>
      </w:r>
      <w:r>
        <w:rPr>
          <w:rFonts w:hint="eastAsia" w:ascii="宋体" w:hAnsi="宋体"/>
          <w:b/>
          <w:sz w:val="21"/>
          <w:u w:val="single"/>
          <w:lang w:val="en-US" w:eastAsia="zh-CN"/>
        </w:rPr>
        <w:t>0</w:t>
      </w:r>
      <w:r>
        <w:rPr>
          <w:rFonts w:hint="eastAsia" w:ascii="宋体" w:hAnsi="宋体"/>
          <w:b/>
          <w:sz w:val="21"/>
          <w:u w:val="single"/>
        </w:rPr>
        <w:t>:00（北京时间）</w:t>
      </w:r>
      <w:r>
        <w:rPr>
          <w:rFonts w:hint="eastAsia" w:ascii="宋体" w:hAnsi="宋体"/>
          <w:b/>
          <w:sz w:val="21"/>
        </w:rPr>
        <w:t>期间进行解密，逾期未解密的作无效处理。</w:t>
      </w:r>
      <w:r>
        <w:rPr>
          <w:rFonts w:hint="eastAsia" w:ascii="宋体" w:hAnsi="宋体"/>
          <w:sz w:val="21"/>
        </w:rPr>
        <w:t>解密方法：登录“深圳政府采购智慧平台用户网上办事子系统（http://zfcg.szggzy.com:8081/TPBidder/memberLogin）”，使用本单位制作电子投标文件同一个电子密钥，在“【我的项目】→【项目流程】→【开标及解密】”进行在线解密、查询开标情况。</w:t>
      </w:r>
    </w:p>
    <w:p>
      <w:pPr>
        <w:pStyle w:val="37"/>
        <w:widowControl/>
        <w:spacing w:line="360" w:lineRule="exact"/>
        <w:ind w:left="420" w:leftChars="200"/>
        <w:rPr>
          <w:rFonts w:ascii="宋体" w:hAnsi="宋体"/>
          <w:sz w:val="21"/>
        </w:rPr>
      </w:pPr>
    </w:p>
    <w:p>
      <w:pPr>
        <w:pStyle w:val="37"/>
        <w:widowControl/>
        <w:spacing w:line="360" w:lineRule="exact"/>
        <w:rPr>
          <w:rFonts w:ascii="宋体" w:hAnsi="宋体"/>
          <w:sz w:val="21"/>
        </w:rPr>
      </w:pPr>
      <w:r>
        <w:rPr>
          <w:rFonts w:ascii="宋体" w:hAnsi="宋体"/>
          <w:sz w:val="21"/>
        </w:rPr>
        <w:t>五、公告期限</w:t>
      </w:r>
    </w:p>
    <w:p>
      <w:pPr>
        <w:pStyle w:val="37"/>
        <w:widowControl/>
        <w:spacing w:line="360" w:lineRule="exact"/>
        <w:ind w:firstLine="420" w:firstLineChars="200"/>
        <w:rPr>
          <w:rFonts w:ascii="宋体" w:hAnsi="宋体"/>
          <w:sz w:val="21"/>
        </w:rPr>
      </w:pPr>
      <w:r>
        <w:rPr>
          <w:rFonts w:ascii="宋体" w:hAnsi="宋体"/>
          <w:sz w:val="21"/>
        </w:rPr>
        <w:t>自本公告发布之日起5个工作日。</w:t>
      </w:r>
    </w:p>
    <w:p>
      <w:pPr>
        <w:pStyle w:val="37"/>
        <w:widowControl/>
        <w:spacing w:line="360" w:lineRule="exact"/>
        <w:ind w:firstLine="420" w:firstLineChars="200"/>
        <w:rPr>
          <w:rFonts w:ascii="宋体" w:hAnsi="宋体"/>
          <w:sz w:val="21"/>
        </w:rPr>
      </w:pPr>
    </w:p>
    <w:p>
      <w:pPr>
        <w:pStyle w:val="37"/>
        <w:widowControl/>
        <w:spacing w:line="360" w:lineRule="exact"/>
        <w:rPr>
          <w:rFonts w:ascii="宋体" w:hAnsi="宋体"/>
          <w:sz w:val="21"/>
        </w:rPr>
      </w:pPr>
      <w:r>
        <w:rPr>
          <w:rFonts w:ascii="宋体" w:hAnsi="宋体"/>
          <w:sz w:val="21"/>
        </w:rPr>
        <w:t>六、其他补充事宜</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1、本项目实行网上投标，采用电子投标文件。</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2、采购文件澄清/修改事项：</w:t>
      </w:r>
      <w:r>
        <w:rPr>
          <w:rFonts w:hint="eastAsia" w:asciiTheme="minorEastAsia" w:hAnsiTheme="minorEastAsia" w:eastAsiaTheme="minorEastAsia"/>
          <w:b/>
          <w:sz w:val="21"/>
          <w:u w:val="single"/>
        </w:rPr>
        <w:t>2024年</w:t>
      </w:r>
      <w:r>
        <w:rPr>
          <w:rFonts w:hint="eastAsia" w:asciiTheme="minorEastAsia" w:hAnsiTheme="minorEastAsia" w:eastAsiaTheme="minorEastAsia"/>
          <w:b/>
          <w:sz w:val="21"/>
          <w:u w:val="single"/>
          <w:lang w:val="en-US" w:eastAsia="zh-CN"/>
        </w:rPr>
        <w:t>4</w:t>
      </w:r>
      <w:r>
        <w:rPr>
          <w:rFonts w:hint="eastAsia" w:asciiTheme="minorEastAsia" w:hAnsiTheme="minorEastAsia" w:eastAsiaTheme="minorEastAsia"/>
          <w:b/>
          <w:sz w:val="21"/>
          <w:u w:val="single"/>
        </w:rPr>
        <w:t>月</w:t>
      </w:r>
      <w:r>
        <w:rPr>
          <w:rFonts w:hint="eastAsia" w:asciiTheme="minorEastAsia" w:hAnsiTheme="minorEastAsia" w:eastAsiaTheme="minorEastAsia"/>
          <w:b/>
          <w:sz w:val="21"/>
          <w:u w:val="single"/>
          <w:lang w:val="en-US" w:eastAsia="zh-CN"/>
        </w:rPr>
        <w:t>23</w:t>
      </w:r>
      <w:r>
        <w:rPr>
          <w:rFonts w:hint="eastAsia" w:asciiTheme="minorEastAsia" w:hAnsiTheme="minorEastAsia" w:eastAsiaTheme="minorEastAsia"/>
          <w:b/>
          <w:sz w:val="21"/>
          <w:u w:val="single"/>
        </w:rPr>
        <w:t>日00:00（北京时间）</w:t>
      </w:r>
      <w:r>
        <w:rPr>
          <w:rFonts w:hint="eastAsia" w:asciiTheme="minorEastAsia" w:hAnsiTheme="minorEastAsia" w:eastAsiaTheme="minorEastAsia"/>
          <w:sz w:val="21"/>
        </w:rPr>
        <w:t>前，供应商如果认为采购文件存在不明确、不清晰和前后不一致等问题，可登录“深圳政府采购智慧平台用户网上办事子系统（http://zfcg.szggzy.com:8081/TPBidder/memberLogin）”，在“【我的项目】→【项目流程】→【提问】”功能点中填写需澄清内容。</w:t>
      </w:r>
      <w:r>
        <w:rPr>
          <w:rFonts w:hint="eastAsia" w:asciiTheme="minorEastAsia" w:hAnsiTheme="minorEastAsia" w:eastAsiaTheme="minorEastAsia"/>
          <w:b/>
          <w:sz w:val="21"/>
          <w:u w:val="single"/>
        </w:rPr>
        <w:t>2024年</w:t>
      </w:r>
      <w:r>
        <w:rPr>
          <w:rFonts w:hint="eastAsia" w:asciiTheme="minorEastAsia" w:hAnsiTheme="minorEastAsia" w:eastAsiaTheme="minorEastAsia"/>
          <w:b/>
          <w:sz w:val="21"/>
          <w:u w:val="single"/>
          <w:lang w:val="en-US" w:eastAsia="zh-CN"/>
        </w:rPr>
        <w:t>4</w:t>
      </w:r>
      <w:r>
        <w:rPr>
          <w:rFonts w:hint="eastAsia" w:asciiTheme="minorEastAsia" w:hAnsiTheme="minorEastAsia" w:eastAsiaTheme="minorEastAsia"/>
          <w:b/>
          <w:sz w:val="21"/>
          <w:u w:val="single"/>
        </w:rPr>
        <w:t>月</w:t>
      </w:r>
      <w:r>
        <w:rPr>
          <w:rFonts w:hint="eastAsia" w:asciiTheme="minorEastAsia" w:hAnsiTheme="minorEastAsia" w:eastAsiaTheme="minorEastAsia"/>
          <w:b/>
          <w:sz w:val="21"/>
          <w:u w:val="single"/>
          <w:lang w:val="en-US" w:eastAsia="zh-CN"/>
        </w:rPr>
        <w:t>25</w:t>
      </w:r>
      <w:r>
        <w:rPr>
          <w:rFonts w:hint="eastAsia" w:asciiTheme="minorEastAsia" w:hAnsiTheme="minorEastAsia" w:eastAsiaTheme="minorEastAsia"/>
          <w:b/>
          <w:sz w:val="21"/>
          <w:u w:val="single"/>
        </w:rPr>
        <w:t>日00:00（北京时间）</w:t>
      </w:r>
      <w:r>
        <w:rPr>
          <w:rFonts w:hint="eastAsia" w:asciiTheme="minorEastAsia" w:hAnsiTheme="minorEastAsia" w:eastAsiaTheme="minorEastAsia"/>
          <w:sz w:val="21"/>
        </w:rPr>
        <w:t>前将采购文件澄清/修改情况在“【我的项目】→【项目流程】→【答疑澄清文件下载】”中公布，望投标人予以关注。</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网（ https://www.szggzy.com/fwdh/fwdhzfcg/bszn1/content_203163.html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福田区民田路171号新华保险大厦903深圳市中正招标有限公司。质疑咨询电话：0755-83026699。根据《深圳经济特区政府采购条例》第四十二条“供应商投诉的事项应当是经过质疑的事项”的规定，未经正式质疑的，将影响供应商行使向财政部门提起投诉的权利。）</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 xml:space="preserve">3、深圳市中正招标有限公司有权对投标人就本项目要求提供的相关证明资料（原件）进行审查。供应商提供虚假资料被查实的，则可能面临被取消本项目中标资格、列入不良行为记录名单和三年内禁止参与深圳市政府采购活动的风险。 </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4、本招标公告及本项目招标文件所涉及的时间一律为北京时间。投标人有义务在招标活动期间浏览深圳公共资源交易网（https://www.szggzy.com），在深圳公共资源交易网上公布的与本次招标项目有关的信息视为已送达各投标人。</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5、本项目不需要投标保证金</w:t>
      </w:r>
      <w:r>
        <w:rPr>
          <w:rFonts w:asciiTheme="minorEastAsia" w:hAnsiTheme="minorEastAsia" w:eastAsiaTheme="minorEastAsia"/>
          <w:sz w:val="21"/>
        </w:rPr>
        <w:t>。</w:t>
      </w:r>
    </w:p>
    <w:p>
      <w:pPr>
        <w:pStyle w:val="37"/>
        <w:widowControl/>
        <w:spacing w:line="360" w:lineRule="exact"/>
        <w:ind w:firstLine="424" w:firstLineChars="202"/>
        <w:rPr>
          <w:rFonts w:ascii="宋体" w:hAnsi="宋体"/>
          <w:sz w:val="21"/>
        </w:rPr>
      </w:pPr>
    </w:p>
    <w:p>
      <w:pPr>
        <w:pStyle w:val="37"/>
        <w:widowControl/>
        <w:spacing w:line="360" w:lineRule="exact"/>
        <w:rPr>
          <w:rFonts w:ascii="宋体" w:hAnsi="宋体"/>
          <w:sz w:val="21"/>
        </w:rPr>
      </w:pPr>
      <w:r>
        <w:rPr>
          <w:rFonts w:ascii="宋体" w:hAnsi="宋体"/>
          <w:sz w:val="21"/>
        </w:rPr>
        <w:t>七、对本次招标提出询问，请按以下方式联系。</w:t>
      </w:r>
    </w:p>
    <w:p>
      <w:pPr>
        <w:pStyle w:val="37"/>
        <w:widowControl/>
        <w:spacing w:line="360" w:lineRule="exact"/>
        <w:ind w:firstLine="424" w:firstLineChars="202"/>
        <w:rPr>
          <w:rFonts w:ascii="宋体" w:hAnsi="宋体"/>
          <w:color w:val="auto"/>
          <w:sz w:val="21"/>
        </w:rPr>
      </w:pPr>
      <w:r>
        <w:rPr>
          <w:rFonts w:hint="eastAsia" w:ascii="宋体" w:hAnsi="宋体"/>
          <w:color w:val="auto"/>
          <w:sz w:val="21"/>
        </w:rPr>
        <w:t>1、</w:t>
      </w:r>
      <w:r>
        <w:rPr>
          <w:rFonts w:ascii="宋体" w:hAnsi="宋体"/>
          <w:color w:val="auto"/>
          <w:sz w:val="21"/>
        </w:rPr>
        <w:t xml:space="preserve">采购人信息 </w:t>
      </w:r>
    </w:p>
    <w:p>
      <w:pPr>
        <w:pStyle w:val="195"/>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color w:val="auto"/>
          <w:sz w:val="21"/>
          <w:szCs w:val="21"/>
          <w:shd w:val="clear" w:color="auto" w:fill="FFFFFF"/>
        </w:rPr>
        <w:t>深圳市广播电视技术中心</w:t>
      </w:r>
      <w:r>
        <w:rPr>
          <w:rFonts w:ascii="宋体" w:hAnsi="宋体" w:eastAsia="宋体"/>
          <w:snapToGrid w:val="0"/>
          <w:color w:val="auto"/>
          <w:sz w:val="21"/>
          <w:szCs w:val="21"/>
        </w:rPr>
        <w:t xml:space="preserve"> </w:t>
      </w:r>
    </w:p>
    <w:p>
      <w:pPr>
        <w:pStyle w:val="195"/>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cs="宋体"/>
          <w:color w:val="auto"/>
          <w:sz w:val="21"/>
          <w:szCs w:val="21"/>
          <w:shd w:val="clear" w:color="auto" w:fill="FFFFFF"/>
        </w:rPr>
        <w:t>深圳市南山区西丽龙珠大道54号606</w:t>
      </w:r>
      <w:r>
        <w:rPr>
          <w:rFonts w:ascii="宋体" w:hAnsi="宋体" w:eastAsia="宋体"/>
          <w:snapToGrid w:val="0"/>
          <w:color w:val="auto"/>
          <w:sz w:val="21"/>
          <w:szCs w:val="21"/>
        </w:rPr>
        <w:t xml:space="preserve"> </w:t>
      </w:r>
    </w:p>
    <w:p>
      <w:pPr>
        <w:pStyle w:val="195"/>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cs="宋体"/>
          <w:color w:val="auto"/>
          <w:sz w:val="21"/>
          <w:szCs w:val="21"/>
          <w:shd w:val="clear" w:color="auto" w:fill="FFFFFF"/>
        </w:rPr>
        <w:t>肖</w:t>
      </w:r>
      <w:r>
        <w:rPr>
          <w:rFonts w:hint="eastAsia" w:ascii="宋体" w:hAnsi="宋体" w:eastAsia="宋体" w:cs="宋体"/>
          <w:color w:val="auto"/>
          <w:sz w:val="21"/>
          <w:szCs w:val="21"/>
          <w:shd w:val="clear" w:color="auto" w:fill="FFFFFF"/>
          <w:lang w:val="en-US" w:eastAsia="zh-CN"/>
        </w:rPr>
        <w:t>先生</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0755-25160893</w:t>
      </w:r>
    </w:p>
    <w:p>
      <w:pPr>
        <w:pStyle w:val="37"/>
        <w:widowControl/>
        <w:spacing w:line="360" w:lineRule="exact"/>
        <w:ind w:firstLine="424" w:firstLineChars="202"/>
        <w:rPr>
          <w:rFonts w:ascii="宋体" w:hAnsi="宋体"/>
          <w:sz w:val="21"/>
        </w:rPr>
      </w:pPr>
      <w:r>
        <w:rPr>
          <w:rFonts w:hint="eastAsia" w:ascii="宋体" w:hAnsi="宋体"/>
          <w:sz w:val="21"/>
        </w:rPr>
        <w:t>2、</w:t>
      </w:r>
      <w:r>
        <w:rPr>
          <w:rFonts w:ascii="宋体" w:hAnsi="宋体"/>
          <w:sz w:val="21"/>
        </w:rPr>
        <w:t xml:space="preserve">采购代理机构信息 </w:t>
      </w:r>
    </w:p>
    <w:p>
      <w:pPr>
        <w:pStyle w:val="37"/>
        <w:widowControl/>
        <w:spacing w:line="360" w:lineRule="exact"/>
        <w:ind w:firstLine="424" w:firstLineChars="202"/>
        <w:rPr>
          <w:rFonts w:ascii="宋体" w:hAnsi="宋体"/>
          <w:sz w:val="21"/>
        </w:rPr>
      </w:pPr>
      <w:r>
        <w:rPr>
          <w:rFonts w:ascii="宋体" w:hAnsi="宋体"/>
          <w:sz w:val="21"/>
        </w:rPr>
        <w:t xml:space="preserve">名称：深圳市中正招标有限公司 </w:t>
      </w:r>
    </w:p>
    <w:p>
      <w:pPr>
        <w:pStyle w:val="37"/>
        <w:widowControl/>
        <w:spacing w:line="360" w:lineRule="exact"/>
        <w:ind w:firstLine="424" w:firstLineChars="202"/>
        <w:rPr>
          <w:rFonts w:ascii="宋体" w:hAnsi="宋体"/>
          <w:sz w:val="21"/>
        </w:rPr>
      </w:pPr>
      <w:r>
        <w:rPr>
          <w:rFonts w:ascii="宋体" w:hAnsi="宋体"/>
          <w:sz w:val="21"/>
        </w:rPr>
        <w:t>地址：深圳市福田区</w:t>
      </w:r>
      <w:r>
        <w:rPr>
          <w:rFonts w:hint="eastAsia" w:ascii="宋体" w:hAnsi="宋体"/>
          <w:sz w:val="21"/>
        </w:rPr>
        <w:t>民田路171号新华保险大厦903</w:t>
      </w:r>
    </w:p>
    <w:p>
      <w:pPr>
        <w:pStyle w:val="37"/>
        <w:widowControl/>
        <w:spacing w:line="360" w:lineRule="exact"/>
        <w:ind w:firstLine="424" w:firstLineChars="202"/>
        <w:rPr>
          <w:rFonts w:ascii="宋体" w:hAnsi="宋体"/>
          <w:sz w:val="21"/>
        </w:rPr>
      </w:pPr>
      <w:r>
        <w:rPr>
          <w:rFonts w:ascii="宋体" w:hAnsi="宋体"/>
          <w:sz w:val="21"/>
        </w:rPr>
        <w:t>联系方式：0755-83026699</w:t>
      </w:r>
    </w:p>
    <w:p>
      <w:pPr>
        <w:pStyle w:val="37"/>
        <w:widowControl/>
        <w:spacing w:line="360" w:lineRule="exact"/>
        <w:ind w:firstLine="424" w:firstLineChars="202"/>
        <w:rPr>
          <w:rFonts w:ascii="宋体" w:hAnsi="宋体"/>
          <w:sz w:val="21"/>
        </w:rPr>
      </w:pPr>
      <w:r>
        <w:rPr>
          <w:rFonts w:hint="eastAsia" w:ascii="宋体" w:hAnsi="宋体"/>
          <w:sz w:val="21"/>
        </w:rPr>
        <w:t>3、</w:t>
      </w:r>
      <w:r>
        <w:rPr>
          <w:rFonts w:ascii="宋体" w:hAnsi="宋体"/>
          <w:sz w:val="21"/>
        </w:rPr>
        <w:t xml:space="preserve">项目联系方式 </w:t>
      </w:r>
    </w:p>
    <w:p>
      <w:pPr>
        <w:pStyle w:val="37"/>
        <w:widowControl/>
        <w:spacing w:line="360" w:lineRule="exact"/>
        <w:ind w:firstLine="424" w:firstLineChars="202"/>
        <w:rPr>
          <w:rFonts w:ascii="宋体" w:hAnsi="宋体"/>
          <w:sz w:val="21"/>
        </w:rPr>
      </w:pPr>
      <w:r>
        <w:rPr>
          <w:rFonts w:ascii="宋体" w:hAnsi="宋体"/>
          <w:sz w:val="21"/>
        </w:rPr>
        <w:t>项目联系人：</w:t>
      </w:r>
      <w:r>
        <w:rPr>
          <w:rFonts w:hint="eastAsia" w:ascii="宋体" w:hAnsi="宋体"/>
          <w:sz w:val="21"/>
          <w:lang w:val="en-US" w:eastAsia="zh-CN"/>
        </w:rPr>
        <w:t>罗工</w:t>
      </w:r>
      <w:r>
        <w:rPr>
          <w:rFonts w:ascii="宋体" w:hAnsi="宋体"/>
          <w:sz w:val="21"/>
        </w:rPr>
        <w:t xml:space="preserve"> </w:t>
      </w:r>
    </w:p>
    <w:p>
      <w:pPr>
        <w:pStyle w:val="37"/>
        <w:widowControl/>
        <w:spacing w:line="360" w:lineRule="exact"/>
        <w:ind w:firstLine="424" w:firstLineChars="202"/>
        <w:rPr>
          <w:rFonts w:ascii="宋体" w:hAnsi="宋体"/>
          <w:sz w:val="21"/>
        </w:rPr>
      </w:pPr>
      <w:r>
        <w:rPr>
          <w:rFonts w:ascii="宋体" w:hAnsi="宋体"/>
          <w:sz w:val="21"/>
        </w:rPr>
        <w:t>电话：</w:t>
      </w:r>
      <w:r>
        <w:rPr>
          <w:rFonts w:hint="eastAsia" w:ascii="宋体" w:hAnsi="宋体"/>
          <w:sz w:val="21"/>
        </w:rPr>
        <w:t>0755-83026699</w:t>
      </w:r>
    </w:p>
    <w:p>
      <w:pPr>
        <w:pStyle w:val="37"/>
        <w:widowControl/>
        <w:spacing w:line="360" w:lineRule="exact"/>
        <w:ind w:firstLine="424" w:firstLineChars="202"/>
        <w:rPr>
          <w:rFonts w:ascii="宋体" w:hAnsi="宋体"/>
          <w:sz w:val="21"/>
        </w:rPr>
      </w:pPr>
    </w:p>
    <w:p>
      <w:pPr>
        <w:pStyle w:val="37"/>
        <w:widowControl/>
        <w:spacing w:line="360" w:lineRule="exact"/>
        <w:ind w:firstLine="424" w:firstLineChars="202"/>
        <w:rPr>
          <w:rFonts w:ascii="宋体" w:hAnsi="宋体"/>
          <w:sz w:val="21"/>
        </w:rPr>
      </w:pPr>
    </w:p>
    <w:p>
      <w:pPr>
        <w:pStyle w:val="37"/>
        <w:widowControl/>
        <w:spacing w:line="360" w:lineRule="exact"/>
        <w:ind w:firstLine="484" w:firstLineChars="202"/>
        <w:jc w:val="right"/>
        <w:rPr>
          <w:rFonts w:ascii="宋体" w:hAnsi="宋体"/>
        </w:rPr>
      </w:pPr>
      <w:r>
        <w:rPr>
          <w:rFonts w:hint="eastAsia" w:ascii="宋体" w:hAnsi="宋体"/>
        </w:rPr>
        <w:t>深圳市中正招标有限公司</w:t>
      </w:r>
    </w:p>
    <w:p>
      <w:pPr>
        <w:pStyle w:val="37"/>
        <w:widowControl/>
        <w:spacing w:line="360" w:lineRule="exact"/>
        <w:ind w:firstLine="484" w:firstLineChars="202"/>
        <w:jc w:val="right"/>
      </w:pPr>
      <w:r>
        <w:rPr>
          <w:rFonts w:hint="eastAsia" w:ascii="宋体" w:hAnsi="宋体"/>
        </w:rPr>
        <w:t>2024年</w:t>
      </w:r>
      <w:r>
        <w:rPr>
          <w:rFonts w:hint="eastAsia" w:ascii="宋体" w:hAnsi="宋体"/>
          <w:lang w:val="en-US" w:eastAsia="zh-CN"/>
        </w:rPr>
        <w:t>4</w:t>
      </w:r>
      <w:r>
        <w:rPr>
          <w:rFonts w:hint="eastAsia" w:ascii="宋体" w:hAnsi="宋体"/>
        </w:rPr>
        <w:t>月</w:t>
      </w:r>
      <w:r>
        <w:rPr>
          <w:rFonts w:hint="eastAsia" w:ascii="宋体" w:hAnsi="宋体"/>
          <w:lang w:val="en-US" w:eastAsia="zh-CN"/>
        </w:rPr>
        <w:t>17</w:t>
      </w:r>
      <w:r>
        <w:rPr>
          <w:rFonts w:hint="eastAsia" w:ascii="宋体" w:hAnsi="宋体"/>
        </w:rPr>
        <w:t>日</w:t>
      </w:r>
      <w:bookmarkEnd w:id="17"/>
    </w:p>
    <w:bookmarkEnd w:id="18"/>
    <w:p>
      <w:pPr>
        <w:widowControl/>
        <w:jc w:val="left"/>
        <w:rPr>
          <w:rFonts w:ascii="宋体" w:hAnsi="宋体"/>
          <w:b/>
          <w:bCs/>
          <w:kern w:val="0"/>
          <w:sz w:val="24"/>
          <w:szCs w:val="20"/>
        </w:rPr>
      </w:pPr>
      <w:r>
        <w:br w:type="page"/>
      </w:r>
    </w:p>
    <w:p>
      <w:pPr>
        <w:pStyle w:val="5"/>
      </w:pPr>
      <w:r>
        <w:rPr>
          <w:rFonts w:hint="eastAsia"/>
        </w:rPr>
        <w:t>第二章  招标项目需求</w:t>
      </w:r>
    </w:p>
    <w:p>
      <w:pPr>
        <w:pStyle w:val="5"/>
        <w:spacing w:beforeLines="50" w:afterLines="50"/>
        <w:rPr>
          <w:sz w:val="28"/>
          <w:szCs w:val="28"/>
        </w:rPr>
      </w:pPr>
      <w:bookmarkStart w:id="19" w:name="_Toc101074876"/>
      <w:bookmarkStart w:id="20" w:name="_Toc60631620"/>
      <w:bookmarkStart w:id="21" w:name="_Toc73517639"/>
      <w:bookmarkStart w:id="22" w:name="_Toc60560625"/>
      <w:bookmarkStart w:id="23" w:name="_Toc73521635"/>
      <w:bookmarkStart w:id="24" w:name="_Toc73521547"/>
      <w:bookmarkStart w:id="25" w:name="_Toc73518117"/>
      <w:bookmarkStart w:id="26" w:name="_Toc100052364"/>
      <w:r>
        <w:rPr>
          <w:rFonts w:hint="eastAsia"/>
          <w:sz w:val="28"/>
          <w:szCs w:val="28"/>
        </w:rPr>
        <w:t>一、对通用条款的补充内容</w:t>
      </w:r>
    </w:p>
    <w:bookmarkEnd w:id="19"/>
    <w:bookmarkEnd w:id="20"/>
    <w:bookmarkEnd w:id="21"/>
    <w:bookmarkEnd w:id="22"/>
    <w:bookmarkEnd w:id="23"/>
    <w:bookmarkEnd w:id="24"/>
    <w:bookmarkEnd w:id="25"/>
    <w:bookmarkEnd w:id="26"/>
    <w:tbl>
      <w:tblPr>
        <w:tblStyle w:val="42"/>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rPr>
            </w:pPr>
            <w:r>
              <w:rPr>
                <w:rFonts w:hint="eastAsia" w:ascii="宋体" w:hAnsi="宋体"/>
                <w:b/>
                <w:bCs/>
              </w:rPr>
              <w:t>序号</w:t>
            </w:r>
          </w:p>
        </w:tc>
        <w:tc>
          <w:tcPr>
            <w:tcW w:w="2160" w:type="dxa"/>
            <w:vAlign w:val="center"/>
          </w:tcPr>
          <w:p>
            <w:pPr>
              <w:jc w:val="center"/>
              <w:rPr>
                <w:rFonts w:ascii="宋体" w:hAnsi="宋体"/>
                <w:b/>
                <w:bCs/>
              </w:rPr>
            </w:pPr>
            <w:r>
              <w:rPr>
                <w:rFonts w:hint="eastAsia" w:ascii="宋体" w:hAnsi="宋体"/>
                <w:b/>
                <w:bCs/>
              </w:rPr>
              <w:t>内   容</w:t>
            </w:r>
          </w:p>
        </w:tc>
        <w:tc>
          <w:tcPr>
            <w:tcW w:w="5400" w:type="dxa"/>
            <w:vAlign w:val="center"/>
          </w:tcPr>
          <w:p>
            <w:pPr>
              <w:jc w:val="center"/>
              <w:rPr>
                <w:rFonts w:ascii="宋体" w:hAnsi="宋体"/>
                <w:b/>
                <w:bCs/>
              </w:rPr>
            </w:pPr>
            <w:r>
              <w:rPr>
                <w:rFonts w:hint="eastAsia" w:ascii="宋体" w:hAnsi="宋体"/>
                <w:b/>
                <w:bCs/>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807" w:type="dxa"/>
            <w:vAlign w:val="center"/>
          </w:tcPr>
          <w:p>
            <w:pPr>
              <w:jc w:val="center"/>
              <w:rPr>
                <w:rFonts w:ascii="宋体" w:hAnsi="宋体"/>
              </w:rPr>
            </w:pPr>
            <w:r>
              <w:rPr>
                <w:rFonts w:hint="eastAsia" w:ascii="宋体" w:hAnsi="宋体"/>
              </w:rPr>
              <w:t>1</w:t>
            </w:r>
          </w:p>
        </w:tc>
        <w:tc>
          <w:tcPr>
            <w:tcW w:w="2160" w:type="dxa"/>
            <w:vAlign w:val="center"/>
          </w:tcPr>
          <w:p>
            <w:pPr>
              <w:jc w:val="center"/>
            </w:pPr>
            <w:r>
              <w:rPr>
                <w:rFonts w:hint="eastAsia"/>
              </w:rPr>
              <w:t>联合体投标</w:t>
            </w:r>
          </w:p>
        </w:tc>
        <w:tc>
          <w:tcPr>
            <w:tcW w:w="5400" w:type="dxa"/>
            <w:vAlign w:val="center"/>
          </w:tcPr>
          <w:p>
            <w:pPr>
              <w:rPr>
                <w:rFonts w:ascii="宋体" w:hAnsi="宋体"/>
                <w:snapToGrid w:val="0"/>
                <w:kern w:val="0"/>
                <w:szCs w:val="32"/>
                <w:lang w:val="zh-CN"/>
              </w:rPr>
            </w:pPr>
            <w:r>
              <w:rPr>
                <w:rFonts w:hint="eastAsia" w:ascii="宋体" w:hAnsi="宋体"/>
                <w:snapToGrid w:val="0"/>
                <w:kern w:val="0"/>
                <w:szCs w:val="32"/>
                <w:lang w:val="zh-CN"/>
              </w:rPr>
              <w:t>见《招标公告》中“项目基本情况”部分的相关内容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807" w:type="dxa"/>
            <w:vAlign w:val="center"/>
          </w:tcPr>
          <w:p>
            <w:pPr>
              <w:jc w:val="center"/>
              <w:rPr>
                <w:rFonts w:ascii="宋体" w:hAnsi="宋体"/>
              </w:rPr>
            </w:pPr>
            <w:r>
              <w:rPr>
                <w:rFonts w:hint="eastAsia" w:ascii="宋体" w:hAnsi="宋体"/>
              </w:rPr>
              <w:t>2</w:t>
            </w:r>
          </w:p>
        </w:tc>
        <w:tc>
          <w:tcPr>
            <w:tcW w:w="2160" w:type="dxa"/>
            <w:vAlign w:val="center"/>
          </w:tcPr>
          <w:p>
            <w:pPr>
              <w:jc w:val="center"/>
              <w:rPr>
                <w:rFonts w:ascii="宋体" w:hAnsi="宋体"/>
              </w:rPr>
            </w:pPr>
            <w:r>
              <w:rPr>
                <w:rFonts w:hint="eastAsia" w:ascii="宋体" w:hAnsi="宋体"/>
              </w:rPr>
              <w:t>投标有效期</w:t>
            </w:r>
          </w:p>
        </w:tc>
        <w:tc>
          <w:tcPr>
            <w:tcW w:w="5400" w:type="dxa"/>
            <w:vAlign w:val="center"/>
          </w:tcPr>
          <w:p>
            <w:pPr>
              <w:rPr>
                <w:rFonts w:ascii="宋体" w:hAnsi="宋体"/>
              </w:rPr>
            </w:pPr>
            <w:r>
              <w:rPr>
                <w:rFonts w:hint="eastAsia" w:ascii="宋体" w:hAnsi="宋体"/>
                <w:u w:val="single"/>
              </w:rPr>
              <w:t>90</w:t>
            </w:r>
            <w:r>
              <w:rPr>
                <w:rFonts w:ascii="宋体" w:hAnsi="宋体"/>
                <w:u w:val="single"/>
              </w:rPr>
              <w:t>日历天</w:t>
            </w:r>
            <w:r>
              <w:rPr>
                <w:rFonts w:ascii="宋体" w:hAnsi="宋体"/>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807" w:type="dxa"/>
            <w:vAlign w:val="center"/>
          </w:tcPr>
          <w:p>
            <w:pPr>
              <w:jc w:val="center"/>
              <w:rPr>
                <w:rFonts w:ascii="宋体" w:hAnsi="宋体"/>
              </w:rPr>
            </w:pPr>
            <w:r>
              <w:rPr>
                <w:rFonts w:hint="eastAsia" w:ascii="宋体" w:hAnsi="宋体"/>
              </w:rPr>
              <w:t>3</w:t>
            </w:r>
          </w:p>
        </w:tc>
        <w:tc>
          <w:tcPr>
            <w:tcW w:w="2160" w:type="dxa"/>
            <w:vAlign w:val="center"/>
          </w:tcPr>
          <w:p>
            <w:pPr>
              <w:jc w:val="center"/>
              <w:rPr>
                <w:rFonts w:ascii="宋体" w:hAnsi="宋体"/>
              </w:rPr>
            </w:pPr>
            <w:r>
              <w:rPr>
                <w:rFonts w:hint="eastAsia" w:ascii="宋体" w:hAnsi="宋体"/>
              </w:rPr>
              <w:t>投标人的替代方案</w:t>
            </w:r>
          </w:p>
        </w:tc>
        <w:tc>
          <w:tcPr>
            <w:tcW w:w="5400" w:type="dxa"/>
            <w:vAlign w:val="center"/>
          </w:tcPr>
          <w:p>
            <w:pPr>
              <w:rPr>
                <w:rFonts w:ascii="宋体" w:hAnsi="宋体"/>
              </w:rPr>
            </w:pPr>
            <w:r>
              <w:rPr>
                <w:rFonts w:hint="eastAsia" w:ascii="宋体" w:hAnsi="宋体"/>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64" w:hRule="atLeast"/>
          <w:jc w:val="center"/>
        </w:trPr>
        <w:tc>
          <w:tcPr>
            <w:tcW w:w="807" w:type="dxa"/>
            <w:vAlign w:val="center"/>
          </w:tcPr>
          <w:p>
            <w:pPr>
              <w:jc w:val="center"/>
              <w:rPr>
                <w:rFonts w:ascii="宋体" w:hAnsi="宋体"/>
              </w:rPr>
            </w:pPr>
            <w:r>
              <w:rPr>
                <w:rFonts w:hint="eastAsia" w:ascii="宋体" w:hAnsi="宋体"/>
              </w:rPr>
              <w:t>4</w:t>
            </w:r>
          </w:p>
        </w:tc>
        <w:tc>
          <w:tcPr>
            <w:tcW w:w="2160" w:type="dxa"/>
            <w:vAlign w:val="center"/>
          </w:tcPr>
          <w:p>
            <w:pPr>
              <w:jc w:val="center"/>
              <w:rPr>
                <w:rFonts w:ascii="宋体" w:hAnsi="宋体"/>
              </w:rPr>
            </w:pPr>
            <w:r>
              <w:rPr>
                <w:rFonts w:hint="eastAsia" w:ascii="宋体" w:hAnsi="宋体"/>
              </w:rPr>
              <w:t>投标文件的投递</w:t>
            </w:r>
          </w:p>
        </w:tc>
        <w:tc>
          <w:tcPr>
            <w:tcW w:w="5400" w:type="dxa"/>
            <w:vAlign w:val="center"/>
          </w:tcPr>
          <w:p>
            <w:pPr>
              <w:spacing w:line="360" w:lineRule="exact"/>
              <w:rPr>
                <w:rFonts w:ascii="宋体" w:hAnsi="宋体"/>
              </w:rPr>
            </w:pPr>
            <w:r>
              <w:rPr>
                <w:rFonts w:hint="eastAsia" w:ascii="宋体" w:hAnsi="宋体"/>
              </w:rPr>
              <w:t>本项目实行网上投标，投标人必须在招标文件规定的投标截止时间前登录“深圳政府采购智慧平台用户网上办事子系统”，使用“【我的项目】→【项目流程】→【递交投标(应答)文件】</w:t>
            </w:r>
            <w:r>
              <w:rPr>
                <w:rFonts w:ascii="宋体" w:hAnsi="宋体"/>
              </w:rPr>
              <w:t>”功能</w:t>
            </w:r>
            <w:r>
              <w:rPr>
                <w:rFonts w:hint="eastAsia" w:ascii="宋体" w:hAnsi="宋体"/>
              </w:rPr>
              <w:t>点，</w:t>
            </w:r>
            <w:r>
              <w:rPr>
                <w:rFonts w:ascii="宋体" w:hAnsi="宋体"/>
              </w:rPr>
              <w:t>将编制好的电子投标文件上传，投标文件大小不得超过</w:t>
            </w:r>
            <w:r>
              <w:rPr>
                <w:rFonts w:hint="eastAsia" w:ascii="宋体" w:hAnsi="宋体"/>
              </w:rPr>
              <w:t>20</w:t>
            </w:r>
            <w:r>
              <w:rPr>
                <w:rFonts w:ascii="宋体" w:hAnsi="宋体"/>
              </w:rPr>
              <w:t>0MB</w:t>
            </w:r>
            <w:r>
              <w:rPr>
                <w:rFonts w:hint="eastAsia" w:ascii="宋体" w:hAnsi="宋体" w:cs="宋体"/>
                <w:szCs w:val="21"/>
              </w:rPr>
              <w:t>，单个节点文件不能超过</w:t>
            </w:r>
            <w:r>
              <w:rPr>
                <w:rFonts w:ascii="宋体" w:hAnsi="宋体" w:cs="宋体"/>
                <w:szCs w:val="21"/>
              </w:rPr>
              <w:t>50M</w:t>
            </w:r>
            <w:r>
              <w:rPr>
                <w:rFonts w:hint="eastAsia" w:ascii="宋体" w:hAnsi="宋体" w:cs="宋体"/>
                <w:szCs w:val="21"/>
              </w:rPr>
              <w:t>B</w:t>
            </w:r>
            <w:r>
              <w:rPr>
                <w:rFonts w:hint="eastAsia" w:ascii="宋体" w:hAnsi="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61" w:hRule="atLeast"/>
          <w:jc w:val="center"/>
        </w:trPr>
        <w:tc>
          <w:tcPr>
            <w:tcW w:w="807" w:type="dxa"/>
            <w:vAlign w:val="center"/>
          </w:tcPr>
          <w:p>
            <w:pPr>
              <w:jc w:val="center"/>
              <w:rPr>
                <w:rFonts w:ascii="宋体" w:hAnsi="宋体"/>
              </w:rPr>
            </w:pPr>
            <w:r>
              <w:rPr>
                <w:rFonts w:hint="eastAsia" w:ascii="宋体" w:hAnsi="宋体"/>
              </w:rPr>
              <w:t>5</w:t>
            </w:r>
          </w:p>
        </w:tc>
        <w:tc>
          <w:tcPr>
            <w:tcW w:w="2160" w:type="dxa"/>
            <w:vAlign w:val="center"/>
          </w:tcPr>
          <w:p>
            <w:pPr>
              <w:jc w:val="center"/>
              <w:rPr>
                <w:rFonts w:ascii="宋体" w:hAnsi="宋体"/>
              </w:rPr>
            </w:pPr>
            <w:r>
              <w:rPr>
                <w:rFonts w:hint="eastAsia" w:ascii="宋体" w:hAnsi="宋体"/>
              </w:rPr>
              <w:t>中标服务费</w:t>
            </w:r>
          </w:p>
        </w:tc>
        <w:tc>
          <w:tcPr>
            <w:tcW w:w="5400"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spacing w:line="360" w:lineRule="exact"/>
              <w:rPr>
                <w:rFonts w:asciiTheme="minorEastAsia" w:hAnsiTheme="minorEastAsia" w:eastAsiaTheme="minorEastAsia"/>
                <w:szCs w:val="20"/>
              </w:rPr>
            </w:pPr>
            <w:r>
              <w:rPr>
                <w:rFonts w:hint="eastAsia" w:ascii="宋体" w:hAnsi="宋体" w:eastAsia="MS Mincho" w:cs="MS Mincho"/>
                <w:sz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szCs w:val="20"/>
              </w:rPr>
              <w:t>，费用下浮</w:t>
            </w:r>
            <w:r>
              <w:rPr>
                <w:rFonts w:hint="eastAsia" w:asciiTheme="minorEastAsia" w:hAnsiTheme="minorEastAsia" w:eastAsiaTheme="minorEastAsia"/>
                <w:szCs w:val="20"/>
                <w:u w:val="single"/>
              </w:rPr>
              <w:t xml:space="preserve">  0  </w:t>
            </w:r>
            <w:r>
              <w:rPr>
                <w:rFonts w:hint="eastAsia" w:asciiTheme="minorEastAsia" w:hAnsiTheme="minorEastAsia" w:eastAsiaTheme="minorEastAsia"/>
                <w:szCs w:val="20"/>
              </w:rPr>
              <w:t>%，最低收取人民币7000元。</w:t>
            </w:r>
          </w:p>
          <w:p>
            <w:pPr>
              <w:spacing w:line="360" w:lineRule="exact"/>
              <w:rPr>
                <w:rFonts w:ascii="宋体"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19" w:hRule="atLeast"/>
          <w:jc w:val="center"/>
        </w:trPr>
        <w:tc>
          <w:tcPr>
            <w:tcW w:w="807" w:type="dxa"/>
            <w:vAlign w:val="center"/>
          </w:tcPr>
          <w:p>
            <w:pPr>
              <w:jc w:val="center"/>
              <w:rPr>
                <w:rFonts w:ascii="宋体" w:hAnsi="宋体"/>
              </w:rPr>
            </w:pPr>
            <w:r>
              <w:rPr>
                <w:rFonts w:hint="eastAsia" w:ascii="宋体" w:hAnsi="宋体"/>
              </w:rPr>
              <w:t>6</w:t>
            </w:r>
          </w:p>
        </w:tc>
        <w:tc>
          <w:tcPr>
            <w:tcW w:w="2160" w:type="dxa"/>
            <w:vAlign w:val="center"/>
          </w:tcPr>
          <w:p>
            <w:pPr>
              <w:jc w:val="center"/>
              <w:rPr>
                <w:rFonts w:ascii="宋体" w:hAnsi="宋体"/>
              </w:rPr>
            </w:pPr>
            <w:r>
              <w:rPr>
                <w:rFonts w:hint="eastAsia" w:ascii="宋体" w:hAnsi="宋体"/>
              </w:rPr>
              <w:t>履约保证金</w:t>
            </w:r>
          </w:p>
        </w:tc>
        <w:tc>
          <w:tcPr>
            <w:tcW w:w="5400" w:type="dxa"/>
            <w:vAlign w:val="center"/>
          </w:tcPr>
          <w:p>
            <w:pPr>
              <w:spacing w:line="360" w:lineRule="exact"/>
              <w:rPr>
                <w:rFonts w:ascii="宋体" w:hAnsi="宋体"/>
              </w:rPr>
            </w:pPr>
            <w:r>
              <w:rPr>
                <w:rFonts w:hint="eastAsia" w:ascii="宋体" w:hAnsi="宋体" w:eastAsia="MS Mincho" w:cs="MS Mincho"/>
                <w:sz w:val="24"/>
              </w:rPr>
              <w:t>☑</w:t>
            </w:r>
            <w:r>
              <w:rPr>
                <w:rFonts w:hint="eastAsia" w:ascii="宋体" w:hAnsi="宋体"/>
              </w:rPr>
              <w:t>本项目不收取履约保证金。</w:t>
            </w:r>
          </w:p>
          <w:p>
            <w:pPr>
              <w:spacing w:line="360" w:lineRule="exact"/>
              <w:rPr>
                <w:rFonts w:ascii="宋体" w:hAnsi="宋体"/>
              </w:rPr>
            </w:pPr>
            <w:r>
              <w:rPr>
                <w:rFonts w:hint="eastAsia" w:hAnsi="宋体"/>
              </w:rPr>
              <w:t>□</w:t>
            </w:r>
            <w:r>
              <w:rPr>
                <w:rFonts w:hint="eastAsia" w:ascii="宋体" w:hAnsi="宋体"/>
              </w:rPr>
              <w:t>本项目收取履约保证金数额为合同金额的</w:t>
            </w:r>
            <w:r>
              <w:rPr>
                <w:rFonts w:hint="eastAsia" w:ascii="宋体" w:hAnsi="宋体"/>
                <w:u w:val="single"/>
              </w:rPr>
              <w:t xml:space="preserve">  </w:t>
            </w:r>
            <w:r>
              <w:rPr>
                <w:rFonts w:hint="eastAsia" w:ascii="宋体" w:hAnsi="宋体"/>
              </w:rPr>
              <w:t>%（不超过10%）。</w:t>
            </w:r>
          </w:p>
          <w:p>
            <w:pPr>
              <w:spacing w:line="360" w:lineRule="exact"/>
              <w:rPr>
                <w:rFonts w:ascii="宋体" w:hAnsi="宋体"/>
              </w:rPr>
            </w:pPr>
            <w:r>
              <w:rPr>
                <w:rFonts w:hint="eastAsia" w:ascii="宋体" w:hAnsi="宋体"/>
              </w:rPr>
              <w:t>根据《深圳市财政局关于进一步优化政府采购营商环境的通知》（深财购〔2021〕31号），政府采购原则上不收取履约保证金；确需收取履约保证金的，应当允许供应商自主选择以支票、汇票、本票、保函等非现金形式缴纳或提交。收取履约保证金的，应当在采购文件中明确履约保证金退还的方式、时间、条件和不予退还的情形，并明确逾期退还履约保证金的违约责任。</w:t>
            </w:r>
          </w:p>
          <w:p>
            <w:pPr>
              <w:spacing w:line="360" w:lineRule="exact"/>
            </w:pPr>
            <w:r>
              <w:rPr>
                <w:rFonts w:hint="eastAsia" w:ascii="宋体" w:hAnsi="宋体"/>
              </w:rPr>
              <w:t>如中标供应商为</w:t>
            </w:r>
            <w:r>
              <w:rPr>
                <w:rFonts w:hint="eastAsia" w:ascii="宋体" w:cs="宋体" w:hAnsiTheme="minorHAnsi"/>
                <w:kern w:val="0"/>
                <w:szCs w:val="21"/>
              </w:rPr>
              <w:t>中小微企业，则收取的履约保证金的数额不得超过政府采购合同金额的</w:t>
            </w:r>
            <w:r>
              <w:rPr>
                <w:rFonts w:ascii="宋体" w:cs="宋体" w:hAnsiTheme="minorHAnsi"/>
                <w:kern w:val="0"/>
                <w:szCs w:val="21"/>
              </w:rPr>
              <w:t>5%</w:t>
            </w:r>
            <w:r>
              <w:rPr>
                <w:rFonts w:hint="eastAsia" w:ascii="宋体" w:cs="宋体" w:hAnsiTheme="minorHAnsi"/>
                <w:kern w:val="0"/>
                <w:szCs w:val="21"/>
              </w:rPr>
              <w:t>。</w:t>
            </w:r>
          </w:p>
        </w:tc>
      </w:tr>
    </w:tbl>
    <w:p>
      <w:pPr>
        <w:spacing w:beforeLines="50"/>
        <w:rPr>
          <w:b/>
        </w:rPr>
      </w:pPr>
      <w:r>
        <w:rPr>
          <w:rFonts w:hint="eastAsia"/>
          <w:szCs w:val="21"/>
        </w:rPr>
        <w:t>备注：本表为通用条款相关内容的补充和明确，如与通用条款相冲突的以本表为准。</w:t>
      </w:r>
    </w:p>
    <w:p>
      <w:pPr>
        <w:rPr>
          <w:b/>
        </w:rPr>
      </w:pPr>
    </w:p>
    <w:p>
      <w:pPr>
        <w:pStyle w:val="5"/>
        <w:spacing w:beforeLines="50" w:afterLines="50"/>
        <w:rPr>
          <w:sz w:val="28"/>
          <w:szCs w:val="28"/>
        </w:rPr>
      </w:pPr>
      <w:r>
        <w:rPr>
          <w:rFonts w:hint="eastAsia"/>
          <w:sz w:val="28"/>
          <w:szCs w:val="28"/>
        </w:rPr>
        <w:t>二、货物清单</w:t>
      </w:r>
    </w:p>
    <w:p>
      <w:pPr>
        <w:rPr>
          <w:rFonts w:ascii="宋体" w:hAnsi="宋体"/>
          <w:b/>
          <w:szCs w:val="21"/>
        </w:rPr>
      </w:pPr>
      <w:r>
        <w:rPr>
          <w:rFonts w:hint="eastAsia" w:ascii="宋体" w:hAnsi="宋体"/>
          <w:b/>
          <w:szCs w:val="21"/>
        </w:rPr>
        <w:t>（一）货物总清单</w:t>
      </w:r>
    </w:p>
    <w:tbl>
      <w:tblPr>
        <w:tblStyle w:val="42"/>
        <w:tblpPr w:leftFromText="180" w:rightFromText="180" w:vertAnchor="text" w:horzAnchor="margin" w:tblpXSpec="center" w:tblpY="173"/>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96"/>
        <w:gridCol w:w="850"/>
        <w:gridCol w:w="851"/>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17"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序号</w:t>
            </w:r>
          </w:p>
        </w:tc>
        <w:tc>
          <w:tcPr>
            <w:tcW w:w="3896"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项目名称</w:t>
            </w:r>
          </w:p>
        </w:tc>
        <w:tc>
          <w:tcPr>
            <w:tcW w:w="850"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数量</w:t>
            </w:r>
          </w:p>
        </w:tc>
        <w:tc>
          <w:tcPr>
            <w:tcW w:w="851"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单位</w:t>
            </w:r>
          </w:p>
        </w:tc>
        <w:tc>
          <w:tcPr>
            <w:tcW w:w="1134"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备注</w:t>
            </w:r>
          </w:p>
        </w:tc>
        <w:tc>
          <w:tcPr>
            <w:tcW w:w="1701"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采购预算金额（</w:t>
            </w:r>
            <w:r>
              <w:rPr>
                <w:rFonts w:hint="eastAsia" w:ascii="宋体" w:hAnsi="宋体" w:cs="宋体"/>
                <w:b/>
                <w:szCs w:val="21"/>
              </w:rPr>
              <w:t>人民币</w:t>
            </w:r>
            <w:r>
              <w:rPr>
                <w:rFonts w:hint="eastAsia" w:asciiTheme="minorEastAsia" w:hAnsiTheme="minorEastAsia" w:eastAsiaTheme="minorEastAsia"/>
                <w:b/>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17"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3896" w:type="dxa"/>
            <w:vAlign w:val="center"/>
          </w:tcPr>
          <w:p>
            <w:pPr>
              <w:spacing w:line="360" w:lineRule="auto"/>
              <w:jc w:val="center"/>
              <w:rPr>
                <w:rFonts w:hint="eastAsia" w:asciiTheme="minorEastAsia" w:hAnsiTheme="minorEastAsia" w:eastAsiaTheme="minorEastAsia"/>
                <w:bCs/>
                <w:szCs w:val="21"/>
                <w:lang w:eastAsia="zh-CN"/>
              </w:rPr>
            </w:pPr>
            <w:r>
              <w:rPr>
                <w:rFonts w:hint="eastAsia" w:ascii="宋体" w:hAnsi="宋体" w:eastAsiaTheme="minorEastAsia"/>
                <w:szCs w:val="21"/>
                <w:lang w:eastAsia="zh-CN"/>
              </w:rPr>
              <w:t>更换2台50kW中波发射机及采购配件</w:t>
            </w:r>
          </w:p>
        </w:tc>
        <w:tc>
          <w:tcPr>
            <w:tcW w:w="850" w:type="dxa"/>
            <w:vAlign w:val="center"/>
          </w:tcPr>
          <w:p>
            <w:pPr>
              <w:spacing w:line="360" w:lineRule="auto"/>
              <w:jc w:val="center"/>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lang w:val="en-US" w:eastAsia="zh-CN"/>
              </w:rPr>
              <w:t>2</w:t>
            </w:r>
          </w:p>
        </w:tc>
        <w:tc>
          <w:tcPr>
            <w:tcW w:w="851" w:type="dxa"/>
            <w:vAlign w:val="center"/>
          </w:tcPr>
          <w:p>
            <w:pPr>
              <w:spacing w:line="360" w:lineRule="auto"/>
              <w:jc w:val="center"/>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lang w:val="en-US" w:eastAsia="zh-CN"/>
              </w:rPr>
              <w:t>台</w:t>
            </w:r>
          </w:p>
        </w:tc>
        <w:tc>
          <w:tcPr>
            <w:tcW w:w="1134" w:type="dxa"/>
            <w:vAlign w:val="center"/>
          </w:tcPr>
          <w:p>
            <w:pPr>
              <w:spacing w:line="360" w:lineRule="auto"/>
              <w:jc w:val="center"/>
              <w:rPr>
                <w:rFonts w:asciiTheme="minorEastAsia" w:hAnsiTheme="minorEastAsia" w:eastAsiaTheme="minorEastAsia"/>
                <w:b/>
                <w:bCs/>
                <w:szCs w:val="21"/>
              </w:rPr>
            </w:pPr>
            <w:r>
              <w:rPr>
                <w:rFonts w:hint="eastAsia" w:ascii="宋体" w:hAnsi="宋体"/>
                <w:szCs w:val="21"/>
              </w:rPr>
              <w:t>拒绝进口</w:t>
            </w:r>
          </w:p>
        </w:tc>
        <w:tc>
          <w:tcPr>
            <w:tcW w:w="1701"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lang w:val="en-US" w:eastAsia="zh-CN"/>
              </w:rPr>
              <w:t>1,080,000.00</w:t>
            </w:r>
          </w:p>
        </w:tc>
      </w:tr>
    </w:tbl>
    <w:p>
      <w:pPr>
        <w:spacing w:line="360" w:lineRule="auto"/>
        <w:rPr>
          <w:rFonts w:ascii="宋体" w:hAnsi="宋体"/>
          <w:b/>
          <w:szCs w:val="21"/>
        </w:rPr>
      </w:pPr>
      <w:r>
        <w:rPr>
          <w:rFonts w:hint="eastAsia" w:ascii="宋体" w:hAnsi="宋体"/>
          <w:b/>
          <w:szCs w:val="21"/>
        </w:rPr>
        <w:t>（二）货物清单明细</w:t>
      </w:r>
    </w:p>
    <w:tbl>
      <w:tblPr>
        <w:tblStyle w:val="42"/>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410"/>
        <w:gridCol w:w="943"/>
        <w:gridCol w:w="1110"/>
        <w:gridCol w:w="163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71"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3410" w:type="dxa"/>
            <w:vAlign w:val="center"/>
          </w:tcPr>
          <w:p>
            <w:pPr>
              <w:spacing w:line="360" w:lineRule="auto"/>
              <w:jc w:val="center"/>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标的名称</w:t>
            </w:r>
          </w:p>
        </w:tc>
        <w:tc>
          <w:tcPr>
            <w:tcW w:w="943"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数量</w:t>
            </w:r>
          </w:p>
        </w:tc>
        <w:tc>
          <w:tcPr>
            <w:tcW w:w="1110"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单位</w:t>
            </w:r>
          </w:p>
        </w:tc>
        <w:tc>
          <w:tcPr>
            <w:tcW w:w="163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预算金额</w:t>
            </w:r>
          </w:p>
          <w:p>
            <w:pPr>
              <w:spacing w:line="360" w:lineRule="auto"/>
              <w:jc w:val="center"/>
              <w:rPr>
                <w:rFonts w:asciiTheme="minorEastAsia" w:hAnsiTheme="minorEastAsia" w:eastAsiaTheme="minorEastAsia"/>
                <w:b/>
                <w:bCs/>
                <w:szCs w:val="21"/>
              </w:rPr>
            </w:pPr>
            <w:r>
              <w:rPr>
                <w:rFonts w:hint="eastAsia" w:ascii="宋体" w:hAnsi="宋体" w:cs="宋体"/>
                <w:b/>
                <w:szCs w:val="21"/>
              </w:rPr>
              <w:t>（人民币元）</w:t>
            </w:r>
          </w:p>
        </w:tc>
        <w:tc>
          <w:tcPr>
            <w:tcW w:w="1276"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71"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3410"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50kW中波发射机</w:t>
            </w:r>
          </w:p>
        </w:tc>
        <w:tc>
          <w:tcPr>
            <w:tcW w:w="943"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rPr>
                <w:rFonts w:hint="eastAsia" w:asciiTheme="minorEastAsia" w:hAnsiTheme="minorEastAsia" w:eastAsiaTheme="minorEastAsia"/>
                <w:bCs/>
                <w:szCs w:val="21"/>
                <w:lang w:val="en-US" w:eastAsia="zh-CN"/>
              </w:rPr>
              <w:t>2</w:t>
            </w:r>
          </w:p>
        </w:tc>
        <w:tc>
          <w:tcPr>
            <w:tcW w:w="1110"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rPr>
                <w:rFonts w:hint="eastAsia" w:asciiTheme="minorEastAsia" w:hAnsiTheme="minorEastAsia" w:eastAsiaTheme="minorEastAsia"/>
                <w:bCs/>
                <w:szCs w:val="21"/>
                <w:lang w:val="en-US" w:eastAsia="zh-CN"/>
              </w:rPr>
              <w:t>台</w:t>
            </w:r>
          </w:p>
        </w:tc>
        <w:tc>
          <w:tcPr>
            <w:tcW w:w="1633" w:type="dxa"/>
            <w:vAlign w:val="center"/>
          </w:tcPr>
          <w:p>
            <w:pPr>
              <w:spacing w:line="360" w:lineRule="auto"/>
              <w:jc w:val="cente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1,080,000.00</w:t>
            </w:r>
          </w:p>
        </w:tc>
        <w:tc>
          <w:tcPr>
            <w:tcW w:w="1276" w:type="dxa"/>
            <w:vAlign w:val="center"/>
          </w:tcPr>
          <w:p>
            <w:pPr>
              <w:spacing w:line="360" w:lineRule="auto"/>
              <w:jc w:val="center"/>
              <w:rPr>
                <w:rFonts w:asciiTheme="minorEastAsia" w:hAnsiTheme="minorEastAsia" w:eastAsiaTheme="minorEastAsia"/>
                <w:bCs/>
                <w:szCs w:val="21"/>
              </w:rPr>
            </w:pPr>
            <w:r>
              <w:rPr>
                <w:rFonts w:hint="eastAsia" w:ascii="宋体" w:hAnsi="宋体"/>
                <w:szCs w:val="21"/>
              </w:rPr>
              <w:t>拒绝进口</w:t>
            </w:r>
          </w:p>
        </w:tc>
      </w:tr>
    </w:tbl>
    <w:p>
      <w:pPr>
        <w:spacing w:line="360" w:lineRule="auto"/>
        <w:rPr>
          <w:rFonts w:ascii="宋体" w:hAnsi="宋体"/>
          <w:szCs w:val="21"/>
        </w:rPr>
      </w:pPr>
      <w:r>
        <w:rPr>
          <w:rFonts w:hint="eastAsia" w:ascii="宋体" w:hAnsi="宋体"/>
          <w:szCs w:val="21"/>
        </w:rPr>
        <w:t>备注：</w:t>
      </w:r>
      <w:r>
        <w:rPr>
          <w:rFonts w:ascii="宋体" w:hAnsi="宋体"/>
          <w:szCs w:val="21"/>
        </w:rPr>
        <w:t xml:space="preserve"> </w:t>
      </w:r>
    </w:p>
    <w:p>
      <w:pPr>
        <w:spacing w:line="360" w:lineRule="auto"/>
        <w:rPr>
          <w:rFonts w:ascii="宋体" w:hAnsi="宋体"/>
          <w:szCs w:val="21"/>
        </w:rPr>
      </w:pPr>
      <w:r>
        <w:rPr>
          <w:rFonts w:hint="eastAsia" w:ascii="宋体" w:hAnsi="宋体"/>
          <w:szCs w:val="21"/>
          <w:highlight w:val="yellow"/>
        </w:rPr>
        <w:t>1、如同时有两家或两家以上（均为制造商的合法代理商）通过资格审查及符合性审查的合格投标人</w:t>
      </w:r>
      <w:r>
        <w:rPr>
          <w:rFonts w:hint="eastAsia" w:ascii="宋体" w:hAnsi="宋体"/>
          <w:b/>
          <w:szCs w:val="21"/>
          <w:highlight w:val="yellow"/>
        </w:rPr>
        <w:t>所投产品为相同品牌的，按一家投标人计算</w:t>
      </w:r>
      <w:r>
        <w:rPr>
          <w:rFonts w:hint="eastAsia" w:ascii="宋体" w:hAnsi="宋体"/>
          <w:szCs w:val="21"/>
          <w:highlight w:val="yellow"/>
        </w:rPr>
        <w:t>。在此种情况下，评审后得分最高的投标人获得中标人推荐资格；评审得分相同的由报价相对最低的获得中标人推荐资格；评审得分及报价均相同的由技术评分相对最高的获得中标人推荐资格；以上均相同的由评标委员会采取随机抽取方式确定，其他同品牌投标人不作为中标候选人。</w:t>
      </w:r>
      <w:r>
        <w:rPr>
          <w:rFonts w:hint="eastAsia" w:ascii="宋体" w:hAnsi="宋体"/>
          <w:b/>
          <w:szCs w:val="21"/>
          <w:highlight w:val="yellow"/>
        </w:rPr>
        <w:t>货物清单中任意一项产品的投标报价超过其预算金额或最高限价的，将导致投标无效。</w:t>
      </w:r>
    </w:p>
    <w:p>
      <w:pPr>
        <w:spacing w:line="360" w:lineRule="auto"/>
        <w:rPr>
          <w:rFonts w:ascii="宋体" w:hAnsi="宋体"/>
          <w:szCs w:val="21"/>
        </w:rPr>
      </w:pPr>
      <w:r>
        <w:rPr>
          <w:rFonts w:hint="eastAsia" w:ascii="宋体" w:hAnsi="宋体"/>
          <w:szCs w:val="21"/>
        </w:rPr>
        <w:t xml:space="preserve">2、备注栏注明“拒绝进口”的产品不接受投标人选用进口产品参与投标；注明“接受进口”的产品允许投标人选用进口产品参与投标，但不排斥国内产品。 </w:t>
      </w:r>
    </w:p>
    <w:p>
      <w:pPr>
        <w:spacing w:line="360" w:lineRule="auto"/>
        <w:rPr>
          <w:rFonts w:ascii="宋体" w:hAnsi="宋体"/>
          <w:szCs w:val="21"/>
        </w:rPr>
      </w:pPr>
      <w:r>
        <w:rPr>
          <w:rFonts w:hint="eastAsia" w:ascii="宋体" w:hAnsi="宋体"/>
          <w:szCs w:val="21"/>
        </w:rPr>
        <w:t>3、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spacing w:line="360" w:lineRule="auto"/>
        <w:rPr>
          <w:rFonts w:ascii="宋体" w:hAnsi="宋体"/>
          <w:szCs w:val="21"/>
        </w:rPr>
      </w:pPr>
      <w:r>
        <w:rPr>
          <w:rFonts w:hint="eastAsia" w:ascii="宋体" w:hAnsi="宋体"/>
          <w:szCs w:val="21"/>
        </w:rPr>
        <w:t>4、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spacing w:line="360" w:lineRule="auto"/>
        <w:rPr>
          <w:rFonts w:ascii="宋体" w:hAnsi="宋体"/>
          <w:szCs w:val="21"/>
        </w:rPr>
      </w:pPr>
      <w:r>
        <w:rPr>
          <w:rFonts w:hint="eastAsia" w:ascii="宋体" w:hAnsi="宋体"/>
          <w:szCs w:val="21"/>
        </w:rPr>
        <w:t>5、本项目需求中出现的工艺、材料、设备或参照的品牌等仅为方便描述而没有限制性，投标人可以在其提供的文件资料中选用替代标准，但这些替代标准要优于或相当于项目需求中要求的标准。</w:t>
      </w:r>
    </w:p>
    <w:p>
      <w:pPr>
        <w:spacing w:line="360" w:lineRule="auto"/>
        <w:rPr>
          <w:rFonts w:ascii="宋体" w:hAnsi="宋体"/>
          <w:szCs w:val="21"/>
        </w:rPr>
      </w:pPr>
      <w:r>
        <w:rPr>
          <w:rFonts w:hint="eastAsia" w:ascii="宋体" w:hAnsi="宋体"/>
          <w:szCs w:val="21"/>
        </w:rPr>
        <w:t>6、如要求提供证明材料，投标文件需提供相应证明材料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360" w:lineRule="auto"/>
        <w:rPr>
          <w:rFonts w:ascii="宋体" w:hAnsi="宋体"/>
          <w:szCs w:val="21"/>
        </w:rPr>
      </w:pPr>
      <w:r>
        <w:rPr>
          <w:rFonts w:hint="eastAsia" w:ascii="宋体" w:hAnsi="宋体"/>
          <w:szCs w:val="21"/>
        </w:rPr>
        <w:t>7、投标人提供证书或检测报告等证明材料的，颁发证书、出具报告的机构须是合法设立的机构，且具有颁发相应证书或者出具相应报告的资质。</w:t>
      </w:r>
    </w:p>
    <w:p>
      <w:pPr>
        <w:spacing w:line="360" w:lineRule="auto"/>
        <w:rPr>
          <w:rFonts w:ascii="宋体" w:hAnsi="宋体"/>
          <w:szCs w:val="21"/>
        </w:rPr>
      </w:pPr>
      <w:r>
        <w:rPr>
          <w:rFonts w:hint="eastAsia" w:ascii="宋体" w:hAnsi="宋体"/>
          <w:szCs w:val="21"/>
        </w:rPr>
        <w:t>8、技术参数设置为区间要求的（例如：潮气量：0-2000ML），投标产品参数区间与招标要求不完全一致的均视为负偏离。</w:t>
      </w:r>
    </w:p>
    <w:p>
      <w:pPr>
        <w:spacing w:line="360" w:lineRule="auto"/>
        <w:rPr>
          <w:rFonts w:ascii="宋体" w:hAnsi="宋体"/>
          <w:szCs w:val="21"/>
        </w:rPr>
      </w:pPr>
      <w:r>
        <w:rPr>
          <w:rFonts w:hint="eastAsia" w:ascii="宋体" w:hAnsi="宋体"/>
          <w:szCs w:val="21"/>
        </w:rPr>
        <w:t>9、对于定制类产品，投标人需在投标文件“分项报价表”中明确注明“定制”，否则该产品技术参数按负偏离处理。</w:t>
      </w:r>
    </w:p>
    <w:p>
      <w:pPr>
        <w:spacing w:line="360" w:lineRule="auto"/>
        <w:rPr>
          <w:rFonts w:ascii="宋体" w:hAnsi="宋体"/>
          <w:szCs w:val="21"/>
        </w:rPr>
      </w:pPr>
      <w:r>
        <w:rPr>
          <w:rFonts w:hint="eastAsia" w:ascii="宋体" w:hAnsi="宋体"/>
          <w:szCs w:val="21"/>
        </w:rPr>
        <w:t>10、加注▲的条款为重要条款要求，如不满足将按评标信息进行扣分。</w:t>
      </w:r>
    </w:p>
    <w:p>
      <w:pPr>
        <w:spacing w:line="360" w:lineRule="auto"/>
        <w:rPr>
          <w:rFonts w:ascii="宋体" w:hAnsi="宋体"/>
          <w:szCs w:val="21"/>
        </w:rPr>
      </w:pPr>
      <w:r>
        <w:rPr>
          <w:rFonts w:hint="eastAsia" w:ascii="宋体" w:hAnsi="宋体"/>
          <w:szCs w:val="21"/>
          <w:highlight w:val="yellow"/>
        </w:rPr>
        <w:t>11、加注★的条款为不可负偏离条款，任一项未响应或不满足要求的，将导致投标无效。</w:t>
      </w:r>
    </w:p>
    <w:p>
      <w:pPr>
        <w:pStyle w:val="18"/>
      </w:pPr>
    </w:p>
    <w:p>
      <w:pPr>
        <w:rPr>
          <w:rFonts w:ascii="宋体" w:hAnsi="宋体"/>
          <w:b/>
          <w:szCs w:val="21"/>
        </w:rPr>
      </w:pPr>
    </w:p>
    <w:p>
      <w:pPr>
        <w:pStyle w:val="5"/>
        <w:spacing w:beforeLines="50" w:afterLines="50"/>
      </w:pPr>
      <w:bookmarkStart w:id="27" w:name="_Toc128884461"/>
      <w:r>
        <w:rPr>
          <w:rFonts w:hint="eastAsia"/>
          <w:sz w:val="28"/>
          <w:szCs w:val="28"/>
        </w:rPr>
        <w:t>三、实质性条款</w:t>
      </w:r>
    </w:p>
    <w:tbl>
      <w:tblPr>
        <w:tblStyle w:val="42"/>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widowControl/>
              <w:spacing w:line="360" w:lineRule="auto"/>
              <w:jc w:val="center"/>
              <w:rPr>
                <w:szCs w:val="21"/>
              </w:rPr>
            </w:pPr>
            <w:r>
              <w:rPr>
                <w:rFonts w:hint="eastAsia"/>
                <w:szCs w:val="21"/>
              </w:rPr>
              <w:t>序号</w:t>
            </w:r>
          </w:p>
        </w:tc>
        <w:tc>
          <w:tcPr>
            <w:tcW w:w="7598" w:type="dxa"/>
          </w:tcPr>
          <w:p>
            <w:pPr>
              <w:widowControl/>
              <w:spacing w:line="360" w:lineRule="auto"/>
              <w:jc w:val="center"/>
              <w:rPr>
                <w:szCs w:val="21"/>
              </w:rPr>
            </w:pPr>
            <w:r>
              <w:rPr>
                <w:rFonts w:hint="eastAsia"/>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7598" w:type="dxa"/>
            <w:vAlign w:val="center"/>
          </w:tcPr>
          <w:p>
            <w:pPr>
              <w:spacing w:line="360" w:lineRule="auto"/>
              <w:rPr>
                <w:rFonts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bCs/>
                <w:szCs w:val="21"/>
                <w:highlight w:val="yellow"/>
              </w:rPr>
              <w:t>本次投标货物属于工业产品生产许可证范围内，投标人须提供合法有效的«工业产品生产许可证»,同时出具投标货物相应的中华人民共和国工业和信息化部颁发的《无线电发射设备型号核准证》和国家广播电视总局颁发的《广播电视设备器材入网认定证书》；提供</w:t>
            </w:r>
            <w:r>
              <w:rPr>
                <w:rFonts w:hint="eastAsia" w:cs="宋体" w:asciiTheme="minorEastAsia" w:hAnsiTheme="minorEastAsia" w:eastAsiaTheme="minorEastAsia"/>
                <w:b/>
                <w:bCs/>
                <w:szCs w:val="21"/>
                <w:highlight w:val="yellow"/>
                <w:lang w:val="en-US" w:eastAsia="zh-CN"/>
              </w:rPr>
              <w:t>证书扫描件</w:t>
            </w:r>
            <w:r>
              <w:rPr>
                <w:rFonts w:hint="eastAsia" w:cs="宋体" w:asciiTheme="minorEastAsia" w:hAnsiTheme="minorEastAsia" w:eastAsiaTheme="minorEastAsia"/>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val="en-US" w:eastAsia="zh-CN"/>
              </w:rPr>
              <w:t>2</w:t>
            </w:r>
          </w:p>
        </w:tc>
        <w:tc>
          <w:tcPr>
            <w:tcW w:w="7598" w:type="dxa"/>
            <w:vAlign w:val="center"/>
          </w:tcPr>
          <w:p>
            <w:pPr>
              <w:spacing w:line="360" w:lineRule="auto"/>
              <w:rPr>
                <w:rFonts w:asciiTheme="minorEastAsia" w:hAnsiTheme="minorEastAsia" w:eastAsiaTheme="minorEastAsia"/>
                <w:b w:val="0"/>
                <w:bCs w:val="0"/>
                <w:color w:val="auto"/>
                <w:szCs w:val="21"/>
                <w:highlight w:val="none"/>
              </w:rPr>
            </w:pPr>
            <w:r>
              <w:rPr>
                <w:rFonts w:hint="eastAsia" w:ascii="宋体" w:hAnsi="宋体" w:cs="宋体"/>
                <w:b/>
                <w:bCs/>
                <w:szCs w:val="21"/>
                <w:highlight w:val="yellow"/>
              </w:rPr>
              <w:t>交货期：</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lang w:val="en-US" w:eastAsia="zh-CN"/>
              </w:rPr>
              <w:t xml:space="preserve"> </w:t>
            </w:r>
            <w:r>
              <w:rPr>
                <w:rFonts w:hint="eastAsia" w:asciiTheme="minorEastAsia" w:hAnsiTheme="minorEastAsia" w:eastAsiaTheme="minorEastAsia"/>
                <w:b/>
                <w:bCs/>
                <w:kern w:val="0"/>
                <w:szCs w:val="21"/>
                <w:highlight w:val="yellow"/>
                <w:u w:val="single"/>
                <w:lang w:val="en-US" w:eastAsia="zh-CN"/>
              </w:rPr>
              <w:t xml:space="preserve">   60  </w:t>
            </w:r>
            <w:r>
              <w:rPr>
                <w:rFonts w:hint="eastAsia" w:asciiTheme="minorEastAsia" w:hAnsiTheme="minorEastAsia" w:eastAsiaTheme="minorEastAsia"/>
                <w:b/>
                <w:bCs/>
                <w:kern w:val="0"/>
                <w:szCs w:val="21"/>
                <w:highlight w:val="yellow"/>
              </w:rPr>
              <w:t>天（日历日）内交货。指合同生效后，中标方将全部货物运抵采购人指定地点并安装调试完成，经验收合格，正式交付采购人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center"/>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3</w:t>
            </w:r>
          </w:p>
        </w:tc>
        <w:tc>
          <w:tcPr>
            <w:tcW w:w="7598"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Cs w:val="21"/>
                <w:highlight w:val="yellow"/>
                <w:lang w:eastAsia="zh-CN"/>
              </w:rPr>
            </w:pPr>
            <w:r>
              <w:rPr>
                <w:rFonts w:hint="eastAsia" w:ascii="宋体" w:hAnsi="宋体" w:cs="宋体"/>
                <w:b/>
                <w:bCs/>
                <w:szCs w:val="21"/>
                <w:highlight w:val="yellow"/>
                <w:lang w:eastAsia="zh-CN"/>
              </w:rPr>
              <w:t>维修及维护服务：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Cs w:val="21"/>
                <w:highlight w:val="yellow"/>
                <w:lang w:eastAsia="zh-CN"/>
              </w:rPr>
            </w:pPr>
            <w:r>
              <w:rPr>
                <w:rFonts w:hint="eastAsia" w:ascii="宋体" w:hAnsi="宋体" w:cs="宋体"/>
                <w:b/>
                <w:bCs/>
                <w:szCs w:val="21"/>
                <w:highlight w:val="yellow"/>
                <w:lang w:val="en-US" w:eastAsia="zh-CN"/>
              </w:rPr>
              <w:t>1、</w:t>
            </w:r>
            <w:r>
              <w:rPr>
                <w:rFonts w:hint="eastAsia" w:ascii="宋体" w:hAnsi="宋体" w:cs="宋体"/>
                <w:b/>
                <w:bCs/>
                <w:szCs w:val="21"/>
                <w:highlight w:val="yellow"/>
                <w:lang w:eastAsia="zh-CN"/>
              </w:rPr>
              <w:t>整个项目所有设备免费保修不少于</w:t>
            </w:r>
            <w:r>
              <w:rPr>
                <w:rFonts w:hint="eastAsia" w:ascii="宋体" w:hAnsi="宋体" w:cs="宋体"/>
                <w:b/>
                <w:bCs/>
                <w:szCs w:val="21"/>
                <w:highlight w:val="yellow"/>
                <w:lang w:val="en-US" w:eastAsia="zh-CN"/>
              </w:rPr>
              <w:t>__2__</w:t>
            </w:r>
            <w:r>
              <w:rPr>
                <w:rFonts w:hint="eastAsia" w:ascii="宋体" w:hAnsi="宋体" w:cs="宋体"/>
                <w:b/>
                <w:bCs/>
                <w:szCs w:val="21"/>
                <w:highlight w:val="yellow"/>
                <w:lang w:eastAsia="zh-CN"/>
              </w:rPr>
              <w:t>年，保修期内设备出现故障，由投标人现场免费进行维修，保修期内免费更换零配件、免工时费。</w:t>
            </w:r>
          </w:p>
          <w:p>
            <w:pPr>
              <w:spacing w:line="360" w:lineRule="auto"/>
              <w:rPr>
                <w:rFonts w:hint="eastAsia" w:ascii="宋体" w:hAnsi="宋体" w:cs="宋体"/>
                <w:b w:val="0"/>
                <w:bCs w:val="0"/>
                <w:color w:val="auto"/>
                <w:szCs w:val="21"/>
                <w:highlight w:val="none"/>
              </w:rPr>
            </w:pPr>
            <w:r>
              <w:rPr>
                <w:rFonts w:hint="eastAsia" w:ascii="宋体" w:hAnsi="宋体" w:cs="宋体"/>
                <w:b/>
                <w:bCs/>
                <w:szCs w:val="21"/>
                <w:highlight w:val="yellow"/>
                <w:lang w:val="en-US" w:eastAsia="zh-CN"/>
              </w:rPr>
              <w:t>2、</w:t>
            </w:r>
            <w:r>
              <w:rPr>
                <w:rFonts w:hint="eastAsia" w:ascii="宋体" w:hAnsi="宋体" w:cs="宋体"/>
                <w:b/>
                <w:bCs/>
                <w:szCs w:val="21"/>
                <w:highlight w:val="yellow"/>
                <w:lang w:eastAsia="zh-CN"/>
              </w:rPr>
              <w:t>由设备制造商提供售后服务，</w:t>
            </w:r>
            <w:r>
              <w:rPr>
                <w:rFonts w:hint="eastAsia" w:ascii="宋体" w:hAnsi="宋体" w:cs="宋体"/>
                <w:b/>
                <w:bCs/>
                <w:szCs w:val="21"/>
                <w:highlight w:val="yellow"/>
                <w:lang w:val="en-US" w:eastAsia="zh-CN"/>
              </w:rPr>
              <w:t>__2__</w:t>
            </w:r>
            <w:r>
              <w:rPr>
                <w:rFonts w:hint="eastAsia" w:ascii="宋体" w:hAnsi="宋体" w:cs="宋体"/>
                <w:b/>
                <w:bCs/>
                <w:szCs w:val="21"/>
                <w:highlight w:val="yellow"/>
                <w:lang w:eastAsia="zh-CN"/>
              </w:rPr>
              <w:t>小时内响应，</w:t>
            </w:r>
            <w:r>
              <w:rPr>
                <w:rFonts w:hint="eastAsia" w:ascii="宋体" w:hAnsi="宋体" w:cs="宋体"/>
                <w:b/>
                <w:bCs/>
                <w:szCs w:val="21"/>
                <w:highlight w:val="yellow"/>
                <w:lang w:val="en-US" w:eastAsia="zh-CN"/>
              </w:rPr>
              <w:t>__24__</w:t>
            </w:r>
            <w:r>
              <w:rPr>
                <w:rFonts w:hint="eastAsia" w:ascii="宋体" w:hAnsi="宋体" w:cs="宋体"/>
                <w:b/>
                <w:bCs/>
                <w:szCs w:val="21"/>
                <w:highlight w:val="yellow"/>
                <w:lang w:eastAsia="zh-CN"/>
              </w:rPr>
              <w:t>小时维修到位（不可抗力情况除外）。消耗品和零配件供应及时，特殊情况下可提供备用机。</w:t>
            </w:r>
          </w:p>
        </w:tc>
      </w:tr>
    </w:tbl>
    <w:p>
      <w:pPr>
        <w:adjustRightInd w:val="0"/>
        <w:snapToGrid w:val="0"/>
        <w:spacing w:line="360" w:lineRule="auto"/>
        <w:ind w:firstLine="482" w:firstLineChars="200"/>
      </w:pPr>
      <w:r>
        <w:rPr>
          <w:rFonts w:hint="eastAsia" w:ascii="黑体"/>
          <w:b/>
          <w:kern w:val="0"/>
          <w:sz w:val="24"/>
        </w:rPr>
        <w:t>注：上表所列内容为不可负偏离条款。</w:t>
      </w:r>
    </w:p>
    <w:bookmarkEnd w:id="27"/>
    <w:p>
      <w:pPr>
        <w:rPr>
          <w:b/>
          <w:szCs w:val="21"/>
        </w:rPr>
      </w:pPr>
    </w:p>
    <w:p>
      <w:pPr>
        <w:pStyle w:val="5"/>
        <w:spacing w:beforeLines="50" w:afterLines="50"/>
        <w:rPr>
          <w:rFonts w:hint="eastAsia" w:ascii="宋体" w:hAnsi="宋体"/>
          <w:b/>
          <w:bCs/>
          <w:snapToGrid w:val="0"/>
          <w:kern w:val="0"/>
          <w:szCs w:val="21"/>
        </w:rPr>
      </w:pPr>
      <w:r>
        <w:rPr>
          <w:rFonts w:hint="eastAsia"/>
          <w:sz w:val="28"/>
          <w:szCs w:val="28"/>
        </w:rPr>
        <w:t>四、具体技术要求</w:t>
      </w:r>
    </w:p>
    <w:p>
      <w:pPr>
        <w:spacing w:line="360" w:lineRule="auto"/>
      </w:pPr>
      <w:r>
        <w:rPr>
          <w:rFonts w:hint="eastAsia" w:ascii="宋体" w:hAnsi="宋体"/>
          <w:b/>
          <w:bCs/>
          <w:snapToGrid w:val="0"/>
          <w:kern w:val="0"/>
          <w:szCs w:val="21"/>
        </w:rPr>
        <w:t>（</w:t>
      </w:r>
      <w:r>
        <w:rPr>
          <w:rFonts w:hint="eastAsia" w:ascii="宋体" w:hAnsi="宋体"/>
          <w:b/>
          <w:bCs/>
          <w:snapToGrid w:val="0"/>
          <w:kern w:val="0"/>
          <w:szCs w:val="21"/>
          <w:lang w:val="en-US" w:eastAsia="zh-CN"/>
        </w:rPr>
        <w:t>一</w:t>
      </w:r>
      <w:r>
        <w:rPr>
          <w:rFonts w:hint="eastAsia" w:ascii="宋体" w:hAnsi="宋体"/>
          <w:b/>
          <w:bCs/>
          <w:snapToGrid w:val="0"/>
          <w:kern w:val="0"/>
          <w:szCs w:val="21"/>
        </w:rPr>
        <w:t>）招标技术参数要求</w:t>
      </w:r>
    </w:p>
    <w:tbl>
      <w:tblPr>
        <w:tblStyle w:val="42"/>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587"/>
        <w:gridCol w:w="1393"/>
        <w:gridCol w:w="1444"/>
        <w:gridCol w:w="2522"/>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73"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80" w:type="dxa"/>
            <w:gridSpan w:val="2"/>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5858" w:type="dxa"/>
            <w:gridSpan w:val="3"/>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673"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0" w:type="dxa"/>
            <w:gridSpan w:val="2"/>
            <w:vAlign w:val="center"/>
          </w:tcPr>
          <w:p>
            <w:pPr>
              <w:spacing w:after="6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50kW中波发射机</w:t>
            </w:r>
          </w:p>
        </w:tc>
        <w:tc>
          <w:tcPr>
            <w:tcW w:w="5858" w:type="dxa"/>
            <w:gridSpan w:val="3"/>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1、载波功率输出：额定功率50KW ，最大功率55KW；</w:t>
            </w:r>
          </w:p>
          <w:p>
            <w:pPr>
              <w:spacing w:after="60" w:line="360" w:lineRule="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2、频率范围：</w:t>
            </w:r>
            <w:r>
              <w:rPr>
                <w:rFonts w:hint="eastAsia" w:asciiTheme="minorEastAsia" w:hAnsiTheme="minorEastAsia" w:eastAsiaTheme="minorEastAsia"/>
                <w:color w:val="auto"/>
                <w:szCs w:val="21"/>
              </w:rPr>
              <w:t>526.5kHz-1606.5kHz</w:t>
            </w:r>
            <w:r>
              <w:rPr>
                <w:rFonts w:hint="eastAsia" w:asciiTheme="minorEastAsia" w:hAnsiTheme="minorEastAsia" w:eastAsiaTheme="minorEastAsia"/>
                <w:color w:val="auto"/>
                <w:szCs w:val="21"/>
                <w:lang w:eastAsia="zh-CN"/>
              </w:rPr>
              <w:t>；</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3、频率稳定度：在0～50℃范围内变化时＜±1Hz/日；</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4、输出阻抗：50Ω；</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5、输出接口：φ80法兰；</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6、射频谐波和杂射发射：优于FCC和CCIR的有关规定；</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7、调制形式：数字调幅（DAM）；</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8、载波跌落：≤1%（1000Hz，m＝1）；</w:t>
            </w:r>
          </w:p>
          <w:p>
            <w:pPr>
              <w:spacing w:after="60" w:line="360" w:lineRule="auto"/>
              <w:rPr>
                <w:rFonts w:hint="eastAsia" w:ascii="宋体" w:hAnsi="宋体" w:eastAsia="宋体" w:cs="宋体"/>
                <w:color w:val="auto"/>
                <w:szCs w:val="21"/>
                <w:lang w:eastAsia="zh-CN"/>
              </w:rPr>
            </w:pPr>
            <w:r>
              <w:rPr>
                <w:rFonts w:hint="eastAsia" w:asciiTheme="minorEastAsia" w:hAnsiTheme="minorEastAsia" w:eastAsiaTheme="minorEastAsia"/>
                <w:szCs w:val="21"/>
              </w:rPr>
              <w:t>9、频率响应：</w:t>
            </w:r>
            <w:r>
              <w:rPr>
                <w:rFonts w:hint="eastAsia" w:ascii="宋体" w:hAnsi="宋体" w:eastAsia="宋体" w:cs="宋体"/>
                <w:snapToGrid w:val="0"/>
                <w:color w:val="auto"/>
                <w:kern w:val="0"/>
                <w:sz w:val="21"/>
                <w:szCs w:val="28"/>
              </w:rPr>
              <w:t xml:space="preserve"> ≤±0.5dB （</w:t>
            </w:r>
            <w:r>
              <w:rPr>
                <w:rFonts w:hint="eastAsia" w:ascii="宋体" w:hAnsi="宋体" w:eastAsia="宋体" w:cs="宋体"/>
                <w:snapToGrid w:val="0"/>
                <w:color w:val="auto"/>
                <w:kern w:val="0"/>
                <w:szCs w:val="28"/>
              </w:rPr>
              <w:t>50Hz ～4500Hz，</w:t>
            </w:r>
            <w:r>
              <w:rPr>
                <w:rFonts w:hint="eastAsia" w:ascii="宋体" w:hAnsi="宋体" w:eastAsia="宋体" w:cs="宋体"/>
                <w:snapToGrid w:val="0"/>
                <w:color w:val="auto"/>
                <w:kern w:val="0"/>
                <w:sz w:val="21"/>
                <w:szCs w:val="28"/>
              </w:rPr>
              <w:t>1000 Hz,m=</w:t>
            </w:r>
            <w:r>
              <w:rPr>
                <w:rFonts w:hint="eastAsia" w:ascii="宋体" w:hAnsi="宋体" w:eastAsia="宋体" w:cs="宋体"/>
                <w:snapToGrid w:val="0"/>
                <w:color w:val="auto"/>
                <w:kern w:val="0"/>
                <w:szCs w:val="28"/>
              </w:rPr>
              <w:t>0.95</w:t>
            </w:r>
            <w:r>
              <w:rPr>
                <w:rFonts w:hint="eastAsia" w:ascii="宋体" w:hAnsi="宋体" w:eastAsia="宋体" w:cs="宋体"/>
                <w:snapToGrid w:val="0"/>
                <w:color w:val="auto"/>
                <w:kern w:val="0"/>
                <w:sz w:val="21"/>
                <w:szCs w:val="28"/>
              </w:rPr>
              <w:t>）</w:t>
            </w:r>
            <w:r>
              <w:rPr>
                <w:rFonts w:hint="eastAsia" w:ascii="宋体" w:hAnsi="宋体" w:eastAsia="宋体" w:cs="宋体"/>
                <w:snapToGrid w:val="0"/>
                <w:color w:val="auto"/>
                <w:kern w:val="0"/>
                <w:sz w:val="21"/>
                <w:szCs w:val="28"/>
                <w:lang w:eastAsia="zh-CN"/>
              </w:rPr>
              <w:t>；</w:t>
            </w:r>
          </w:p>
          <w:p>
            <w:pPr>
              <w:spacing w:after="60" w:line="360" w:lineRule="auto"/>
              <w:rPr>
                <w:rFonts w:hint="eastAsia" w:ascii="宋体" w:hAnsi="宋体" w:eastAsia="宋体" w:cs="宋体"/>
                <w:color w:val="auto"/>
                <w:szCs w:val="21"/>
                <w:lang w:eastAsia="zh-CN"/>
              </w:rPr>
            </w:pPr>
            <w:r>
              <w:rPr>
                <w:rFonts w:hint="eastAsia" w:ascii="宋体" w:hAnsi="宋体" w:eastAsia="宋体" w:cs="宋体"/>
                <w:color w:val="auto"/>
                <w:szCs w:val="21"/>
              </w:rPr>
              <w:t>10、音频谐波失真： ≤1% (50Hz ～4500Hz，m=0.9)</w:t>
            </w:r>
            <w:r>
              <w:rPr>
                <w:rFonts w:hint="eastAsia" w:ascii="宋体" w:hAnsi="宋体" w:eastAsia="宋体" w:cs="宋体"/>
                <w:color w:val="auto"/>
                <w:szCs w:val="21"/>
                <w:lang w:eastAsia="zh-CN"/>
              </w:rPr>
              <w:t>；</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11、信噪比：≤﹣60dB（1000Hz，m=1）；</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12、正负调幅不对称度：≤1.5%；</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13、杂散发射：≤-60dB；</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14、音频输入：</w:t>
            </w:r>
            <w:r>
              <w:rPr>
                <w:rFonts w:hint="eastAsia" w:asciiTheme="minorEastAsia" w:hAnsiTheme="minorEastAsia" w:eastAsiaTheme="minorEastAsia"/>
                <w:color w:val="auto"/>
                <w:szCs w:val="21"/>
              </w:rPr>
              <w:t>模拟音频接口输入为平衡600Ω阻抗，音频输入电平：-6～+6dBu，并具有模拟音频和数字音频输入接口</w:t>
            </w:r>
            <w:r>
              <w:rPr>
                <w:rFonts w:hint="eastAsia" w:asciiTheme="minorEastAsia" w:hAnsiTheme="minorEastAsia" w:eastAsiaTheme="minorEastAsia"/>
                <w:color w:val="auto"/>
                <w:szCs w:val="21"/>
                <w:lang w:eastAsia="zh-CN"/>
              </w:rPr>
              <w:t>；</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15、一次供电：交流三相四线制 3×380V±10%  频率50Hz±2Hz；</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16、整机效率：输出功率为额定时，在载波情况下，效率≥85%；</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17、遥控接口：为遥控设备提供了所需的接口，免费提供协议，并与台内其他设备配套。</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18、环境温度：-20℃－40℃；</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19、环境湿度：最大到90%（不凝露）；</w:t>
            </w:r>
          </w:p>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20、冷却方式：强迫风冷；</w:t>
            </w:r>
          </w:p>
          <w:p>
            <w:pPr>
              <w:spacing w:after="60" w:line="360" w:lineRule="auto"/>
              <w:rPr>
                <w:rFonts w:hint="eastAsia"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▲21、发射机尺寸：不大于3050mm*</w:t>
            </w:r>
            <w:r>
              <w:rPr>
                <w:rFonts w:hint="eastAsia" w:asciiTheme="minorEastAsia" w:hAnsiTheme="minorEastAsia" w:eastAsiaTheme="minorEastAsia"/>
                <w:b/>
                <w:bCs/>
                <w:szCs w:val="21"/>
                <w:highlight w:val="none"/>
                <w:lang w:val="en-US" w:eastAsia="zh-CN"/>
              </w:rPr>
              <w:t>10</w:t>
            </w:r>
            <w:r>
              <w:rPr>
                <w:rFonts w:hint="eastAsia" w:asciiTheme="minorEastAsia" w:hAnsiTheme="minorEastAsia" w:eastAsiaTheme="minorEastAsia"/>
                <w:b/>
                <w:bCs/>
                <w:szCs w:val="21"/>
                <w:highlight w:val="none"/>
              </w:rPr>
              <w:t>80mm*2070mm(长*深*高）；</w:t>
            </w:r>
          </w:p>
          <w:p>
            <w:pPr>
              <w:spacing w:after="60" w:line="360" w:lineRule="auto"/>
              <w:rPr>
                <w:rFonts w:hint="default" w:asciiTheme="minorEastAsia" w:hAnsiTheme="minorEastAsia" w:eastAsiaTheme="minorEastAsia"/>
                <w:b/>
                <w:bCs/>
                <w:szCs w:val="21"/>
                <w:highlight w:val="none"/>
                <w:lang w:val="en-US" w:eastAsia="zh-CN"/>
              </w:rPr>
            </w:pPr>
            <w:r>
              <w:rPr>
                <w:rFonts w:hint="eastAsia" w:ascii="宋体" w:hAnsi="宋体"/>
                <w:b/>
                <w:bCs/>
                <w:snapToGrid w:val="0"/>
                <w:kern w:val="0"/>
                <w:szCs w:val="21"/>
                <w:highlight w:val="yellow"/>
                <w:lang w:eastAsia="zh-CN"/>
              </w:rPr>
              <w:t>★</w:t>
            </w:r>
            <w:r>
              <w:rPr>
                <w:rFonts w:hint="eastAsia" w:asciiTheme="minorEastAsia" w:hAnsiTheme="minorEastAsia" w:eastAsiaTheme="minorEastAsia"/>
                <w:b/>
                <w:bCs/>
                <w:szCs w:val="21"/>
                <w:highlight w:val="yellow"/>
                <w:lang w:val="en-US" w:eastAsia="zh-CN"/>
              </w:rPr>
              <w:t>22、</w:t>
            </w:r>
            <w:r>
              <w:rPr>
                <w:rFonts w:hint="eastAsia" w:cs="宋体" w:asciiTheme="minorEastAsia" w:hAnsiTheme="minorEastAsia" w:eastAsiaTheme="minorEastAsia"/>
                <w:b/>
                <w:bCs/>
                <w:szCs w:val="21"/>
                <w:highlight w:val="yellow"/>
              </w:rPr>
              <w:t>本次投标货物属于工业产品生产许可证范围内，投标人须提供合法有效的«工业产品生产许可证»,同时出具投标货物相应的中华人民共和国工业和信息化部颁发的《无线电发射设备型号核准证》和国家广播电视总局颁发的《广播电视设备器材入网认定证书》；提供</w:t>
            </w:r>
            <w:r>
              <w:rPr>
                <w:rFonts w:hint="eastAsia" w:cs="宋体" w:asciiTheme="minorEastAsia" w:hAnsiTheme="minorEastAsia" w:eastAsiaTheme="minorEastAsia"/>
                <w:b/>
                <w:bCs/>
                <w:szCs w:val="21"/>
                <w:highlight w:val="yellow"/>
                <w:lang w:val="en-US" w:eastAsia="zh-CN"/>
              </w:rPr>
              <w:t>证书扫描件</w:t>
            </w:r>
            <w:r>
              <w:rPr>
                <w:rFonts w:hint="eastAsia" w:cs="宋体" w:asciiTheme="minorEastAsia" w:hAnsiTheme="minorEastAsia" w:eastAsiaTheme="minorEastAsia"/>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511" w:type="dxa"/>
            <w:gridSpan w:val="6"/>
            <w:vAlign w:val="center"/>
          </w:tcPr>
          <w:p>
            <w:pPr>
              <w:spacing w:after="60" w:line="360" w:lineRule="auto"/>
              <w:rPr>
                <w:rFonts w:asciiTheme="minorEastAsia" w:hAnsiTheme="minorEastAsia" w:eastAsiaTheme="minorEastAsia"/>
                <w:b/>
                <w:bCs/>
                <w:szCs w:val="21"/>
                <w:highlight w:val="yellow"/>
              </w:rPr>
            </w:pPr>
            <w:r>
              <w:rPr>
                <w:rFonts w:hint="eastAsia" w:asciiTheme="minorEastAsia" w:hAnsiTheme="minorEastAsia" w:eastAsiaTheme="minorEastAsia"/>
                <w:szCs w:val="21"/>
              </w:rPr>
              <w:t>备品备件清单：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Theme="minorEastAsia" w:hAnsiTheme="minorEastAsia" w:eastAsiaTheme="minorEastAsia"/>
                <w:szCs w:val="21"/>
              </w:rPr>
            </w:pPr>
            <w:r>
              <w:rPr>
                <w:rFonts w:hint="eastAsia" w:ascii="宋体" w:hAnsi="宋体" w:eastAsiaTheme="minorEastAsia"/>
                <w:snapToGrid w:val="0"/>
                <w:kern w:val="0"/>
                <w:szCs w:val="21"/>
              </w:rPr>
              <w:t>序号</w:t>
            </w:r>
          </w:p>
        </w:tc>
        <w:tc>
          <w:tcPr>
            <w:tcW w:w="2837" w:type="dxa"/>
            <w:gridSpan w:val="2"/>
            <w:vAlign w:val="center"/>
          </w:tcPr>
          <w:p>
            <w:pPr>
              <w:spacing w:after="60" w:line="360" w:lineRule="auto"/>
              <w:jc w:val="center"/>
              <w:rPr>
                <w:rFonts w:asciiTheme="minorEastAsia" w:hAnsiTheme="minorEastAsia" w:eastAsiaTheme="minorEastAsia"/>
                <w:szCs w:val="21"/>
              </w:rPr>
            </w:pPr>
            <w:r>
              <w:rPr>
                <w:rFonts w:hint="eastAsia" w:ascii="宋体" w:hAnsi="宋体"/>
                <w:snapToGrid w:val="0"/>
                <w:kern w:val="0"/>
                <w:szCs w:val="21"/>
              </w:rPr>
              <w:t>货物名称</w:t>
            </w:r>
          </w:p>
        </w:tc>
        <w:tc>
          <w:tcPr>
            <w:tcW w:w="2522"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单位</w:t>
            </w:r>
          </w:p>
        </w:tc>
        <w:tc>
          <w:tcPr>
            <w:tcW w:w="1892"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功率放大板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2</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缓冲放大板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3</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模拟输入板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4</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调制编码板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5</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A/D转换板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6</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显示板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7</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推动编码板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8</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输出监测板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9</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输出采样板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10</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控制板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11</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开关仪表板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12</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推动合成母版</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13</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推动电源调整板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14</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主功率合成母板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15</w:t>
            </w:r>
          </w:p>
        </w:tc>
        <w:tc>
          <w:tcPr>
            <w:tcW w:w="2837" w:type="dxa"/>
            <w:gridSpan w:val="2"/>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二进制合成母板</w:t>
            </w:r>
          </w:p>
        </w:tc>
        <w:tc>
          <w:tcPr>
            <w:tcW w:w="252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块</w:t>
            </w:r>
          </w:p>
        </w:tc>
        <w:tc>
          <w:tcPr>
            <w:tcW w:w="1892" w:type="dxa"/>
            <w:vAlign w:val="center"/>
          </w:tcPr>
          <w:p>
            <w:pPr>
              <w:spacing w:after="60" w:line="360" w:lineRule="auto"/>
              <w:jc w:val="center"/>
              <w:rPr>
                <w:rFonts w:ascii="宋体" w:hAnsi="宋体"/>
                <w:snapToGrid w:val="0"/>
                <w:kern w:val="0"/>
                <w:szCs w:val="21"/>
              </w:rPr>
            </w:pPr>
            <w:r>
              <w:rPr>
                <w:rFonts w:hint="eastAsia" w:ascii="宋体" w:hAnsi="宋体"/>
                <w:snapToGrid w:val="0"/>
                <w:kern w:val="0"/>
                <w:szCs w:val="21"/>
              </w:rPr>
              <w:t>1</w:t>
            </w:r>
          </w:p>
        </w:tc>
      </w:tr>
    </w:tbl>
    <w:p>
      <w:pPr>
        <w:pStyle w:val="4"/>
        <w:ind w:left="422" w:hanging="422" w:hangingChars="200"/>
        <w:rPr>
          <w:rFonts w:ascii="宋体" w:hAnsi="宋体"/>
          <w:snapToGrid w:val="0"/>
          <w:kern w:val="0"/>
          <w:sz w:val="24"/>
        </w:rPr>
      </w:pPr>
      <w:r>
        <w:rPr>
          <w:rFonts w:hint="eastAsia" w:ascii="宋体" w:hAnsi="宋体" w:eastAsia="宋体" w:cs="宋体"/>
          <w:snapToGrid w:val="0"/>
          <w:kern w:val="0"/>
          <w:sz w:val="21"/>
          <w:szCs w:val="21"/>
        </w:rPr>
        <w:t>（二）备品备件要求：</w:t>
      </w:r>
      <w:r>
        <w:rPr>
          <w:rFonts w:hint="eastAsia" w:ascii="宋体" w:hAnsi="宋体" w:eastAsia="宋体" w:cs="宋体"/>
          <w:snapToGrid w:val="0"/>
          <w:kern w:val="0"/>
          <w:sz w:val="21"/>
          <w:szCs w:val="21"/>
        </w:rPr>
        <w:br w:type="textWrapping"/>
      </w:r>
      <w:r>
        <w:rPr>
          <w:rFonts w:hint="eastAsia" w:ascii="宋体" w:hAnsi="宋体" w:eastAsia="宋体" w:cs="宋体"/>
          <w:b w:val="0"/>
          <w:bCs w:val="0"/>
          <w:snapToGrid w:val="0"/>
          <w:kern w:val="0"/>
          <w:sz w:val="21"/>
          <w:szCs w:val="21"/>
        </w:rPr>
        <w:t>1、</w:t>
      </w:r>
      <w:r>
        <w:rPr>
          <w:rFonts w:hint="eastAsia" w:ascii="宋体" w:hAnsi="宋体" w:eastAsia="宋体" w:cs="宋体"/>
          <w:b w:val="0"/>
          <w:bCs w:val="0"/>
          <w:sz w:val="21"/>
          <w:szCs w:val="21"/>
        </w:rPr>
        <w:t>所有备品备件要求与整机器件保持同型号同配置，互通互用。</w:t>
      </w:r>
    </w:p>
    <w:p>
      <w:pPr>
        <w:spacing w:line="360" w:lineRule="auto"/>
        <w:rPr>
          <w:rFonts w:ascii="宋体" w:hAnsi="宋体"/>
          <w:b/>
          <w:bCs/>
          <w:snapToGrid w:val="0"/>
          <w:kern w:val="0"/>
          <w:szCs w:val="21"/>
        </w:rPr>
      </w:pPr>
      <w:r>
        <w:rPr>
          <w:rFonts w:hint="eastAsia" w:ascii="宋体" w:hAnsi="宋体"/>
          <w:b/>
          <w:bCs/>
          <w:snapToGrid w:val="0"/>
          <w:kern w:val="0"/>
          <w:szCs w:val="21"/>
        </w:rPr>
        <w:t>（三）性能要求：</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1、具有自动和手动控制系统，当自动控制失效时可以手动控制发射机正常工作。</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2、具有可靠的防雷设计，电源输入口、射频输出口应具有防雷器件。</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3、具有多重保护及故障检测系统，优良的人机互动界面，方便用户查看机器运行状态及各功能单元参数，工作可靠性高；机器出现故障时具有声光报警功能。</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4、发射机具备遥控遥测、留有RS232、RS485、RJ45通讯接口，故障报警及液晶显示功能，方便直观地对发射机进行智能化检测、控制、诊断、记忆等控制保护，实现人机界面对话、显示屏上直观方便地观察机器的各种主要数据及运行状态；智能控制系统配有通讯接口，通过接口可对设备实现遥控、遥测、报警、联网等操作，并免费提供通讯接口协议。</w:t>
      </w:r>
    </w:p>
    <w:p>
      <w:pPr>
        <w:spacing w:line="360" w:lineRule="auto"/>
        <w:ind w:firstLine="422" w:firstLineChars="200"/>
        <w:rPr>
          <w:rFonts w:ascii="宋体" w:hAnsi="宋体"/>
          <w:b/>
          <w:bCs/>
          <w:snapToGrid w:val="0"/>
          <w:kern w:val="0"/>
          <w:szCs w:val="21"/>
        </w:rPr>
      </w:pPr>
      <w:r>
        <w:rPr>
          <w:rFonts w:hint="eastAsia" w:ascii="宋体" w:hAnsi="宋体"/>
          <w:b/>
          <w:bCs/>
          <w:snapToGrid w:val="0"/>
          <w:kern w:val="0"/>
          <w:szCs w:val="21"/>
        </w:rPr>
        <w:t>5、需采用低噪音高性能低噪音轴流风机，风机内置，为保证散热，功放部分风机至少保证4个及以上，提供图片佐证。</w:t>
      </w:r>
    </w:p>
    <w:p>
      <w:pPr>
        <w:spacing w:line="360" w:lineRule="auto"/>
        <w:ind w:firstLine="422" w:firstLineChars="200"/>
        <w:rPr>
          <w:rFonts w:ascii="宋体" w:hAnsi="宋体"/>
          <w:b/>
          <w:bCs/>
          <w:snapToGrid w:val="0"/>
          <w:kern w:val="0"/>
          <w:szCs w:val="21"/>
        </w:rPr>
      </w:pPr>
      <w:r>
        <w:rPr>
          <w:rFonts w:hint="eastAsia" w:ascii="宋体" w:hAnsi="宋体"/>
          <w:b/>
          <w:bCs/>
          <w:snapToGrid w:val="0"/>
          <w:kern w:val="0"/>
          <w:szCs w:val="21"/>
        </w:rPr>
        <w:t>6、发射机的直接数字频率合成器采用金属合体进行屏蔽，双备份，可互相热倒换，提供图片佐证。</w:t>
      </w:r>
    </w:p>
    <w:p>
      <w:pPr>
        <w:spacing w:line="360" w:lineRule="auto"/>
        <w:ind w:firstLine="422" w:firstLineChars="200"/>
        <w:rPr>
          <w:rFonts w:ascii="宋体" w:hAnsi="宋体"/>
          <w:b/>
          <w:bCs/>
          <w:snapToGrid w:val="0"/>
          <w:kern w:val="0"/>
          <w:szCs w:val="21"/>
        </w:rPr>
      </w:pPr>
      <w:r>
        <w:rPr>
          <w:rFonts w:hint="eastAsia" w:ascii="宋体" w:hAnsi="宋体"/>
          <w:b/>
          <w:bCs/>
          <w:snapToGrid w:val="0"/>
          <w:kern w:val="0"/>
          <w:szCs w:val="21"/>
        </w:rPr>
        <w:t>7、发射机应配有传统的机械表头，具有机械功率表、电压表和电流表，提供图片佐证。</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8、整机可进行数字驱动技术升级，方便实现中波数字化发射要求。</w:t>
      </w:r>
    </w:p>
    <w:p>
      <w:pPr>
        <w:spacing w:line="360" w:lineRule="auto"/>
        <w:ind w:firstLine="422" w:firstLineChars="200"/>
        <w:rPr>
          <w:rFonts w:ascii="宋体" w:hAnsi="宋体"/>
          <w:b/>
          <w:bCs/>
          <w:snapToGrid w:val="0"/>
          <w:kern w:val="0"/>
          <w:szCs w:val="21"/>
        </w:rPr>
      </w:pPr>
      <w:r>
        <w:rPr>
          <w:rFonts w:hint="eastAsia" w:ascii="宋体" w:hAnsi="宋体"/>
          <w:b/>
          <w:bCs/>
          <w:snapToGrid w:val="0"/>
          <w:kern w:val="0"/>
          <w:szCs w:val="21"/>
        </w:rPr>
        <w:t>9、要求发射机输出网络具备负载调整和调谐调整的功能，发射机槽路部份采用可靠的真空电容，具备开机状态调整功能，外部设置调谐按钮，可针对天线阻抗的变化进行微调。能提供实物图片佐证。</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10、发射机编码板采用循环调制技术，具备故障模块自动退出和自动替换功能，少量功放模块故障不影响发射机音频指标。</w:t>
      </w:r>
    </w:p>
    <w:p>
      <w:pPr>
        <w:ind w:firstLine="420" w:firstLineChars="200"/>
      </w:pPr>
      <w:r>
        <w:rPr>
          <w:rFonts w:hint="eastAsia" w:ascii="宋体" w:hAnsi="宋体"/>
          <w:snapToGrid w:val="0"/>
          <w:kern w:val="0"/>
          <w:szCs w:val="21"/>
        </w:rPr>
        <w:t>11、本次设备配置须满足现有机房系统软硬件的系统连接和兼容需求保障。</w:t>
      </w:r>
    </w:p>
    <w:p>
      <w:pPr>
        <w:pStyle w:val="5"/>
        <w:spacing w:beforeLines="50" w:afterLines="50"/>
        <w:rPr>
          <w:rFonts w:hint="eastAsia"/>
          <w:sz w:val="28"/>
          <w:szCs w:val="28"/>
        </w:rPr>
      </w:pPr>
    </w:p>
    <w:p>
      <w:pPr>
        <w:pStyle w:val="5"/>
        <w:spacing w:beforeLines="50" w:afterLines="50"/>
        <w:rPr>
          <w:sz w:val="28"/>
          <w:szCs w:val="28"/>
        </w:rPr>
      </w:pPr>
      <w:r>
        <w:rPr>
          <w:rFonts w:hint="eastAsia"/>
          <w:sz w:val="28"/>
          <w:szCs w:val="28"/>
        </w:rPr>
        <w:t>五、商务要求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szCs w:val="21"/>
        </w:rPr>
      </w:pPr>
      <w:r>
        <w:rPr>
          <w:rFonts w:hint="eastAsia" w:asciiTheme="minorEastAsia" w:hAnsiTheme="minorEastAsia" w:eastAsiaTheme="minorEastAsia"/>
          <w:kern w:val="0"/>
          <w:szCs w:val="21"/>
          <w:highlight w:val="yellow"/>
        </w:rPr>
        <w:t>★</w:t>
      </w:r>
      <w:r>
        <w:rPr>
          <w:rFonts w:hint="eastAsia" w:ascii="宋体" w:hAnsi="宋体" w:cs="宋体"/>
          <w:b/>
          <w:bCs/>
          <w:szCs w:val="21"/>
          <w:highlight w:val="yellow"/>
        </w:rPr>
        <w:t>（一）交货期：</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lang w:val="en-US" w:eastAsia="zh-CN"/>
        </w:rPr>
        <w:t xml:space="preserve"> </w:t>
      </w:r>
      <w:r>
        <w:rPr>
          <w:rFonts w:hint="eastAsia" w:asciiTheme="minorEastAsia" w:hAnsiTheme="minorEastAsia" w:eastAsiaTheme="minorEastAsia"/>
          <w:b/>
          <w:bCs/>
          <w:kern w:val="0"/>
          <w:szCs w:val="21"/>
          <w:highlight w:val="yellow"/>
          <w:u w:val="single"/>
          <w:lang w:val="en-US" w:eastAsia="zh-CN"/>
        </w:rPr>
        <w:t xml:space="preserve">   60  </w:t>
      </w:r>
      <w:r>
        <w:rPr>
          <w:rFonts w:hint="eastAsia" w:asciiTheme="minorEastAsia" w:hAnsiTheme="minorEastAsia" w:eastAsiaTheme="minorEastAsia"/>
          <w:b/>
          <w:bCs/>
          <w:kern w:val="0"/>
          <w:szCs w:val="21"/>
          <w:highlight w:val="yellow"/>
        </w:rPr>
        <w:t>天（日历日）内交货。指合同生效后，中标方将全部货物运抵采购人指定地点并安装调试完成，经验收合格，正式交付采购人使用所需的时间（产品的附件、备品备件及专用工具、技术文件和资料等应随产品一同交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Cs w:val="21"/>
          <w:highlight w:val="yellow"/>
          <w:lang w:eastAsia="zh-CN"/>
        </w:rPr>
      </w:pPr>
      <w:r>
        <w:rPr>
          <w:rFonts w:hint="eastAsia" w:ascii="宋体" w:hAnsi="宋体" w:cs="宋体"/>
          <w:b/>
          <w:bCs/>
          <w:szCs w:val="21"/>
          <w:highlight w:val="yellow"/>
          <w:lang w:eastAsia="zh-CN"/>
        </w:rPr>
        <w:t>★（</w:t>
      </w:r>
      <w:r>
        <w:rPr>
          <w:rFonts w:hint="eastAsia" w:ascii="宋体" w:hAnsi="宋体" w:cs="宋体"/>
          <w:b/>
          <w:bCs/>
          <w:szCs w:val="21"/>
          <w:highlight w:val="yellow"/>
          <w:lang w:val="en-US" w:eastAsia="zh-CN"/>
        </w:rPr>
        <w:t>二</w:t>
      </w:r>
      <w:r>
        <w:rPr>
          <w:rFonts w:hint="eastAsia" w:ascii="宋体" w:hAnsi="宋体" w:cs="宋体"/>
          <w:b/>
          <w:bCs/>
          <w:szCs w:val="21"/>
          <w:highlight w:val="yellow"/>
          <w:lang w:eastAsia="zh-CN"/>
        </w:rPr>
        <w:t>）维修及维护服务：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Cs w:val="21"/>
          <w:highlight w:val="yellow"/>
          <w:lang w:eastAsia="zh-CN"/>
        </w:rPr>
      </w:pPr>
      <w:r>
        <w:rPr>
          <w:rFonts w:hint="eastAsia" w:ascii="宋体" w:hAnsi="宋体" w:cs="宋体"/>
          <w:b/>
          <w:bCs/>
          <w:szCs w:val="21"/>
          <w:highlight w:val="yellow"/>
          <w:lang w:val="en-US" w:eastAsia="zh-CN"/>
        </w:rPr>
        <w:t>1、</w:t>
      </w:r>
      <w:r>
        <w:rPr>
          <w:rFonts w:hint="eastAsia" w:ascii="宋体" w:hAnsi="宋体" w:cs="宋体"/>
          <w:b/>
          <w:bCs/>
          <w:szCs w:val="21"/>
          <w:highlight w:val="yellow"/>
          <w:lang w:eastAsia="zh-CN"/>
        </w:rPr>
        <w:t>整个项目所有设备免费保修不少于</w:t>
      </w:r>
      <w:r>
        <w:rPr>
          <w:rFonts w:hint="eastAsia" w:ascii="宋体" w:hAnsi="宋体" w:cs="宋体"/>
          <w:b/>
          <w:bCs/>
          <w:szCs w:val="21"/>
          <w:highlight w:val="yellow"/>
          <w:lang w:val="en-US" w:eastAsia="zh-CN"/>
        </w:rPr>
        <w:t>__2__</w:t>
      </w:r>
      <w:r>
        <w:rPr>
          <w:rFonts w:hint="eastAsia" w:ascii="宋体" w:hAnsi="宋体" w:cs="宋体"/>
          <w:b/>
          <w:bCs/>
          <w:szCs w:val="21"/>
          <w:highlight w:val="yellow"/>
          <w:lang w:eastAsia="zh-CN"/>
        </w:rPr>
        <w:t>年，保修期内设备出现故障，由投标人现场免费进行维修，保修期内免费更换零配件、免工时费。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szCs w:val="21"/>
        </w:rPr>
      </w:pPr>
      <w:r>
        <w:rPr>
          <w:rFonts w:hint="eastAsia" w:ascii="宋体" w:hAnsi="宋体" w:cs="宋体"/>
          <w:b/>
          <w:bCs/>
          <w:szCs w:val="21"/>
          <w:highlight w:val="yellow"/>
          <w:lang w:val="en-US" w:eastAsia="zh-CN"/>
        </w:rPr>
        <w:t>2、</w:t>
      </w:r>
      <w:r>
        <w:rPr>
          <w:rFonts w:hint="eastAsia" w:ascii="宋体" w:hAnsi="宋体" w:cs="宋体"/>
          <w:b/>
          <w:bCs/>
          <w:szCs w:val="21"/>
          <w:highlight w:val="yellow"/>
          <w:lang w:eastAsia="zh-CN"/>
        </w:rPr>
        <w:t>由设备制造商提供售后服务，</w:t>
      </w:r>
      <w:r>
        <w:rPr>
          <w:rFonts w:hint="eastAsia" w:ascii="宋体" w:hAnsi="宋体" w:cs="宋体"/>
          <w:b/>
          <w:bCs/>
          <w:szCs w:val="21"/>
          <w:highlight w:val="yellow"/>
          <w:lang w:val="en-US" w:eastAsia="zh-CN"/>
        </w:rPr>
        <w:t>__2__</w:t>
      </w:r>
      <w:r>
        <w:rPr>
          <w:rFonts w:hint="eastAsia" w:ascii="宋体" w:hAnsi="宋体" w:cs="宋体"/>
          <w:b/>
          <w:bCs/>
          <w:szCs w:val="21"/>
          <w:highlight w:val="yellow"/>
          <w:lang w:eastAsia="zh-CN"/>
        </w:rPr>
        <w:t>小时内响应，</w:t>
      </w:r>
      <w:r>
        <w:rPr>
          <w:rFonts w:hint="eastAsia" w:ascii="宋体" w:hAnsi="宋体" w:cs="宋体"/>
          <w:b/>
          <w:bCs/>
          <w:szCs w:val="21"/>
          <w:highlight w:val="yellow"/>
          <w:lang w:val="en-US" w:eastAsia="zh-CN"/>
        </w:rPr>
        <w:t>__24__</w:t>
      </w:r>
      <w:r>
        <w:rPr>
          <w:rFonts w:hint="eastAsia" w:ascii="宋体" w:hAnsi="宋体" w:cs="宋体"/>
          <w:b/>
          <w:bCs/>
          <w:szCs w:val="21"/>
          <w:highlight w:val="yellow"/>
          <w:lang w:eastAsia="zh-CN"/>
        </w:rPr>
        <w:t>小时维修到位（不可抗力情况除外）。消耗品和零配件供应及时，特殊情况下可提供备用机。</w:t>
      </w:r>
      <w:r>
        <w:rPr>
          <w:rFonts w:hint="eastAsia" w:ascii="宋体" w:hAnsi="宋体" w:cs="宋体"/>
          <w:b/>
          <w:bCs/>
          <w:szCs w:val="21"/>
        </w:rPr>
        <w:br w:type="textWrapping"/>
      </w:r>
      <w:r>
        <w:rPr>
          <w:rFonts w:hint="eastAsia" w:ascii="宋体" w:hAnsi="宋体" w:cs="宋体"/>
          <w:b/>
          <w:bCs/>
          <w:szCs w:val="21"/>
        </w:rPr>
        <w:t>（</w:t>
      </w:r>
      <w:r>
        <w:rPr>
          <w:rFonts w:hint="eastAsia" w:ascii="宋体" w:hAnsi="宋体" w:cs="宋体"/>
          <w:b/>
          <w:bCs/>
          <w:szCs w:val="21"/>
          <w:lang w:val="en-US" w:eastAsia="zh-CN"/>
        </w:rPr>
        <w:t>三</w:t>
      </w:r>
      <w:r>
        <w:rPr>
          <w:rFonts w:hint="eastAsia" w:ascii="宋体" w:hAnsi="宋体" w:cs="宋体"/>
          <w:b/>
          <w:bCs/>
          <w:szCs w:val="21"/>
        </w:rPr>
        <w:t>）培训要求：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Cs w:val="21"/>
          <w:lang w:val="en-US" w:eastAsia="zh-CN"/>
        </w:rPr>
      </w:pPr>
      <w:r>
        <w:rPr>
          <w:rFonts w:hint="eastAsia" w:ascii="宋体" w:hAnsi="宋体" w:cs="宋体"/>
          <w:szCs w:val="21"/>
        </w:rPr>
        <w:t>1、中标人应承诺提供4人或以上不少于10</w:t>
      </w:r>
      <w:r>
        <w:rPr>
          <w:rFonts w:hint="eastAsia" w:ascii="宋体" w:hAnsi="宋体" w:cs="宋体"/>
          <w:szCs w:val="21"/>
          <w:lang w:val="en-US" w:eastAsia="zh-CN"/>
        </w:rPr>
        <w:t>个工作日</w:t>
      </w:r>
      <w:r>
        <w:rPr>
          <w:rFonts w:hint="eastAsia" w:ascii="宋体" w:hAnsi="宋体" w:cs="宋体"/>
          <w:szCs w:val="21"/>
        </w:rPr>
        <w:t>的厂内培训服务，应提供详细的厂内培训计划建议，内容应当包括发射机理论和实践培训。</w:t>
      </w:r>
      <w:r>
        <w:rPr>
          <w:rFonts w:hint="eastAsia" w:ascii="宋体" w:hAnsi="宋体" w:cs="宋体"/>
          <w:color w:val="FF0000"/>
          <w:szCs w:val="21"/>
          <w:highlight w:val="none"/>
          <w:lang w:val="en-US" w:eastAsia="zh-CN"/>
        </w:rPr>
        <w:t>投标人需提供承诺函，格式自定。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Cs w:val="21"/>
        </w:rPr>
      </w:pPr>
      <w:r>
        <w:rPr>
          <w:rFonts w:hint="eastAsia" w:ascii="宋体" w:hAnsi="宋体" w:cs="宋体"/>
          <w:szCs w:val="21"/>
        </w:rPr>
        <w:t>2、中标人应承诺为采购人的受训人员进行全面、系统、深入的培训。 课程内容应包括所有系统设备和软件系统的安装、配置、使用、维护和保养的知识。</w:t>
      </w:r>
      <w:r>
        <w:rPr>
          <w:rFonts w:hint="eastAsia" w:ascii="宋体" w:hAnsi="宋体" w:cs="宋体"/>
          <w:color w:val="FF0000"/>
          <w:szCs w:val="21"/>
          <w:highlight w:val="none"/>
          <w:lang w:val="en-US" w:eastAsia="zh-CN"/>
        </w:rPr>
        <w:t>投标人需提供承诺函，格式自定。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Cs w:val="21"/>
        </w:rPr>
      </w:pPr>
      <w:r>
        <w:rPr>
          <w:rFonts w:hint="eastAsia" w:ascii="宋体" w:hAnsi="宋体" w:cs="宋体"/>
          <w:b/>
          <w:bCs/>
          <w:szCs w:val="21"/>
        </w:rPr>
        <w:t>（</w:t>
      </w:r>
      <w:r>
        <w:rPr>
          <w:rFonts w:hint="eastAsia" w:ascii="宋体" w:hAnsi="宋体" w:cs="宋体"/>
          <w:b/>
          <w:bCs/>
          <w:szCs w:val="21"/>
          <w:lang w:val="en-US" w:eastAsia="zh-CN"/>
        </w:rPr>
        <w:t>四</w:t>
      </w:r>
      <w:r>
        <w:rPr>
          <w:rFonts w:hint="eastAsia" w:ascii="宋体" w:hAnsi="宋体" w:cs="宋体"/>
          <w:b/>
          <w:bCs/>
          <w:szCs w:val="21"/>
        </w:rPr>
        <w:t>）安装调试</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cs="宋体"/>
          <w:szCs w:val="21"/>
        </w:rPr>
        <w:t>1、中标人提供所有投标货物的包装、运输、安装及调试服务，保证机器按照规范要求进入运行和使用状态。备品备件需保证在整机上无差别使用导通，并正常运行。</w:t>
      </w:r>
      <w:r>
        <w:rPr>
          <w:rFonts w:hint="eastAsia" w:ascii="宋体" w:hAnsi="宋体" w:cs="宋体"/>
          <w:szCs w:val="21"/>
        </w:rPr>
        <w:br w:type="textWrapping"/>
      </w:r>
      <w:r>
        <w:rPr>
          <w:rFonts w:hint="eastAsia" w:ascii="宋体" w:hAnsi="宋体" w:cs="宋体"/>
          <w:b/>
          <w:bCs/>
          <w:szCs w:val="21"/>
        </w:rPr>
        <w:t>（</w:t>
      </w:r>
      <w:r>
        <w:rPr>
          <w:rFonts w:hint="eastAsia" w:ascii="宋体" w:hAnsi="宋体" w:cs="宋体"/>
          <w:b/>
          <w:bCs/>
          <w:szCs w:val="21"/>
          <w:lang w:val="en-US" w:eastAsia="zh-CN"/>
        </w:rPr>
        <w:t>五</w:t>
      </w:r>
      <w:r>
        <w:rPr>
          <w:rFonts w:hint="eastAsia" w:ascii="宋体" w:hAnsi="宋体" w:cs="宋体"/>
          <w:b/>
          <w:bCs/>
          <w:szCs w:val="21"/>
        </w:rPr>
        <w:t>）付款方式：</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cs="宋体"/>
          <w:bCs/>
          <w:szCs w:val="21"/>
          <w:lang w:val="en-US" w:eastAsia="zh-CN"/>
        </w:rPr>
        <w:t>1、</w:t>
      </w:r>
      <w:r>
        <w:rPr>
          <w:rFonts w:hint="eastAsia" w:ascii="宋体" w:hAnsi="宋体" w:cs="宋体"/>
          <w:bCs/>
          <w:szCs w:val="21"/>
        </w:rPr>
        <w:t>签订合同后，采购人向中标人支付合同总价的</w:t>
      </w:r>
      <w:r>
        <w:rPr>
          <w:rFonts w:hint="eastAsia" w:ascii="宋体" w:hAnsi="宋体" w:cs="宋体"/>
          <w:bCs/>
          <w:szCs w:val="21"/>
          <w:lang w:val="en-US" w:eastAsia="zh-CN"/>
        </w:rPr>
        <w:t>5</w:t>
      </w:r>
      <w:r>
        <w:rPr>
          <w:rFonts w:hint="eastAsia" w:ascii="宋体" w:hAnsi="宋体" w:cs="宋体"/>
          <w:bCs/>
          <w:szCs w:val="21"/>
        </w:rPr>
        <w:t>0%作为预付款，</w:t>
      </w:r>
      <w:r>
        <w:rPr>
          <w:rFonts w:hint="eastAsia" w:asciiTheme="minorEastAsia" w:hAnsiTheme="minorEastAsia" w:eastAsiaTheme="minorEastAsia"/>
          <w:kern w:val="0"/>
          <w:szCs w:val="21"/>
        </w:rPr>
        <w:t>货到指定地点并验收合格后支付合同总价的</w:t>
      </w:r>
      <w:r>
        <w:rPr>
          <w:rFonts w:hint="eastAsia" w:asciiTheme="minorEastAsia" w:hAnsiTheme="minorEastAsia" w:eastAsiaTheme="minorEastAsia"/>
          <w:kern w:val="0"/>
          <w:szCs w:val="21"/>
          <w:lang w:val="en-US" w:eastAsia="zh-CN"/>
        </w:rPr>
        <w:t>5</w:t>
      </w:r>
      <w:r>
        <w:rPr>
          <w:rFonts w:hint="eastAsia" w:asciiTheme="minorEastAsia" w:hAnsiTheme="minorEastAsia" w:eastAsiaTheme="minorEastAsia"/>
          <w:kern w:val="0"/>
          <w:szCs w:val="21"/>
        </w:rPr>
        <w:t>0%。</w:t>
      </w:r>
      <w:r>
        <w:rPr>
          <w:rFonts w:hint="eastAsia" w:ascii="宋体" w:hAnsi="宋体" w:cs="宋体"/>
          <w:bCs/>
          <w:szCs w:val="21"/>
        </w:rPr>
        <w:t>每次</w:t>
      </w:r>
      <w:r>
        <w:rPr>
          <w:rFonts w:hint="eastAsia" w:ascii="宋体" w:hAnsi="宋体" w:cs="宋体"/>
          <w:bCs/>
          <w:szCs w:val="21"/>
          <w:lang w:eastAsia="zh-TW"/>
        </w:rPr>
        <w:t>按合同支付款项前，中标人</w:t>
      </w:r>
      <w:r>
        <w:rPr>
          <w:rFonts w:hint="eastAsia" w:ascii="宋体" w:hAnsi="宋体" w:cs="宋体"/>
          <w:bCs/>
          <w:szCs w:val="21"/>
        </w:rPr>
        <w:t>应</w:t>
      </w:r>
      <w:r>
        <w:rPr>
          <w:rFonts w:hint="eastAsia" w:ascii="宋体" w:hAnsi="宋体" w:cs="宋体"/>
          <w:bCs/>
          <w:szCs w:val="21"/>
          <w:lang w:eastAsia="zh-TW"/>
        </w:rPr>
        <w:t>向采购人提供与支付金额相符的有效发票，且收款方、出具发票方、合同乙方均必须与中标人名称一致</w:t>
      </w:r>
      <w:r>
        <w:rPr>
          <w:rFonts w:hint="eastAsia" w:ascii="宋体" w:hAnsi="宋体" w:cs="宋体"/>
          <w:bCs/>
          <w:szCs w:val="21"/>
        </w:rPr>
        <w:t>。</w:t>
      </w:r>
    </w:p>
    <w:p/>
    <w:p>
      <w:pPr>
        <w:pStyle w:val="199"/>
        <w:ind w:firstLine="0" w:firstLineChars="0"/>
        <w:jc w:val="center"/>
        <w:rPr>
          <w:b/>
          <w:sz w:val="28"/>
          <w:szCs w:val="28"/>
        </w:rPr>
      </w:pPr>
      <w:r>
        <w:rPr>
          <w:rFonts w:hint="eastAsia"/>
          <w:b/>
          <w:sz w:val="28"/>
          <w:szCs w:val="28"/>
          <w:lang w:val="en-US" w:eastAsia="zh-CN"/>
        </w:rPr>
        <w:t>六</w:t>
      </w:r>
      <w:r>
        <w:rPr>
          <w:rFonts w:hint="eastAsia"/>
          <w:b/>
          <w:sz w:val="28"/>
          <w:szCs w:val="28"/>
        </w:rPr>
        <w:t>、其他要</w:t>
      </w:r>
      <w:r>
        <w:rPr>
          <w:rFonts w:hint="eastAsia"/>
          <w:b/>
          <w:sz w:val="28"/>
          <w:szCs w:val="28"/>
          <w:highlight w:val="none"/>
        </w:rPr>
        <w:t>求（按评分要求调整）</w:t>
      </w:r>
    </w:p>
    <w:p>
      <w:pPr>
        <w:spacing w:line="360" w:lineRule="auto"/>
        <w:ind w:firstLine="420" w:firstLineChars="200"/>
        <w:jc w:val="left"/>
        <w:rPr>
          <w:rFonts w:ascii="宋体" w:hAnsi="宋体"/>
          <w:szCs w:val="21"/>
        </w:rPr>
      </w:pPr>
      <w:r>
        <w:rPr>
          <w:rFonts w:hint="eastAsia" w:ascii="宋体" w:hAnsi="宋体"/>
          <w:szCs w:val="21"/>
        </w:rPr>
        <w:t>为保障项目完成质量，投标人应具备履约相关的资质、能力等，包括但不限于：</w:t>
      </w:r>
    </w:p>
    <w:p>
      <w:pPr>
        <w:spacing w:line="360" w:lineRule="auto"/>
        <w:ind w:left="630" w:leftChars="200" w:hanging="210" w:hangingChars="100"/>
        <w:jc w:val="left"/>
        <w:rPr>
          <w:rFonts w:hint="eastAsia" w:ascii="宋体" w:hAnsi="宋体"/>
          <w:kern w:val="0"/>
          <w:szCs w:val="21"/>
        </w:rPr>
      </w:pPr>
      <w:r>
        <w:rPr>
          <w:rFonts w:hint="eastAsia" w:ascii="宋体" w:hAnsi="宋体"/>
          <w:kern w:val="0"/>
          <w:szCs w:val="21"/>
          <w:lang w:val="en-US" w:eastAsia="zh-CN"/>
        </w:rPr>
        <w:t>1</w:t>
      </w:r>
      <w:r>
        <w:rPr>
          <w:rFonts w:hint="eastAsia" w:ascii="宋体" w:hAnsi="宋体"/>
          <w:kern w:val="0"/>
          <w:szCs w:val="21"/>
        </w:rPr>
        <w:t>、同类项目业绩；</w:t>
      </w:r>
    </w:p>
    <w:p>
      <w:pPr>
        <w:spacing w:line="360" w:lineRule="auto"/>
        <w:ind w:left="630" w:leftChars="200" w:hanging="210" w:hangingChars="100"/>
        <w:jc w:val="left"/>
        <w:rPr>
          <w:rFonts w:hint="eastAsia" w:ascii="宋体" w:hAnsi="宋体" w:eastAsia="宋体"/>
          <w:kern w:val="0"/>
          <w:szCs w:val="21"/>
          <w:lang w:val="en-US" w:eastAsia="zh-CN"/>
        </w:rPr>
      </w:pPr>
      <w:r>
        <w:rPr>
          <w:rFonts w:hint="eastAsia" w:ascii="宋体" w:hAnsi="宋体"/>
          <w:kern w:val="0"/>
          <w:szCs w:val="21"/>
          <w:lang w:val="en-US" w:eastAsia="zh-CN"/>
        </w:rPr>
        <w:t>2、</w:t>
      </w:r>
      <w:r>
        <w:rPr>
          <w:rFonts w:hint="eastAsia" w:ascii="宋体" w:hAnsi="宋体"/>
          <w:kern w:val="0"/>
          <w:szCs w:val="21"/>
          <w:lang w:val="zh-CN"/>
        </w:rPr>
        <w:t>拟投入项目团队；</w:t>
      </w:r>
    </w:p>
    <w:p>
      <w:pPr>
        <w:spacing w:line="360" w:lineRule="auto"/>
        <w:ind w:firstLine="420" w:firstLineChars="200"/>
        <w:jc w:val="left"/>
        <w:rPr>
          <w:rFonts w:hint="eastAsia" w:ascii="宋体" w:hAnsi="宋体" w:eastAsia="宋体" w:cs="宋体"/>
          <w:szCs w:val="21"/>
          <w:lang w:eastAsia="zh-CN"/>
        </w:rPr>
      </w:pPr>
      <w:r>
        <w:rPr>
          <w:rFonts w:hint="eastAsia" w:ascii="宋体" w:hAnsi="宋体"/>
          <w:kern w:val="0"/>
          <w:szCs w:val="21"/>
          <w:lang w:val="en-US" w:eastAsia="zh-CN"/>
        </w:rPr>
        <w:t>3</w:t>
      </w:r>
      <w:r>
        <w:rPr>
          <w:rFonts w:hint="eastAsia" w:ascii="宋体" w:hAnsi="宋体"/>
          <w:kern w:val="0"/>
          <w:szCs w:val="21"/>
          <w:lang w:val="zh-CN"/>
        </w:rPr>
        <w:t>、</w:t>
      </w:r>
      <w:r>
        <w:rPr>
          <w:rFonts w:hint="eastAsia" w:ascii="宋体" w:hAnsi="宋体" w:cs="仿宋"/>
          <w:szCs w:val="21"/>
        </w:rPr>
        <w:t>产品配置功能及性能</w:t>
      </w:r>
      <w:r>
        <w:rPr>
          <w:rFonts w:hint="eastAsia" w:ascii="宋体" w:hAnsi="宋体" w:cs="仿宋"/>
          <w:szCs w:val="21"/>
          <w:lang w:eastAsia="zh-CN"/>
        </w:rPr>
        <w:t>、</w:t>
      </w:r>
      <w:r>
        <w:rPr>
          <w:rFonts w:hint="eastAsia"/>
          <w:color w:val="auto"/>
          <w:highlight w:val="none"/>
        </w:rPr>
        <w:t>质量保障措施</w:t>
      </w:r>
      <w:r>
        <w:rPr>
          <w:rFonts w:hint="eastAsia"/>
          <w:color w:val="auto"/>
          <w:highlight w:val="none"/>
          <w:lang w:eastAsia="zh-CN"/>
        </w:rPr>
        <w:t>、</w:t>
      </w:r>
      <w:r>
        <w:rPr>
          <w:rFonts w:hint="eastAsia" w:ascii="宋体" w:hAnsi="宋体" w:cs="宋体"/>
          <w:szCs w:val="21"/>
        </w:rPr>
        <w:t>实施方案</w:t>
      </w:r>
      <w:r>
        <w:rPr>
          <w:rFonts w:hint="eastAsia" w:ascii="宋体" w:hAnsi="宋体" w:cs="宋体"/>
          <w:szCs w:val="21"/>
          <w:lang w:eastAsia="zh-CN"/>
        </w:rPr>
        <w:t>、</w:t>
      </w:r>
      <w:r>
        <w:rPr>
          <w:rFonts w:hint="eastAsia" w:ascii="宋体" w:hAnsi="宋体" w:cs="仿宋"/>
          <w:kern w:val="0"/>
          <w:szCs w:val="21"/>
        </w:rPr>
        <w:t>售后服务及培训方案</w:t>
      </w:r>
      <w:r>
        <w:rPr>
          <w:rFonts w:hint="eastAsia" w:ascii="宋体" w:hAnsi="宋体" w:cs="仿宋"/>
          <w:kern w:val="0"/>
          <w:szCs w:val="21"/>
          <w:lang w:eastAsia="zh-CN"/>
        </w:rPr>
        <w:t>。</w:t>
      </w:r>
    </w:p>
    <w:p>
      <w:pPr>
        <w:widowControl/>
        <w:jc w:val="left"/>
        <w:rPr>
          <w:rFonts w:ascii="宋体" w:hAnsi="宋体"/>
          <w:b/>
          <w:bCs/>
          <w:sz w:val="24"/>
          <w:szCs w:val="20"/>
        </w:rPr>
      </w:pPr>
      <w:r>
        <w:br w:type="page"/>
      </w:r>
    </w:p>
    <w:p>
      <w:pPr>
        <w:pStyle w:val="5"/>
        <w:ind w:firstLine="2409" w:firstLineChars="1000"/>
        <w:jc w:val="both"/>
        <w:rPr>
          <w:kern w:val="2"/>
        </w:rPr>
      </w:pPr>
      <w:r>
        <w:rPr>
          <w:rFonts w:hint="eastAsia"/>
          <w:kern w:val="2"/>
        </w:rPr>
        <w:t>第三章</w:t>
      </w:r>
      <w:r>
        <w:rPr>
          <w:kern w:val="2"/>
        </w:rPr>
        <w:t xml:space="preserve"> </w:t>
      </w:r>
      <w:r>
        <w:rPr>
          <w:rFonts w:hint="eastAsia"/>
          <w:kern w:val="2"/>
        </w:rPr>
        <w:t xml:space="preserve"> 投标文件格式、附件</w:t>
      </w:r>
    </w:p>
    <w:p>
      <w:pPr>
        <w:rPr>
          <w:b/>
          <w:bCs/>
          <w:sz w:val="24"/>
          <w:szCs w:val="32"/>
        </w:rPr>
      </w:pPr>
      <w:r>
        <w:rPr>
          <w:rFonts w:hint="eastAsia"/>
          <w:b/>
          <w:bCs/>
          <w:sz w:val="24"/>
          <w:szCs w:val="32"/>
        </w:rPr>
        <w:t>特别提醒：</w:t>
      </w:r>
    </w:p>
    <w:p>
      <w:pPr>
        <w:rPr>
          <w:b/>
          <w:bCs/>
          <w:sz w:val="24"/>
          <w:szCs w:val="32"/>
        </w:rPr>
      </w:pPr>
    </w:p>
    <w:p>
      <w:pPr>
        <w:widowControl/>
        <w:ind w:firstLine="482" w:firstLineChars="200"/>
        <w:jc w:val="left"/>
        <w:rPr>
          <w:rFonts w:ascii="仿宋_GB2312" w:eastAsia="仿宋_GB2312"/>
          <w:kern w:val="0"/>
          <w:sz w:val="24"/>
        </w:rPr>
      </w:pPr>
      <w:r>
        <w:rPr>
          <w:rFonts w:hint="eastAsia" w:ascii="仿宋_GB2312" w:eastAsia="仿宋_GB2312"/>
          <w:b/>
          <w:kern w:val="0"/>
          <w:sz w:val="24"/>
        </w:rPr>
        <w:t>投标文件正文将对外公开，投标文件附件不公开。</w:t>
      </w:r>
      <w:r>
        <w:rPr>
          <w:rFonts w:hint="eastAsia" w:ascii="仿宋_GB2312" w:eastAsia="仿宋_GB2312"/>
          <w:kern w:val="0"/>
          <w:sz w:val="24"/>
        </w:rPr>
        <w:t>投标人在编辑投标文件时，在投标文件目录中属于本节点内容的必须在本节点中填写，填写到其他节点或附件的将可能导致投标无效，一切后果由供应商自行承担。</w:t>
      </w:r>
    </w:p>
    <w:p>
      <w:pPr>
        <w:widowControl/>
        <w:jc w:val="left"/>
        <w:rPr>
          <w:rFonts w:ascii="仿宋_GB2312" w:eastAsia="仿宋_GB2312"/>
          <w:kern w:val="0"/>
          <w:sz w:val="24"/>
        </w:rPr>
      </w:pPr>
      <w:r>
        <w:rPr>
          <w:rFonts w:hint="eastAsia" w:ascii="仿宋_GB2312" w:eastAsia="仿宋_GB2312"/>
          <w:kern w:val="0"/>
          <w:sz w:val="24"/>
        </w:rPr>
        <w:t xml:space="preserve">    投标人应按招标文件规定的“投标文件组成”编制投标文件正文（信息公开部分）和投标文件附件（信息不公开部分），举例如下图：</w:t>
      </w:r>
    </w:p>
    <w:p>
      <w:pPr>
        <w:widowControl/>
        <w:jc w:val="center"/>
        <w:rPr>
          <w:rFonts w:ascii="宋体" w:hAnsi="宋体" w:cs="宋体" w:eastAsiaTheme="minorEastAsia"/>
          <w:kern w:val="0"/>
          <w:sz w:val="24"/>
          <w:highlight w:val="green"/>
        </w:rPr>
      </w:pPr>
      <w:r>
        <w:rPr>
          <w:rFonts w:ascii="仿宋_GB2312" w:eastAsia="仿宋_GB2312"/>
          <w:kern w:val="0"/>
          <w:sz w:val="24"/>
          <w:highlight w:val="green"/>
        </w:rPr>
        <w:drawing>
          <wp:inline distT="0" distB="0" distL="0" distR="0">
            <wp:extent cx="5278755" cy="4126230"/>
            <wp:effectExtent l="0" t="0" r="0" b="0"/>
            <wp:docPr id="3"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图形用户界面, 应用程序&#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pPr>
        <w:widowControl/>
        <w:jc w:val="center"/>
        <w:rPr>
          <w:rFonts w:ascii="仿宋_GB2312" w:eastAsia="仿宋_GB2312"/>
          <w:kern w:val="0"/>
          <w:sz w:val="24"/>
          <w:highlight w:val="green"/>
        </w:rPr>
      </w:pPr>
    </w:p>
    <w:p>
      <w:pPr>
        <w:widowControl/>
        <w:ind w:firstLine="480" w:firstLineChars="200"/>
        <w:jc w:val="left"/>
        <w:rPr>
          <w:rFonts w:ascii="仿宋_GB2312" w:eastAsia="仿宋_GB2312"/>
          <w:b/>
          <w:kern w:val="0"/>
          <w:sz w:val="24"/>
        </w:rPr>
      </w:pPr>
      <w:bookmarkStart w:id="28" w:name="_Hlk72257167"/>
      <w:r>
        <w:rPr>
          <w:rFonts w:hint="eastAsia" w:ascii="仿宋_GB2312" w:eastAsia="仿宋_GB2312"/>
          <w:kern w:val="0"/>
          <w:sz w:val="24"/>
        </w:rPr>
        <w:t>采购代理机构公布投标文件正文（信息公开部分）时为计算机截取信息自动公布，</w:t>
      </w:r>
      <w:r>
        <w:rPr>
          <w:rFonts w:hint="eastAsia" w:ascii="仿宋_GB2312" w:eastAsia="仿宋_GB2312"/>
          <w:b/>
          <w:bCs/>
          <w:kern w:val="0"/>
          <w:sz w:val="24"/>
        </w:rPr>
        <w:t>如投标人误将涉及个人隐私或其他重要信息放入投标文件正文，相关后果由投标人自负；</w:t>
      </w:r>
      <w:r>
        <w:rPr>
          <w:rFonts w:hint="eastAsia" w:ascii="仿宋_GB2312" w:eastAsia="仿宋_GB2312"/>
          <w:b/>
          <w:kern w:val="0"/>
          <w:sz w:val="24"/>
        </w:rPr>
        <w:t>如投标人将必须放于投标文件正文（信息公开部分）的内容放入投标文件附件（信息不公开部分），将作投标无效处理。</w:t>
      </w:r>
    </w:p>
    <w:bookmarkEnd w:id="28"/>
    <w:p>
      <w:pPr>
        <w:rPr>
          <w:rFonts w:ascii="仿宋_GB2312" w:eastAsia="仿宋_GB2312"/>
          <w:sz w:val="24"/>
        </w:rPr>
      </w:pPr>
    </w:p>
    <w:p>
      <w:pPr>
        <w:rPr>
          <w:rFonts w:ascii="宋体" w:hAnsi="宋体"/>
          <w:sz w:val="24"/>
        </w:rPr>
      </w:pPr>
      <w:r>
        <w:rPr>
          <w:rFonts w:hint="eastAsia" w:ascii="宋体" w:hAnsi="宋体"/>
          <w:sz w:val="24"/>
        </w:rPr>
        <w:t>投标文件组成：</w:t>
      </w:r>
    </w:p>
    <w:p>
      <w:pPr>
        <w:ind w:firstLine="424" w:firstLineChars="202"/>
        <w:rPr>
          <w:rFonts w:ascii="宋体" w:hAnsi="宋体"/>
          <w:sz w:val="24"/>
        </w:rPr>
      </w:pPr>
      <w:r>
        <w:rPr>
          <w:rFonts w:hint="eastAsia" w:ascii="宋体" w:hAnsi="宋体"/>
        </w:rPr>
        <w:t>1.</w:t>
      </w:r>
      <w:r>
        <w:rPr>
          <w:rFonts w:hint="eastAsia" w:ascii="宋体" w:hAnsi="宋体"/>
          <w:b/>
        </w:rPr>
        <w:t>投标文件正文</w:t>
      </w:r>
      <w:r>
        <w:rPr>
          <w:rFonts w:hint="eastAsia" w:ascii="宋体" w:hAnsi="宋体"/>
          <w:b/>
          <w:szCs w:val="21"/>
        </w:rPr>
        <w:t>（信息公开部分）</w:t>
      </w:r>
      <w:r>
        <w:rPr>
          <w:rFonts w:hint="eastAsia" w:ascii="宋体" w:hAnsi="宋体"/>
        </w:rPr>
        <w:t>，主要</w:t>
      </w:r>
      <w:r>
        <w:rPr>
          <w:rFonts w:hint="eastAsia" w:ascii="宋体" w:hAnsi="宋体"/>
          <w:szCs w:val="21"/>
        </w:rPr>
        <w:t>包括以下内容：</w:t>
      </w:r>
    </w:p>
    <w:p>
      <w:pPr>
        <w:spacing w:beforeLines="25" w:afterLines="25"/>
        <w:ind w:firstLine="991" w:firstLineChars="472"/>
        <w:rPr>
          <w:rFonts w:ascii="宋体" w:hAnsi="宋体"/>
          <w:szCs w:val="21"/>
        </w:rPr>
      </w:pPr>
      <w:r>
        <w:rPr>
          <w:rFonts w:hint="eastAsia" w:ascii="宋体" w:hAnsi="宋体"/>
          <w:szCs w:val="21"/>
        </w:rPr>
        <w:t>（1）投标函</w:t>
      </w:r>
    </w:p>
    <w:p>
      <w:pPr>
        <w:spacing w:beforeLines="25" w:afterLines="25"/>
        <w:ind w:firstLine="991" w:firstLineChars="472"/>
        <w:rPr>
          <w:rFonts w:ascii="宋体" w:hAnsi="宋体"/>
          <w:szCs w:val="21"/>
        </w:rPr>
      </w:pPr>
      <w:r>
        <w:rPr>
          <w:rFonts w:hint="eastAsia" w:ascii="宋体" w:hAnsi="宋体"/>
          <w:szCs w:val="21"/>
        </w:rPr>
        <w:t>（2）资格响应文件</w:t>
      </w:r>
    </w:p>
    <w:p>
      <w:pPr>
        <w:spacing w:beforeLines="25" w:afterLines="25"/>
        <w:ind w:firstLine="991" w:firstLineChars="472"/>
        <w:rPr>
          <w:rFonts w:ascii="宋体" w:hAnsi="宋体"/>
          <w:szCs w:val="21"/>
        </w:rPr>
      </w:pPr>
      <w:r>
        <w:rPr>
          <w:rFonts w:hint="eastAsia" w:ascii="宋体" w:hAnsi="宋体"/>
          <w:szCs w:val="21"/>
        </w:rPr>
        <w:t>（3）投标人情况介绍</w:t>
      </w:r>
    </w:p>
    <w:p>
      <w:pPr>
        <w:spacing w:beforeLines="25" w:afterLines="25"/>
        <w:ind w:firstLine="991" w:firstLineChars="472"/>
        <w:rPr>
          <w:rFonts w:ascii="宋体" w:hAnsi="宋体"/>
          <w:szCs w:val="21"/>
        </w:rPr>
      </w:pPr>
      <w:r>
        <w:rPr>
          <w:rFonts w:hint="eastAsia" w:ascii="宋体" w:hAnsi="宋体"/>
          <w:szCs w:val="21"/>
        </w:rPr>
        <w:t>（4）中小企业声明函等符合政府采购扶持政策的证明材料</w:t>
      </w:r>
    </w:p>
    <w:p>
      <w:pPr>
        <w:ind w:firstLine="424" w:firstLineChars="202"/>
        <w:rPr>
          <w:rFonts w:ascii="宋体" w:hAnsi="宋体"/>
          <w:szCs w:val="21"/>
        </w:rPr>
      </w:pPr>
    </w:p>
    <w:p>
      <w:pPr>
        <w:ind w:firstLine="424" w:firstLineChars="202"/>
        <w:rPr>
          <w:rFonts w:ascii="宋体" w:hAnsi="宋体"/>
          <w:szCs w:val="21"/>
        </w:rPr>
      </w:pPr>
      <w:r>
        <w:rPr>
          <w:rFonts w:hint="eastAsia" w:ascii="宋体" w:hAnsi="宋体"/>
          <w:szCs w:val="21"/>
        </w:rPr>
        <w:t>2.</w:t>
      </w:r>
      <w:r>
        <w:rPr>
          <w:rFonts w:hint="eastAsia" w:ascii="宋体" w:hAnsi="宋体"/>
          <w:b/>
          <w:szCs w:val="21"/>
        </w:rPr>
        <w:t>投标文件附件（信息不公开部分）</w:t>
      </w:r>
      <w:r>
        <w:rPr>
          <w:rFonts w:hint="eastAsia" w:ascii="宋体" w:hAnsi="宋体"/>
          <w:szCs w:val="21"/>
        </w:rPr>
        <w:t>，主要包括以下内容：</w:t>
      </w:r>
    </w:p>
    <w:p>
      <w:pPr>
        <w:spacing w:beforeLines="25" w:afterLines="25"/>
        <w:ind w:firstLine="991" w:firstLineChars="472"/>
        <w:rPr>
          <w:rFonts w:ascii="宋体" w:hAnsi="宋体"/>
          <w:szCs w:val="21"/>
        </w:rPr>
      </w:pPr>
      <w:r>
        <w:rPr>
          <w:rFonts w:hint="eastAsia" w:ascii="宋体" w:hAnsi="宋体"/>
          <w:szCs w:val="21"/>
        </w:rPr>
        <w:t>（5）政府采购违法行为风险知悉确认书</w:t>
      </w:r>
    </w:p>
    <w:p>
      <w:pPr>
        <w:spacing w:beforeLines="25" w:afterLines="25"/>
        <w:ind w:firstLine="991" w:firstLineChars="472"/>
        <w:rPr>
          <w:rFonts w:ascii="宋体" w:hAnsi="宋体"/>
          <w:szCs w:val="21"/>
        </w:rPr>
      </w:pPr>
      <w:r>
        <w:rPr>
          <w:rFonts w:hint="eastAsia" w:ascii="宋体" w:hAnsi="宋体"/>
          <w:szCs w:val="21"/>
        </w:rPr>
        <w:t>（6）法定代表人（负责人）资格证明书</w:t>
      </w:r>
    </w:p>
    <w:p>
      <w:pPr>
        <w:spacing w:beforeLines="25" w:afterLines="25"/>
        <w:ind w:firstLine="991" w:firstLineChars="472"/>
        <w:rPr>
          <w:rFonts w:ascii="宋体" w:hAnsi="宋体"/>
          <w:szCs w:val="21"/>
        </w:rPr>
      </w:pPr>
      <w:r>
        <w:rPr>
          <w:rFonts w:hint="eastAsia" w:ascii="宋体" w:hAnsi="宋体"/>
          <w:szCs w:val="21"/>
        </w:rPr>
        <w:t>（7）投标文件签署授权委托书</w:t>
      </w:r>
    </w:p>
    <w:p>
      <w:pPr>
        <w:spacing w:beforeLines="25" w:afterLines="25"/>
        <w:ind w:firstLine="991" w:firstLineChars="472"/>
        <w:rPr>
          <w:rFonts w:ascii="宋体" w:hAnsi="宋体"/>
          <w:szCs w:val="21"/>
        </w:rPr>
      </w:pPr>
      <w:r>
        <w:rPr>
          <w:rFonts w:hint="eastAsia" w:ascii="宋体" w:hAnsi="宋体"/>
          <w:szCs w:val="21"/>
        </w:rPr>
        <w:t>（8）</w:t>
      </w:r>
      <w:r>
        <w:rPr>
          <w:rFonts w:hint="eastAsia"/>
          <w:szCs w:val="21"/>
        </w:rPr>
        <w:t>实质性条款响应情况表</w:t>
      </w:r>
    </w:p>
    <w:p>
      <w:pPr>
        <w:spacing w:beforeLines="25" w:afterLines="25"/>
        <w:ind w:firstLine="991" w:firstLineChars="472"/>
        <w:rPr>
          <w:rFonts w:ascii="宋体" w:hAnsi="宋体"/>
          <w:szCs w:val="21"/>
        </w:rPr>
      </w:pPr>
      <w:r>
        <w:rPr>
          <w:rFonts w:hint="eastAsia" w:ascii="宋体" w:hAnsi="宋体"/>
          <w:szCs w:val="21"/>
        </w:rPr>
        <w:t>（9）分项报价表</w:t>
      </w:r>
    </w:p>
    <w:p>
      <w:pPr>
        <w:spacing w:beforeLines="25" w:afterLines="25"/>
        <w:ind w:firstLine="991" w:firstLineChars="472"/>
        <w:rPr>
          <w:rFonts w:ascii="宋体" w:hAnsi="宋体"/>
          <w:szCs w:val="21"/>
        </w:rPr>
      </w:pPr>
      <w:r>
        <w:rPr>
          <w:rFonts w:hint="eastAsia" w:ascii="宋体" w:hAnsi="宋体"/>
          <w:szCs w:val="21"/>
        </w:rPr>
        <w:t>（10）技术规格偏离表</w:t>
      </w:r>
    </w:p>
    <w:p>
      <w:pPr>
        <w:spacing w:beforeLines="25" w:afterLines="25"/>
        <w:ind w:firstLine="991" w:firstLineChars="472"/>
        <w:rPr>
          <w:rFonts w:ascii="宋体" w:hAnsi="宋体"/>
          <w:szCs w:val="21"/>
        </w:rPr>
      </w:pPr>
      <w:r>
        <w:rPr>
          <w:rFonts w:hint="eastAsia" w:ascii="宋体" w:hAnsi="宋体"/>
          <w:szCs w:val="21"/>
        </w:rPr>
        <w:t>（11）商务条款偏离表</w:t>
      </w:r>
    </w:p>
    <w:p>
      <w:pPr>
        <w:spacing w:beforeLines="25" w:afterLines="25"/>
        <w:ind w:firstLine="991" w:firstLineChars="472"/>
        <w:rPr>
          <w:rFonts w:asciiTheme="minorEastAsia" w:hAnsiTheme="minorEastAsia" w:eastAsiaTheme="minorEastAsia"/>
          <w:color w:val="auto"/>
          <w:szCs w:val="21"/>
          <w:highlight w:val="none"/>
        </w:rPr>
      </w:pPr>
      <w:r>
        <w:rPr>
          <w:rFonts w:hint="eastAsia" w:ascii="宋体" w:hAnsi="宋体"/>
          <w:color w:val="auto"/>
          <w:szCs w:val="21"/>
          <w:highlight w:val="none"/>
        </w:rPr>
        <w:t>（12）</w:t>
      </w:r>
      <w:r>
        <w:rPr>
          <w:rFonts w:hint="eastAsia" w:asciiTheme="minorEastAsia" w:hAnsiTheme="minorEastAsia" w:eastAsiaTheme="minorEastAsia"/>
          <w:color w:val="auto"/>
          <w:szCs w:val="21"/>
          <w:highlight w:val="none"/>
        </w:rPr>
        <w:t>产品配置功能及性能</w:t>
      </w:r>
    </w:p>
    <w:p>
      <w:pPr>
        <w:spacing w:beforeLines="25" w:afterLines="25"/>
        <w:ind w:firstLine="991" w:firstLineChars="472"/>
        <w:rPr>
          <w:rFonts w:asciiTheme="minorEastAsia" w:hAnsiTheme="minorEastAsia" w:eastAsiaTheme="minorEastAsia"/>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Theme="minorEastAsia" w:hAnsiTheme="minorEastAsia" w:eastAsiaTheme="minorEastAsia"/>
          <w:color w:val="auto"/>
          <w:szCs w:val="21"/>
          <w:highlight w:val="none"/>
        </w:rPr>
        <w:t>质量保障措施</w:t>
      </w:r>
    </w:p>
    <w:p>
      <w:pPr>
        <w:spacing w:beforeLines="25" w:afterLines="25"/>
        <w:ind w:firstLine="991" w:firstLineChars="472"/>
        <w:rPr>
          <w:rFonts w:asciiTheme="minorEastAsia" w:hAnsiTheme="minorEastAsia" w:eastAsiaTheme="minorEastAsia"/>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asciiTheme="minorEastAsia" w:hAnsiTheme="minorEastAsia" w:eastAsiaTheme="minorEastAsia"/>
          <w:color w:val="auto"/>
          <w:szCs w:val="21"/>
          <w:highlight w:val="none"/>
        </w:rPr>
        <w:t>实施方案</w:t>
      </w:r>
    </w:p>
    <w:p>
      <w:pPr>
        <w:spacing w:beforeLines="25" w:afterLines="25"/>
        <w:ind w:firstLine="991" w:firstLineChars="472"/>
        <w:rPr>
          <w:rFonts w:asciiTheme="minorEastAsia" w:hAnsiTheme="minorEastAsia" w:eastAsiaTheme="minorEastAsia"/>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Theme="minorEastAsia" w:hAnsiTheme="minorEastAsia" w:eastAsiaTheme="minorEastAsia"/>
          <w:color w:val="auto"/>
          <w:szCs w:val="21"/>
          <w:highlight w:val="none"/>
        </w:rPr>
        <w:t>售后服务及培训方案</w:t>
      </w:r>
    </w:p>
    <w:p>
      <w:pPr>
        <w:spacing w:beforeLines="25" w:afterLines="25"/>
        <w:ind w:firstLine="991" w:firstLineChars="472"/>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kern w:val="0"/>
          <w:szCs w:val="21"/>
          <w:highlight w:val="none"/>
        </w:rPr>
        <w:t>同类项目业绩</w:t>
      </w:r>
    </w:p>
    <w:p>
      <w:pPr>
        <w:spacing w:beforeLines="25" w:afterLines="25"/>
        <w:ind w:firstLine="991" w:firstLineChars="472"/>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w:t>
      </w:r>
      <w:r>
        <w:rPr>
          <w:rFonts w:asciiTheme="minorEastAsia" w:hAnsiTheme="minorEastAsia" w:eastAsiaTheme="minorEastAsia"/>
          <w:szCs w:val="21"/>
        </w:rPr>
        <w:t>拟安排的项目团队成员情况</w:t>
      </w:r>
    </w:p>
    <w:p>
      <w:pPr>
        <w:spacing w:beforeLines="25" w:afterLines="25"/>
        <w:ind w:firstLine="991" w:firstLineChars="472"/>
        <w:rPr>
          <w:rFonts w:ascii="宋体" w:hAnsi="宋体"/>
          <w:szCs w:val="21"/>
        </w:rPr>
      </w:pPr>
      <w:r>
        <w:rPr>
          <w:rFonts w:hint="eastAsia" w:ascii="宋体" w:hAnsi="宋体"/>
          <w:szCs w:val="21"/>
        </w:rPr>
        <w:t>（</w:t>
      </w:r>
      <w:r>
        <w:rPr>
          <w:rFonts w:hint="eastAsia" w:ascii="宋体" w:hAnsi="宋体"/>
          <w:szCs w:val="21"/>
          <w:lang w:val="en-US" w:eastAsia="zh-CN"/>
        </w:rPr>
        <w:t>18</w:t>
      </w:r>
      <w:r>
        <w:rPr>
          <w:rFonts w:hint="eastAsia" w:ascii="宋体" w:hAnsi="宋体"/>
          <w:szCs w:val="21"/>
        </w:rPr>
        <w:t>）招标文件要求的其它内容或投标人认为需要补充的资料</w:t>
      </w:r>
    </w:p>
    <w:p>
      <w:pPr>
        <w:ind w:firstLine="424" w:firstLineChars="202"/>
        <w:rPr>
          <w:rFonts w:ascii="宋体" w:hAnsi="宋体"/>
          <w:szCs w:val="21"/>
        </w:rPr>
      </w:pP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备注：</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1.本项目为网上电子投标项目，投标文件不需法人或授权委托人另行签字，无需加盖单位公章，招标文件专用条款另有规定的除外。</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2.关于填写“开标一览表”的说明：“开标一览表”中除“投标报价”外，其他信息不作为评审依据。</w:t>
      </w:r>
    </w:p>
    <w:p>
      <w:pPr>
        <w:rPr>
          <w:rFonts w:ascii="仿宋_GB2312" w:eastAsia="仿宋_GB2312"/>
          <w:b/>
          <w:color w:val="FF0000"/>
          <w:sz w:val="30"/>
          <w:szCs w:val="30"/>
        </w:rPr>
      </w:pPr>
    </w:p>
    <w:p>
      <w:pPr>
        <w:widowControl/>
        <w:jc w:val="left"/>
        <w:rPr>
          <w:rFonts w:ascii="仿宋_GB2312" w:eastAsia="仿宋_GB2312"/>
          <w:b/>
          <w:color w:val="FF0000"/>
          <w:sz w:val="30"/>
          <w:szCs w:val="30"/>
        </w:rPr>
      </w:pPr>
      <w:r>
        <w:rPr>
          <w:rFonts w:ascii="仿宋_GB2312" w:eastAsia="仿宋_GB2312"/>
          <w:b/>
          <w:color w:val="FF0000"/>
          <w:sz w:val="30"/>
          <w:szCs w:val="30"/>
        </w:rPr>
        <w:br w:type="page"/>
      </w:r>
    </w:p>
    <w:p>
      <w:pPr>
        <w:rPr>
          <w:rFonts w:ascii="仿宋_GB2312" w:eastAsia="仿宋_GB2312"/>
          <w:b/>
          <w:color w:val="FF0000"/>
          <w:sz w:val="30"/>
          <w:szCs w:val="30"/>
        </w:rPr>
      </w:pPr>
      <w:r>
        <w:rPr>
          <w:rFonts w:hint="eastAsia" w:ascii="仿宋_GB2312" w:eastAsia="仿宋_GB2312"/>
          <w:b/>
          <w:color w:val="FF0000"/>
          <w:sz w:val="30"/>
          <w:szCs w:val="30"/>
        </w:rPr>
        <w:t>投标文件正文（信息公开部分）：</w:t>
      </w:r>
    </w:p>
    <w:p>
      <w:pPr>
        <w:rPr>
          <w:rFonts w:ascii="仿宋_GB2312" w:eastAsia="仿宋_GB2312"/>
          <w:b/>
          <w:sz w:val="30"/>
          <w:szCs w:val="30"/>
        </w:rPr>
      </w:pPr>
    </w:p>
    <w:p>
      <w:pPr>
        <w:pStyle w:val="3"/>
        <w:jc w:val="center"/>
        <w:rPr>
          <w:rFonts w:ascii="黑体" w:eastAsia="黑体"/>
          <w:b w:val="0"/>
          <w:sz w:val="24"/>
        </w:rPr>
      </w:pPr>
      <w:r>
        <w:rPr>
          <w:rFonts w:hint="eastAsia" w:ascii="黑体" w:eastAsia="黑体"/>
          <w:b w:val="0"/>
          <w:sz w:val="24"/>
        </w:rPr>
        <w:t>一、投标函</w:t>
      </w:r>
    </w:p>
    <w:p>
      <w:pPr>
        <w:spacing w:line="360" w:lineRule="auto"/>
        <w:rPr>
          <w:rFonts w:ascii="宋体" w:hAnsi="宋体"/>
          <w:szCs w:val="21"/>
        </w:rPr>
      </w:pPr>
      <w:r>
        <w:rPr>
          <w:rFonts w:hint="eastAsia" w:ascii="宋体" w:hAnsi="宋体"/>
          <w:szCs w:val="21"/>
        </w:rPr>
        <w:t xml:space="preserve">深圳市中正招标有限公司：  </w:t>
      </w:r>
    </w:p>
    <w:p>
      <w:pPr>
        <w:spacing w:afterLines="50"/>
        <w:ind w:firstLine="420" w:firstLineChars="200"/>
        <w:rPr>
          <w:szCs w:val="21"/>
        </w:rPr>
      </w:pPr>
      <w:r>
        <w:rPr>
          <w:rFonts w:hint="eastAsia"/>
          <w:szCs w:val="21"/>
        </w:rPr>
        <w:t>1.根据已收到贵方的</w:t>
      </w:r>
      <w:r>
        <w:rPr>
          <w:rFonts w:hint="eastAsia"/>
          <w:kern w:val="0"/>
          <w:szCs w:val="21"/>
        </w:rPr>
        <w:t>（项目编号为</w:t>
      </w:r>
      <w:r>
        <w:rPr>
          <w:kern w:val="0"/>
          <w:szCs w:val="21"/>
          <w:u w:val="single"/>
        </w:rPr>
        <w:t xml:space="preserve">                   </w:t>
      </w:r>
      <w:r>
        <w:rPr>
          <w:rFonts w:hint="eastAsia"/>
          <w:kern w:val="0"/>
          <w:szCs w:val="21"/>
        </w:rPr>
        <w:t>）的（</w:t>
      </w:r>
      <w:r>
        <w:rPr>
          <w:kern w:val="0"/>
          <w:szCs w:val="21"/>
          <w:u w:val="single"/>
        </w:rPr>
        <w:t xml:space="preserve">                   </w:t>
      </w:r>
      <w:r>
        <w:rPr>
          <w:rFonts w:hint="eastAsia"/>
          <w:kern w:val="0"/>
          <w:szCs w:val="21"/>
        </w:rPr>
        <w:t>项目）</w:t>
      </w:r>
      <w:r>
        <w:rPr>
          <w:rFonts w:hint="eastAsia"/>
          <w:szCs w:val="21"/>
        </w:rPr>
        <w:t>的招标文件，遵照《深圳经济特区政府采购条例》和《深圳网上政府采购管理暂行办法》等有关规定，我方经研究上述招标文件的专用条款及通用条款后，愿以投标书编制软件中《开标一览表》中填写的投标报价并按招标文件要求承包上述项目并修补其任何缺陷。</w:t>
      </w:r>
    </w:p>
    <w:p>
      <w:pPr>
        <w:spacing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Lines="50"/>
        <w:ind w:firstLine="411" w:firstLineChars="196"/>
        <w:rPr>
          <w:rFonts w:ascii="宋体" w:hAnsi="宋体"/>
          <w:szCs w:val="21"/>
        </w:rPr>
      </w:pPr>
      <w:r>
        <w:rPr>
          <w:rFonts w:hint="eastAsia" w:ascii="宋体" w:hAnsi="宋体"/>
          <w:szCs w:val="21"/>
        </w:rPr>
        <w:t>3.我方同意所递交的投标文件在“对通用条款的补充内容”中的投标有效期内有效，在此期间内我方的投标有可能中标，我方将受此约束。</w:t>
      </w:r>
    </w:p>
    <w:p>
      <w:pPr>
        <w:spacing w:afterLines="50"/>
        <w:ind w:firstLine="411" w:firstLineChars="196"/>
        <w:rPr>
          <w:rFonts w:ascii="宋体" w:hAnsi="宋体"/>
          <w:szCs w:val="21"/>
        </w:rPr>
      </w:pPr>
      <w:r>
        <w:rPr>
          <w:rFonts w:hint="eastAsia" w:ascii="宋体" w:hAnsi="宋体"/>
          <w:szCs w:val="21"/>
        </w:rPr>
        <w:t>4.除非另外达成协议并生效，贵方的中标通知书和本投标文件将构成约束我们双方的合同。</w:t>
      </w:r>
    </w:p>
    <w:p>
      <w:pPr>
        <w:spacing w:afterLines="50"/>
        <w:ind w:firstLine="411" w:firstLineChars="196"/>
        <w:rPr>
          <w:rFonts w:ascii="宋体" w:hAnsi="宋体"/>
          <w:szCs w:val="21"/>
        </w:rPr>
      </w:pPr>
      <w:r>
        <w:rPr>
          <w:rFonts w:hint="eastAsia" w:ascii="宋体" w:hAnsi="宋体"/>
          <w:szCs w:val="21"/>
        </w:rPr>
        <w:t>5.我方理解贵方将不受必须接受你们所收到的最低标价或其它任何投标文件的约束。</w:t>
      </w:r>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spacing w:afterLines="50"/>
        <w:ind w:firstLine="411" w:firstLineChars="196"/>
        <w:rPr>
          <w:rFonts w:ascii="宋体" w:hAnsi="宋体"/>
          <w:szCs w:val="21"/>
        </w:rPr>
      </w:pPr>
    </w:p>
    <w:p>
      <w:pPr>
        <w:pStyle w:val="3"/>
        <w:jc w:val="center"/>
        <w:rPr>
          <w:rFonts w:ascii="黑体" w:eastAsia="黑体"/>
          <w:b w:val="0"/>
          <w:sz w:val="24"/>
        </w:rPr>
      </w:pPr>
      <w:r>
        <w:rPr>
          <w:rFonts w:hint="eastAsia" w:ascii="黑体" w:eastAsia="黑体"/>
          <w:b w:val="0"/>
          <w:sz w:val="24"/>
        </w:rPr>
        <w:t>二、资格响应文件</w:t>
      </w: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3、其它资格证明材料（如有，按招标公告“申请人的资格要求”提供）</w:t>
      </w:r>
    </w:p>
    <w:p>
      <w:pPr>
        <w:pStyle w:val="3"/>
        <w:jc w:val="center"/>
        <w:rPr>
          <w:rFonts w:ascii="黑体" w:eastAsia="黑体"/>
          <w:b w:val="0"/>
          <w:sz w:val="24"/>
        </w:rPr>
      </w:pPr>
    </w:p>
    <w:p>
      <w:pPr>
        <w:pStyle w:val="3"/>
        <w:jc w:val="center"/>
        <w:rPr>
          <w:rFonts w:ascii="黑体" w:eastAsia="黑体"/>
          <w:b w:val="0"/>
          <w:sz w:val="24"/>
        </w:rPr>
      </w:pPr>
      <w:r>
        <w:rPr>
          <w:rFonts w:hint="eastAsia" w:ascii="黑体" w:eastAsia="黑体"/>
          <w:b w:val="0"/>
          <w:sz w:val="24"/>
        </w:rPr>
        <w:t>政府采购投标及履约承诺函</w:t>
      </w:r>
    </w:p>
    <w:p>
      <w:pPr>
        <w:rPr>
          <w:rFonts w:ascii="宋体" w:hAnsi="宋体"/>
          <w:sz w:val="24"/>
        </w:rPr>
      </w:pPr>
    </w:p>
    <w:p>
      <w:pPr>
        <w:rPr>
          <w:rFonts w:ascii="宋体" w:hAnsi="宋体"/>
          <w:szCs w:val="21"/>
        </w:rPr>
      </w:pPr>
      <w:r>
        <w:rPr>
          <w:rFonts w:hint="eastAsia" w:ascii="宋体" w:hAnsi="宋体"/>
          <w:szCs w:val="21"/>
        </w:rPr>
        <w:t>深圳市中正招标有限公司：</w:t>
      </w:r>
    </w:p>
    <w:p>
      <w:pPr>
        <w:ind w:right="-815" w:firstLine="420" w:firstLineChars="200"/>
        <w:rPr>
          <w:rFonts w:ascii="宋体" w:hAnsi="宋体"/>
          <w:szCs w:val="21"/>
        </w:rPr>
      </w:pPr>
      <w:r>
        <w:rPr>
          <w:rFonts w:hint="eastAsia" w:ascii="宋体" w:hAnsi="宋体"/>
          <w:szCs w:val="21"/>
        </w:rPr>
        <w:t>我单位承诺：</w:t>
      </w:r>
    </w:p>
    <w:p>
      <w:pPr>
        <w:ind w:firstLine="424" w:firstLineChars="202"/>
        <w:rPr>
          <w:rFonts w:ascii="宋体" w:hAnsi="宋体"/>
          <w:szCs w:val="21"/>
        </w:rPr>
      </w:pPr>
      <w:r>
        <w:rPr>
          <w:rFonts w:hint="eastAsia" w:ascii="宋体" w:hAnsi="宋体"/>
          <w:szCs w:val="21"/>
        </w:rPr>
        <w:t>1.我单位满足《中华人民共和国政府采购法》第二十二条规定的下列条件：</w:t>
      </w:r>
    </w:p>
    <w:p>
      <w:pPr>
        <w:ind w:firstLine="424" w:firstLineChars="202"/>
        <w:rPr>
          <w:rFonts w:ascii="宋体" w:hAnsi="宋体"/>
          <w:szCs w:val="21"/>
        </w:rPr>
      </w:pPr>
      <w:r>
        <w:rPr>
          <w:rFonts w:hint="eastAsia" w:ascii="宋体" w:hAnsi="宋体"/>
          <w:szCs w:val="21"/>
        </w:rPr>
        <w:t>（一）具有独立承担民事责任的能力；</w:t>
      </w:r>
    </w:p>
    <w:p>
      <w:pPr>
        <w:ind w:firstLine="424" w:firstLineChars="202"/>
        <w:rPr>
          <w:rFonts w:ascii="宋体" w:hAnsi="宋体"/>
          <w:szCs w:val="21"/>
        </w:rPr>
      </w:pPr>
      <w:r>
        <w:rPr>
          <w:rFonts w:hint="eastAsia" w:ascii="宋体" w:hAnsi="宋体"/>
          <w:szCs w:val="21"/>
        </w:rPr>
        <w:t>（二）具有良好的商业信誉和健全的财务会计制度；</w:t>
      </w:r>
    </w:p>
    <w:p>
      <w:pPr>
        <w:ind w:firstLine="424" w:firstLineChars="202"/>
        <w:rPr>
          <w:rFonts w:ascii="宋体" w:hAnsi="宋体"/>
          <w:szCs w:val="21"/>
        </w:rPr>
      </w:pPr>
      <w:r>
        <w:rPr>
          <w:rFonts w:hint="eastAsia" w:ascii="宋体" w:hAnsi="宋体"/>
          <w:szCs w:val="21"/>
        </w:rPr>
        <w:t>（三）具有履行合同所必需的设备和专业技术能力；</w:t>
      </w:r>
    </w:p>
    <w:p>
      <w:pPr>
        <w:ind w:firstLine="424" w:firstLineChars="202"/>
        <w:rPr>
          <w:rFonts w:ascii="宋体" w:hAnsi="宋体"/>
          <w:szCs w:val="21"/>
        </w:rPr>
      </w:pPr>
      <w:r>
        <w:rPr>
          <w:rFonts w:hint="eastAsia" w:ascii="宋体" w:hAnsi="宋体"/>
          <w:szCs w:val="21"/>
        </w:rPr>
        <w:t>（四）有依法缴纳税收和社会保障资金的良好记录；</w:t>
      </w:r>
    </w:p>
    <w:p>
      <w:pPr>
        <w:ind w:firstLine="424" w:firstLineChars="202"/>
        <w:rPr>
          <w:rFonts w:ascii="宋体" w:hAnsi="宋体"/>
          <w:szCs w:val="21"/>
        </w:rPr>
      </w:pPr>
      <w:r>
        <w:rPr>
          <w:rFonts w:hint="eastAsia" w:ascii="宋体" w:hAnsi="宋体"/>
          <w:szCs w:val="21"/>
        </w:rPr>
        <w:t>（五）参加政府采购活动前三年内，在经营活动中没有重大违法记录；</w:t>
      </w:r>
    </w:p>
    <w:p>
      <w:pPr>
        <w:ind w:firstLine="424" w:firstLineChars="202"/>
        <w:rPr>
          <w:rFonts w:ascii="宋体" w:hAnsi="宋体"/>
          <w:szCs w:val="21"/>
        </w:rPr>
      </w:pPr>
      <w:r>
        <w:rPr>
          <w:rFonts w:hint="eastAsia" w:ascii="宋体" w:hAnsi="宋体"/>
          <w:szCs w:val="21"/>
        </w:rPr>
        <w:t>（六）法律、行政法规规定的其他条件。</w:t>
      </w:r>
    </w:p>
    <w:p>
      <w:pPr>
        <w:ind w:firstLine="420" w:firstLineChars="200"/>
        <w:rPr>
          <w:rFonts w:ascii="宋体" w:hAnsi="宋体"/>
          <w:szCs w:val="21"/>
        </w:rPr>
      </w:pPr>
      <w:r>
        <w:rPr>
          <w:rFonts w:hint="eastAsia" w:ascii="宋体" w:hAnsi="宋体"/>
          <w:szCs w:val="21"/>
        </w:rPr>
        <w:t>2.我单位参与本项目采购活动前三年内，在经营活动中没有重大违法记录，包括因违法经营受到刑事处罚或者责令停产停业、吊销许可证或者执照、较大数额罚款等行政处罚。</w:t>
      </w:r>
    </w:p>
    <w:p>
      <w:pPr>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szCs w:val="21"/>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ind w:firstLine="420" w:firstLineChars="200"/>
        <w:rPr>
          <w:rFonts w:ascii="宋体" w:hAnsi="宋体"/>
          <w:szCs w:val="21"/>
        </w:rPr>
      </w:pPr>
      <w:r>
        <w:rPr>
          <w:rFonts w:hint="eastAsia" w:ascii="宋体" w:hAnsi="宋体"/>
          <w:szCs w:val="21"/>
        </w:rPr>
        <w:t>4.我单位承诺不非法转包或分包。</w:t>
      </w:r>
    </w:p>
    <w:p>
      <w:pPr>
        <w:ind w:firstLine="420" w:firstLineChars="200"/>
        <w:rPr>
          <w:rFonts w:ascii="宋体" w:hAnsi="宋体"/>
          <w:szCs w:val="21"/>
        </w:rPr>
      </w:pPr>
      <w:r>
        <w:rPr>
          <w:rFonts w:hint="eastAsia" w:ascii="宋体" w:hAnsi="宋体"/>
          <w:szCs w:val="21"/>
        </w:rPr>
        <w:t>5.我单位本招标项目所提供的货物或服务未侵犯知识产权。</w:t>
      </w:r>
    </w:p>
    <w:p>
      <w:pPr>
        <w:ind w:firstLine="424" w:firstLineChars="202"/>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6.我单位参与该项目投标，严格遵循公平竞争的原则，不妨碍其他投标人的竞争行为，不损害采购人或者其他投标人的合法权益，与其他采购参加人不存在下列串通投标情形：</w:t>
      </w:r>
    </w:p>
    <w:p>
      <w:pPr>
        <w:ind w:firstLine="424" w:firstLineChars="202"/>
        <w:rPr>
          <w:rFonts w:ascii="宋体" w:hAnsi="宋体"/>
          <w:szCs w:val="21"/>
        </w:rPr>
      </w:pPr>
      <w:r>
        <w:rPr>
          <w:rFonts w:hint="eastAsia" w:ascii="宋体" w:hAnsi="宋体"/>
          <w:szCs w:val="21"/>
        </w:rPr>
        <w:t>（1）投标供应商之间相互约定给予未中标的供应商利益补偿；</w:t>
      </w:r>
    </w:p>
    <w:p>
      <w:pPr>
        <w:ind w:firstLine="424" w:firstLineChars="202"/>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ind w:firstLine="424" w:firstLineChars="202"/>
        <w:rPr>
          <w:rFonts w:ascii="宋体" w:hAnsi="宋体"/>
          <w:szCs w:val="21"/>
        </w:rPr>
      </w:pPr>
      <w:r>
        <w:rPr>
          <w:rFonts w:hint="eastAsia" w:ascii="宋体" w:hAnsi="宋体"/>
          <w:szCs w:val="21"/>
        </w:rPr>
        <w:t>（3）不同投标供应商的投标文件由同一单位或者同一人编制，或者由同一人分阶段参与编制的；</w:t>
      </w:r>
    </w:p>
    <w:p>
      <w:pPr>
        <w:ind w:firstLine="424" w:firstLineChars="202"/>
        <w:rPr>
          <w:rFonts w:ascii="宋体" w:hAnsi="宋体"/>
          <w:szCs w:val="21"/>
        </w:rPr>
      </w:pPr>
      <w:r>
        <w:rPr>
          <w:rFonts w:hint="eastAsia" w:ascii="宋体" w:hAnsi="宋体"/>
          <w:szCs w:val="21"/>
        </w:rPr>
        <w:t>（4）不同投标供应商的投标文件或部分投标文件相互混装；</w:t>
      </w:r>
    </w:p>
    <w:p>
      <w:pPr>
        <w:ind w:firstLine="424" w:firstLineChars="202"/>
        <w:rPr>
          <w:rFonts w:ascii="宋体" w:hAnsi="宋体"/>
          <w:szCs w:val="21"/>
        </w:rPr>
      </w:pPr>
      <w:r>
        <w:rPr>
          <w:rFonts w:hint="eastAsia" w:ascii="宋体" w:hAnsi="宋体"/>
          <w:szCs w:val="21"/>
        </w:rPr>
        <w:t>（5）不同投标供应商的投标文件内容存在非正常一致；</w:t>
      </w:r>
    </w:p>
    <w:p>
      <w:pPr>
        <w:ind w:firstLine="424" w:firstLineChars="202"/>
        <w:rPr>
          <w:rFonts w:ascii="宋体" w:hAnsi="宋体"/>
          <w:szCs w:val="21"/>
        </w:rPr>
      </w:pPr>
      <w:r>
        <w:rPr>
          <w:rFonts w:hint="eastAsia" w:ascii="宋体" w:hAnsi="宋体"/>
          <w:szCs w:val="21"/>
        </w:rPr>
        <w:t>（6）由同一单位工作人员为两家以上（含两家）供应商进行同一项投标活动的；</w:t>
      </w:r>
    </w:p>
    <w:p>
      <w:pPr>
        <w:ind w:firstLine="420" w:firstLineChars="200"/>
        <w:rPr>
          <w:rFonts w:ascii="宋体" w:hAnsi="宋体"/>
          <w:szCs w:val="21"/>
        </w:rPr>
      </w:pPr>
      <w:r>
        <w:rPr>
          <w:rFonts w:hint="eastAsia" w:ascii="宋体" w:hAnsi="宋体"/>
          <w:szCs w:val="21"/>
        </w:rPr>
        <w:t>（7）主管部门依照法律、法规认定的其他情形。</w:t>
      </w:r>
    </w:p>
    <w:p>
      <w:pPr>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ind w:firstLine="420" w:firstLineChars="200"/>
        <w:rPr>
          <w:rFonts w:ascii="宋体" w:hAnsi="宋体"/>
          <w:szCs w:val="21"/>
        </w:rPr>
      </w:pPr>
      <w:r>
        <w:rPr>
          <w:rFonts w:hint="eastAsia" w:ascii="宋体" w:hAnsi="宋体"/>
          <w:szCs w:val="21"/>
        </w:rPr>
        <w:t>以上承诺，如有违反，愿依照国家相关法律处理，并承担由此给采购人带来的损失。</w:t>
      </w:r>
    </w:p>
    <w:p>
      <w:pPr>
        <w:ind w:firstLine="420" w:firstLineChars="200"/>
        <w:rPr>
          <w:rFonts w:ascii="宋体" w:hAnsi="宋体"/>
          <w:szCs w:val="21"/>
        </w:rPr>
      </w:pPr>
    </w:p>
    <w:p>
      <w:pPr>
        <w:jc w:val="center"/>
      </w:pPr>
      <w:r>
        <w:rPr>
          <w:rFonts w:hint="eastAsia"/>
          <w:szCs w:val="21"/>
        </w:rPr>
        <w:t xml:space="preserve">                             投标人：</w:t>
      </w:r>
    </w:p>
    <w:p>
      <w:pPr>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firstLine="420" w:firstLineChars="200"/>
        <w:rPr>
          <w:rFonts w:ascii="宋体" w:hAnsi="宋体"/>
          <w:szCs w:val="21"/>
        </w:rPr>
      </w:pPr>
    </w:p>
    <w:p>
      <w:pPr>
        <w:pStyle w:val="3"/>
        <w:jc w:val="center"/>
        <w:rPr>
          <w:rFonts w:ascii="黑体" w:eastAsia="黑体"/>
          <w:b w:val="0"/>
          <w:sz w:val="24"/>
        </w:rPr>
      </w:pPr>
      <w:r>
        <w:rPr>
          <w:rFonts w:hint="eastAsia" w:ascii="黑体" w:eastAsia="黑体"/>
          <w:b w:val="0"/>
          <w:sz w:val="24"/>
        </w:rPr>
        <w:t>三、投标人情况介绍</w:t>
      </w:r>
    </w:p>
    <w:p>
      <w:pPr>
        <w:ind w:left="632" w:hanging="632" w:hangingChars="300"/>
        <w:rPr>
          <w:b/>
          <w:bCs/>
        </w:rPr>
      </w:pPr>
    </w:p>
    <w:tbl>
      <w:tblPr>
        <w:tblStyle w:val="42"/>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59"/>
        <w:gridCol w:w="4432"/>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序号</w:t>
            </w:r>
          </w:p>
        </w:tc>
        <w:tc>
          <w:tcPr>
            <w:tcW w:w="2559" w:type="dxa"/>
          </w:tcPr>
          <w:p>
            <w:pPr>
              <w:spacing w:after="60"/>
              <w:jc w:val="center"/>
              <w:rPr>
                <w:rFonts w:ascii="宋体" w:hAnsi="宋体"/>
                <w:b/>
                <w:szCs w:val="21"/>
              </w:rPr>
            </w:pPr>
            <w:r>
              <w:rPr>
                <w:rFonts w:hint="eastAsia" w:ascii="宋体" w:hAnsi="宋体"/>
                <w:b/>
                <w:szCs w:val="21"/>
              </w:rPr>
              <w:t>项</w:t>
            </w:r>
            <w:r>
              <w:rPr>
                <w:rFonts w:ascii="宋体" w:hAnsi="宋体"/>
                <w:b/>
                <w:szCs w:val="21"/>
              </w:rPr>
              <w:t xml:space="preserve">  </w:t>
            </w:r>
            <w:r>
              <w:rPr>
                <w:rFonts w:hint="eastAsia" w:ascii="宋体" w:hAnsi="宋体"/>
                <w:b/>
                <w:szCs w:val="21"/>
              </w:rPr>
              <w:t>目</w:t>
            </w:r>
          </w:p>
        </w:tc>
        <w:tc>
          <w:tcPr>
            <w:tcW w:w="4432" w:type="dxa"/>
            <w:vAlign w:val="center"/>
          </w:tcPr>
          <w:p>
            <w:pPr>
              <w:spacing w:after="60"/>
              <w:jc w:val="center"/>
              <w:rPr>
                <w:rFonts w:ascii="宋体" w:hAnsi="宋体"/>
                <w:b/>
                <w:szCs w:val="21"/>
              </w:rPr>
            </w:pPr>
            <w:r>
              <w:rPr>
                <w:rFonts w:hint="eastAsia" w:ascii="宋体" w:hAnsi="宋体"/>
                <w:b/>
                <w:szCs w:val="21"/>
              </w:rPr>
              <w:t>内容及说明</w:t>
            </w:r>
          </w:p>
        </w:tc>
        <w:tc>
          <w:tcPr>
            <w:tcW w:w="1411" w:type="dxa"/>
            <w:vAlign w:val="center"/>
          </w:tcPr>
          <w:p>
            <w:pPr>
              <w:spacing w:after="60"/>
              <w:jc w:val="center"/>
              <w:rPr>
                <w:rFonts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一</w:t>
            </w:r>
          </w:p>
        </w:tc>
        <w:tc>
          <w:tcPr>
            <w:tcW w:w="6991" w:type="dxa"/>
            <w:gridSpan w:val="2"/>
          </w:tcPr>
          <w:p>
            <w:pPr>
              <w:spacing w:after="60"/>
              <w:rPr>
                <w:rFonts w:ascii="宋体" w:hAnsi="宋体"/>
                <w:b/>
                <w:szCs w:val="21"/>
              </w:rPr>
            </w:pPr>
            <w:r>
              <w:rPr>
                <w:rFonts w:hint="eastAsia" w:ascii="宋体" w:hAnsi="宋体"/>
                <w:b/>
                <w:szCs w:val="21"/>
              </w:rPr>
              <w:t>营业执照</w:t>
            </w: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1</w:t>
            </w:r>
          </w:p>
        </w:tc>
        <w:tc>
          <w:tcPr>
            <w:tcW w:w="2559" w:type="dxa"/>
            <w:vAlign w:val="center"/>
          </w:tcPr>
          <w:p>
            <w:pPr>
              <w:spacing w:after="60"/>
              <w:jc w:val="center"/>
              <w:rPr>
                <w:rFonts w:ascii="宋体" w:hAnsi="宋体"/>
                <w:szCs w:val="21"/>
              </w:rPr>
            </w:pPr>
            <w:r>
              <w:rPr>
                <w:rFonts w:hint="eastAsia" w:ascii="宋体" w:hAnsi="宋体"/>
                <w:szCs w:val="21"/>
              </w:rPr>
              <w:t>注册年度及注册编号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2</w:t>
            </w:r>
          </w:p>
        </w:tc>
        <w:tc>
          <w:tcPr>
            <w:tcW w:w="2559" w:type="dxa"/>
            <w:vAlign w:val="center"/>
          </w:tcPr>
          <w:p>
            <w:pPr>
              <w:spacing w:after="60"/>
              <w:jc w:val="center"/>
              <w:rPr>
                <w:rFonts w:ascii="宋体" w:hAnsi="宋体"/>
                <w:szCs w:val="21"/>
              </w:rPr>
            </w:pPr>
            <w:r>
              <w:rPr>
                <w:rFonts w:hint="eastAsia" w:ascii="宋体" w:hAnsi="宋体"/>
                <w:szCs w:val="21"/>
              </w:rPr>
              <w:t>注册资金（万元）</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3</w:t>
            </w:r>
          </w:p>
        </w:tc>
        <w:tc>
          <w:tcPr>
            <w:tcW w:w="2559" w:type="dxa"/>
            <w:vAlign w:val="center"/>
          </w:tcPr>
          <w:p>
            <w:pPr>
              <w:spacing w:after="60"/>
              <w:jc w:val="center"/>
              <w:rPr>
                <w:rFonts w:ascii="宋体" w:hAnsi="宋体"/>
                <w:szCs w:val="21"/>
              </w:rPr>
            </w:pPr>
            <w:r>
              <w:rPr>
                <w:rFonts w:hint="eastAsia" w:ascii="宋体" w:hAnsi="宋体"/>
                <w:szCs w:val="21"/>
              </w:rPr>
              <w:t>法定代表人</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4</w:t>
            </w:r>
          </w:p>
        </w:tc>
        <w:tc>
          <w:tcPr>
            <w:tcW w:w="2559" w:type="dxa"/>
            <w:vAlign w:val="center"/>
          </w:tcPr>
          <w:p>
            <w:pPr>
              <w:spacing w:after="60"/>
              <w:jc w:val="center"/>
              <w:rPr>
                <w:rFonts w:ascii="宋体" w:hAnsi="宋体"/>
                <w:szCs w:val="21"/>
              </w:rPr>
            </w:pPr>
            <w:r>
              <w:rPr>
                <w:rFonts w:hint="eastAsia" w:ascii="宋体" w:hAnsi="宋体"/>
                <w:szCs w:val="21"/>
              </w:rPr>
              <w:t>住所地</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5</w:t>
            </w:r>
          </w:p>
        </w:tc>
        <w:tc>
          <w:tcPr>
            <w:tcW w:w="2559" w:type="dxa"/>
            <w:vAlign w:val="center"/>
          </w:tcPr>
          <w:p>
            <w:pPr>
              <w:spacing w:after="60"/>
              <w:jc w:val="center"/>
              <w:rPr>
                <w:rFonts w:ascii="宋体" w:hAnsi="宋体"/>
                <w:szCs w:val="21"/>
              </w:rPr>
            </w:pPr>
            <w:r>
              <w:rPr>
                <w:rFonts w:hint="eastAsia" w:ascii="宋体" w:hAnsi="宋体"/>
                <w:szCs w:val="21"/>
              </w:rPr>
              <w:t>经营范围</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6</w:t>
            </w:r>
          </w:p>
        </w:tc>
        <w:tc>
          <w:tcPr>
            <w:tcW w:w="2559" w:type="dxa"/>
            <w:vAlign w:val="center"/>
          </w:tcPr>
          <w:p>
            <w:pPr>
              <w:spacing w:after="60"/>
              <w:jc w:val="center"/>
              <w:rPr>
                <w:rFonts w:ascii="宋体" w:hAnsi="宋体"/>
                <w:szCs w:val="21"/>
              </w:rPr>
            </w:pPr>
            <w:r>
              <w:rPr>
                <w:rFonts w:hint="eastAsia" w:ascii="宋体" w:hAnsi="宋体"/>
                <w:szCs w:val="21"/>
              </w:rPr>
              <w:t>开户银行及账号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7</w:t>
            </w:r>
          </w:p>
        </w:tc>
        <w:tc>
          <w:tcPr>
            <w:tcW w:w="2559" w:type="dxa"/>
            <w:vAlign w:val="center"/>
          </w:tcPr>
          <w:p>
            <w:pPr>
              <w:spacing w:after="60"/>
              <w:jc w:val="center"/>
              <w:rPr>
                <w:rFonts w:ascii="宋体" w:hAnsi="宋体"/>
                <w:szCs w:val="21"/>
              </w:rPr>
            </w:pPr>
            <w:r>
              <w:rPr>
                <w:rFonts w:hint="eastAsia" w:ascii="宋体" w:hAnsi="宋体"/>
                <w:szCs w:val="21"/>
              </w:rPr>
              <w:t>联系方式</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二</w:t>
            </w:r>
          </w:p>
        </w:tc>
        <w:tc>
          <w:tcPr>
            <w:tcW w:w="2559" w:type="dxa"/>
            <w:vAlign w:val="center"/>
          </w:tcPr>
          <w:p>
            <w:pPr>
              <w:spacing w:after="60"/>
              <w:jc w:val="left"/>
              <w:rPr>
                <w:rFonts w:ascii="宋体" w:hAnsi="宋体"/>
                <w:b/>
                <w:szCs w:val="21"/>
              </w:rPr>
            </w:pPr>
            <w:r>
              <w:rPr>
                <w:rFonts w:hint="eastAsia" w:ascii="宋体" w:hAnsi="宋体"/>
                <w:b/>
                <w:szCs w:val="21"/>
              </w:rPr>
              <w:t>其他材料</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bl>
    <w:p>
      <w:pPr>
        <w:spacing w:line="360" w:lineRule="exact"/>
        <w:rPr>
          <w:bCs/>
          <w:szCs w:val="21"/>
        </w:rPr>
      </w:pPr>
      <w:r>
        <w:rPr>
          <w:rFonts w:hint="eastAsia"/>
          <w:bCs/>
          <w:szCs w:val="21"/>
        </w:rPr>
        <w:t>注：供应商应填写上述表格内容，并可根据自身情况自行对表格内容进行补充和完善。</w:t>
      </w:r>
    </w:p>
    <w:p>
      <w:pPr>
        <w:ind w:left="632" w:hanging="632" w:hangingChars="300"/>
        <w:rPr>
          <w:b/>
          <w:bCs/>
        </w:rPr>
      </w:pPr>
    </w:p>
    <w:p>
      <w:pPr>
        <w:ind w:left="632" w:hanging="632" w:hangingChars="300"/>
        <w:rPr>
          <w:b/>
          <w:bCs/>
        </w:rPr>
      </w:pPr>
    </w:p>
    <w:p>
      <w:pPr>
        <w:ind w:left="632" w:hanging="632" w:hangingChars="300"/>
        <w:rPr>
          <w:b/>
          <w:bCs/>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四、中小企业声明函等符合政府采购扶持政策的证明材料</w:t>
      </w:r>
    </w:p>
    <w:p>
      <w:pPr>
        <w:jc w:val="left"/>
        <w:outlineLvl w:val="3"/>
        <w:rPr>
          <w:rFonts w:ascii="黑体" w:hAnsi="宋体" w:eastAsia="黑体"/>
          <w:bCs/>
          <w:kern w:val="0"/>
          <w:sz w:val="24"/>
          <w:szCs w:val="32"/>
        </w:rPr>
      </w:pPr>
    </w:p>
    <w:p>
      <w:pPr>
        <w:widowControl/>
        <w:snapToGrid w:val="0"/>
        <w:spacing w:line="360" w:lineRule="auto"/>
        <w:jc w:val="left"/>
        <w:outlineLvl w:val="4"/>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29" w:name="_Hlk71925120"/>
      <w:r>
        <w:rPr>
          <w:rFonts w:hint="eastAsia" w:asciiTheme="minorEastAsia" w:hAnsiTheme="minorEastAsia" w:eastAsiaTheme="minorEastAsia"/>
          <w:kern w:val="0"/>
          <w:szCs w:val="21"/>
        </w:rPr>
        <w:t>《关于印发中小企业划型标准规定的通知》（工信部联企业〔2011〕300 号</w:t>
      </w:r>
      <w:bookmarkEnd w:id="29"/>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3、请依照招标文件提供的格式和内容填写声明函，不要随意变更格式；声明函不需要盖章或签字；满足多项优惠政策的投标人，不重复享受多项价格扣除政策。</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w:t>
      </w:r>
      <w:r>
        <w:rPr>
          <w:rFonts w:hint="eastAsia" w:asciiTheme="minorEastAsia" w:hAnsiTheme="minorEastAsia" w:eastAsiaTheme="minorEastAsia"/>
          <w:b/>
          <w:color w:val="FF0000"/>
          <w:kern w:val="0"/>
          <w:szCs w:val="21"/>
        </w:rPr>
        <w:t>采购标的（货物或服务或工程）的具体名称</w:t>
      </w:r>
      <w:r>
        <w:rPr>
          <w:rFonts w:hint="eastAsia" w:asciiTheme="minorEastAsia" w:hAnsiTheme="minorEastAsia" w:eastAsiaTheme="minorEastAsia"/>
          <w:b/>
          <w:bCs/>
          <w:color w:val="FF0000"/>
          <w:kern w:val="0"/>
          <w:szCs w:val="21"/>
        </w:rPr>
        <w:t>（具体详见第二章招标项目需求，如涉及多项标的，投标人需逐项进行响应）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w:t>
      </w:r>
      <w:r>
        <w:rPr>
          <w:rFonts w:hint="eastAsia" w:asciiTheme="minorEastAsia" w:hAnsiTheme="minorEastAsia" w:eastAsiaTheme="minorEastAsia"/>
          <w:b/>
          <w:color w:val="FF0000"/>
          <w:kern w:val="0"/>
          <w:szCs w:val="21"/>
        </w:rPr>
        <w:t>采购文件规定的本项目所属行业</w:t>
      </w:r>
      <w:r>
        <w:rPr>
          <w:rFonts w:hint="eastAsia" w:asciiTheme="minorEastAsia" w:hAnsiTheme="minorEastAsia" w:eastAsiaTheme="minorEastAsia"/>
          <w:b/>
          <w:bCs/>
          <w:color w:val="FF0000"/>
          <w:kern w:val="0"/>
          <w:szCs w:val="21"/>
        </w:rPr>
        <w:t>（详见其它关键信息）</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widowControl/>
        <w:snapToGrid w:val="0"/>
        <w:spacing w:line="360" w:lineRule="auto"/>
        <w:ind w:firstLine="424" w:firstLineChars="202"/>
        <w:jc w:val="left"/>
        <w:rPr>
          <w:rFonts w:asciiTheme="minorEastAsia" w:hAnsiTheme="minorEastAsia" w:eastAsiaTheme="minorEastAsia"/>
          <w:kern w:val="0"/>
          <w:szCs w:val="21"/>
        </w:rPr>
      </w:pPr>
    </w:p>
    <w:p>
      <w:pPr>
        <w:widowControl/>
        <w:snapToGrid w:val="0"/>
        <w:spacing w:line="360" w:lineRule="auto"/>
        <w:jc w:val="left"/>
        <w:rPr>
          <w:b/>
          <w:bCs/>
        </w:rPr>
      </w:pPr>
      <w:r>
        <w:rPr>
          <w:rFonts w:hint="eastAsia" w:asciiTheme="minorEastAsia" w:hAnsiTheme="minorEastAsia" w:eastAsiaTheme="minorEastAsia"/>
          <w:kern w:val="0"/>
          <w:szCs w:val="21"/>
        </w:rPr>
        <w:t xml:space="preserve">   </w:t>
      </w:r>
    </w:p>
    <w:p>
      <w:pPr>
        <w:jc w:val="left"/>
        <w:outlineLvl w:val="3"/>
        <w:rPr>
          <w:rFonts w:ascii="黑体" w:hAnsi="宋体" w:eastAsia="黑体"/>
          <w:bCs/>
          <w:kern w:val="0"/>
          <w:sz w:val="24"/>
          <w:szCs w:val="32"/>
        </w:rPr>
      </w:pPr>
    </w:p>
    <w:p>
      <w:pPr>
        <w:spacing w:after="60"/>
        <w:jc w:val="center"/>
        <w:outlineLvl w:val="3"/>
        <w:rPr>
          <w:b/>
          <w:sz w:val="24"/>
        </w:rPr>
      </w:pPr>
      <w:r>
        <w:rPr>
          <w:rFonts w:hint="eastAsia"/>
          <w:b/>
          <w:sz w:val="24"/>
        </w:rPr>
        <w:t>1、中小企业声明函</w:t>
      </w:r>
    </w:p>
    <w:p>
      <w:pPr>
        <w:pStyle w:val="18"/>
        <w:spacing w:line="302" w:lineRule="auto"/>
        <w:ind w:right="-51" w:firstLine="412"/>
        <w:rPr>
          <w:rFonts w:asciiTheme="minorEastAsia" w:hAnsiTheme="minorEastAsia" w:eastAsiaTheme="minorEastAsia"/>
          <w:b w:val="0"/>
          <w:sz w:val="21"/>
          <w:szCs w:val="21"/>
        </w:rPr>
      </w:pPr>
      <w:r>
        <w:rPr>
          <w:rFonts w:asciiTheme="minorEastAsia" w:hAnsiTheme="minorEastAsia" w:eastAsiaTheme="minorEastAsia"/>
          <w:b w:val="0"/>
          <w:sz w:val="21"/>
          <w:szCs w:val="21"/>
        </w:rPr>
        <w:t>本公司（联合体）郑重声明，根据《政府采购促进中小企业发展管理办法》（财库</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2020</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46 号）的规定，本公司（联合体）参加</w:t>
      </w:r>
      <w:r>
        <w:rPr>
          <w:rFonts w:asciiTheme="minorEastAsia" w:hAnsiTheme="minorEastAsia" w:eastAsiaTheme="minorEastAsia"/>
          <w:b w:val="0"/>
          <w:sz w:val="21"/>
          <w:szCs w:val="21"/>
          <w:u w:val="single"/>
        </w:rPr>
        <w:t>（</w:t>
      </w:r>
      <w:r>
        <w:rPr>
          <w:rFonts w:hint="eastAsia" w:asciiTheme="minorEastAsia" w:hAnsiTheme="minorEastAsia" w:eastAsiaTheme="minorEastAsia"/>
          <w:b w:val="0"/>
          <w:sz w:val="21"/>
          <w:szCs w:val="21"/>
          <w:u w:val="single"/>
        </w:rPr>
        <w:t>深圳市广播电视技术中心</w:t>
      </w:r>
      <w:r>
        <w:rPr>
          <w:rFonts w:asciiTheme="minorEastAsia" w:hAnsiTheme="minorEastAsia" w:eastAsiaTheme="minorEastAsia"/>
          <w:b w:val="0"/>
          <w:sz w:val="21"/>
          <w:szCs w:val="21"/>
          <w:u w:val="single"/>
        </w:rPr>
        <w:t>）</w:t>
      </w:r>
      <w:r>
        <w:rPr>
          <w:rFonts w:asciiTheme="minorEastAsia" w:hAnsiTheme="minorEastAsia" w:eastAsiaTheme="minorEastAsia"/>
          <w:b w:val="0"/>
          <w:sz w:val="21"/>
          <w:szCs w:val="21"/>
        </w:rPr>
        <w:t>的</w:t>
      </w:r>
      <w:r>
        <w:rPr>
          <w:rFonts w:asciiTheme="minorEastAsia" w:hAnsiTheme="minorEastAsia" w:eastAsiaTheme="minorEastAsia"/>
          <w:b w:val="0"/>
          <w:sz w:val="21"/>
          <w:szCs w:val="21"/>
          <w:u w:val="single"/>
        </w:rPr>
        <w:t>（</w:t>
      </w:r>
      <w:r>
        <w:rPr>
          <w:rFonts w:hint="eastAsia" w:asciiTheme="minorEastAsia" w:hAnsiTheme="minorEastAsia" w:eastAsiaTheme="minorEastAsia"/>
          <w:b w:val="0"/>
          <w:sz w:val="21"/>
          <w:szCs w:val="21"/>
          <w:u w:val="single"/>
          <w:lang w:eastAsia="zh-CN"/>
        </w:rPr>
        <w:t>更换2台50kW中波发射机及采购配件</w:t>
      </w:r>
      <w:r>
        <w:rPr>
          <w:rFonts w:asciiTheme="minorEastAsia" w:hAnsiTheme="minorEastAsia" w:eastAsiaTheme="minorEastAsia"/>
          <w:b w:val="0"/>
          <w:sz w:val="21"/>
          <w:szCs w:val="21"/>
          <w:u w:val="single"/>
        </w:rPr>
        <w:t>）</w:t>
      </w:r>
      <w:r>
        <w:rPr>
          <w:rFonts w:asciiTheme="minorEastAsia" w:hAnsiTheme="minorEastAsia" w:eastAsiaTheme="minorEastAsia"/>
          <w:b w:val="0"/>
          <w:sz w:val="21"/>
          <w:szCs w:val="21"/>
        </w:rPr>
        <w:t>采购活动，</w:t>
      </w:r>
      <w:r>
        <w:rPr>
          <w:rFonts w:hint="eastAsia" w:asciiTheme="minorEastAsia" w:hAnsiTheme="minorEastAsia" w:eastAsiaTheme="minorEastAsia"/>
          <w:b w:val="0"/>
          <w:sz w:val="21"/>
          <w:szCs w:val="21"/>
        </w:rPr>
        <w:t>提供的货物全部由符合政策要求的中小企业制造</w:t>
      </w:r>
      <w:r>
        <w:rPr>
          <w:rFonts w:asciiTheme="minorEastAsia" w:hAnsiTheme="minorEastAsia" w:eastAsiaTheme="minorEastAsia"/>
          <w:b w:val="0"/>
          <w:sz w:val="21"/>
          <w:szCs w:val="21"/>
        </w:rPr>
        <w:t>。相关企业（含联合体中的中小企业、签订分包意向协议的中小企业）的具体情况如下：</w:t>
      </w:r>
    </w:p>
    <w:p>
      <w:pPr>
        <w:pStyle w:val="18"/>
        <w:spacing w:line="302" w:lineRule="auto"/>
        <w:ind w:right="-51"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1. </w:t>
      </w:r>
      <w:r>
        <w:rPr>
          <w:rFonts w:asciiTheme="minorEastAsia" w:hAnsiTheme="minorEastAsia" w:eastAsiaTheme="minorEastAsia"/>
          <w:b w:val="0"/>
          <w:sz w:val="21"/>
          <w:szCs w:val="21"/>
          <w:u w:val="single"/>
        </w:rPr>
        <w:t>（</w:t>
      </w:r>
      <w:r>
        <w:rPr>
          <w:rFonts w:hint="eastAsia" w:asciiTheme="minorEastAsia" w:hAnsiTheme="minorEastAsia" w:eastAsiaTheme="minorEastAsia"/>
          <w:b w:val="0"/>
          <w:sz w:val="21"/>
          <w:szCs w:val="21"/>
          <w:u w:val="single"/>
        </w:rPr>
        <w:t>50kW中波发射机</w:t>
      </w:r>
      <w:r>
        <w:rPr>
          <w:rFonts w:asciiTheme="minorEastAsia" w:hAnsiTheme="minorEastAsia" w:eastAsiaTheme="minorEastAsia"/>
          <w:b w:val="0"/>
          <w:sz w:val="21"/>
          <w:szCs w:val="21"/>
          <w:u w:val="single"/>
        </w:rPr>
        <w:t>）</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w:t>
      </w:r>
      <w:r>
        <w:rPr>
          <w:rFonts w:hint="eastAsia" w:asciiTheme="minorEastAsia" w:hAnsiTheme="minorEastAsia" w:eastAsiaTheme="minorEastAsia"/>
          <w:b w:val="0"/>
          <w:sz w:val="21"/>
          <w:szCs w:val="21"/>
          <w:u w:val="single"/>
        </w:rPr>
        <w:t>工业</w:t>
      </w:r>
      <w:r>
        <w:rPr>
          <w:rFonts w:asciiTheme="minorEastAsia" w:hAnsiTheme="minorEastAsia" w:eastAsiaTheme="minorEastAsia"/>
          <w:b w:val="0"/>
          <w:sz w:val="21"/>
          <w:szCs w:val="21"/>
          <w:u w:val="single"/>
        </w:rPr>
        <w:t>）</w:t>
      </w:r>
      <w:r>
        <w:rPr>
          <w:rFonts w:hint="eastAsia" w:asciiTheme="minorEastAsia" w:hAnsiTheme="minorEastAsia" w:eastAsiaTheme="minorEastAsia"/>
          <w:b w:val="0"/>
          <w:sz w:val="21"/>
          <w:szCs w:val="21"/>
        </w:rPr>
        <w:t>行业</w:t>
      </w:r>
      <w:r>
        <w:rPr>
          <w:rFonts w:asciiTheme="minorEastAsia" w:hAnsiTheme="minorEastAsia" w:eastAsiaTheme="minorEastAsia"/>
          <w:b w:val="0"/>
          <w:sz w:val="21"/>
          <w:szCs w:val="21"/>
        </w:rPr>
        <w:t>；</w:t>
      </w:r>
      <w:r>
        <w:rPr>
          <w:rFonts w:hint="eastAsia" w:asciiTheme="minorEastAsia" w:hAnsiTheme="minorEastAsia" w:eastAsiaTheme="minorEastAsia"/>
          <w:b w:val="0"/>
          <w:sz w:val="21"/>
          <w:szCs w:val="21"/>
        </w:rPr>
        <w:t>制造商</w:t>
      </w:r>
      <w:r>
        <w:rPr>
          <w:rFonts w:asciiTheme="minorEastAsia" w:hAnsiTheme="minorEastAsia" w:eastAsiaTheme="minorEastAsia"/>
          <w:b w:val="0"/>
          <w:sz w:val="21"/>
          <w:szCs w:val="21"/>
        </w:rPr>
        <w:t>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18"/>
        <w:spacing w:line="302" w:lineRule="auto"/>
        <w:ind w:right="-51"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2. </w:t>
      </w:r>
      <w:r>
        <w:rPr>
          <w:rFonts w:asciiTheme="minorEastAsia" w:hAnsiTheme="minorEastAsia" w:eastAsiaTheme="minorEastAsia"/>
          <w:b w:val="0"/>
          <w:sz w:val="21"/>
          <w:szCs w:val="21"/>
          <w:u w:val="single"/>
        </w:rPr>
        <w:t>（标的名称）</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（采购文件中明确的所属行业）</w:t>
      </w:r>
      <w:r>
        <w:rPr>
          <w:rFonts w:hint="eastAsia" w:asciiTheme="minorEastAsia" w:hAnsiTheme="minorEastAsia" w:eastAsiaTheme="minorEastAsia"/>
          <w:b w:val="0"/>
          <w:sz w:val="21"/>
          <w:szCs w:val="21"/>
        </w:rPr>
        <w:t>行业</w:t>
      </w:r>
      <w:r>
        <w:rPr>
          <w:rFonts w:asciiTheme="minorEastAsia" w:hAnsiTheme="minorEastAsia" w:eastAsiaTheme="minorEastAsia"/>
          <w:b w:val="0"/>
          <w:sz w:val="21"/>
          <w:szCs w:val="21"/>
        </w:rPr>
        <w:t>；</w:t>
      </w:r>
      <w:r>
        <w:rPr>
          <w:rFonts w:hint="eastAsia" w:asciiTheme="minorEastAsia" w:hAnsiTheme="minorEastAsia" w:eastAsiaTheme="minorEastAsia"/>
          <w:b w:val="0"/>
          <w:sz w:val="21"/>
          <w:szCs w:val="21"/>
        </w:rPr>
        <w:t>制造商</w:t>
      </w:r>
      <w:r>
        <w:rPr>
          <w:rFonts w:asciiTheme="minorEastAsia" w:hAnsiTheme="minorEastAsia" w:eastAsiaTheme="minorEastAsia"/>
          <w:b w:val="0"/>
          <w:sz w:val="21"/>
          <w:szCs w:val="21"/>
        </w:rPr>
        <w:t>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18"/>
        <w:spacing w:before="11"/>
        <w:ind w:right="-51" w:firstLine="424" w:firstLineChars="202"/>
        <w:rPr>
          <w:rFonts w:asciiTheme="minorEastAsia" w:hAnsiTheme="minorEastAsia" w:eastAsiaTheme="minorEastAsia"/>
          <w:b w:val="0"/>
          <w:sz w:val="21"/>
          <w:szCs w:val="21"/>
        </w:rPr>
      </w:pPr>
      <w:r>
        <w:rPr>
          <w:rFonts w:asciiTheme="minorEastAsia" w:hAnsiTheme="minorEastAsia" w:eastAsiaTheme="minorEastAsia"/>
          <w:b w:val="0"/>
          <w:sz w:val="21"/>
          <w:szCs w:val="21"/>
        </w:rPr>
        <w:t>……</w:t>
      </w:r>
    </w:p>
    <w:p>
      <w:pPr>
        <w:pStyle w:val="18"/>
        <w:spacing w:before="108" w:line="304" w:lineRule="auto"/>
        <w:ind w:right="-51" w:firstLine="408"/>
        <w:rPr>
          <w:rFonts w:asciiTheme="minorEastAsia" w:hAnsiTheme="minorEastAsia" w:eastAsiaTheme="minorEastAsia"/>
          <w:b w:val="0"/>
          <w:sz w:val="21"/>
          <w:szCs w:val="21"/>
        </w:rPr>
      </w:pPr>
      <w:r>
        <w:rPr>
          <w:rFonts w:asciiTheme="minorEastAsia" w:hAnsiTheme="minorEastAsia" w:eastAsiaTheme="minorEastAsia"/>
          <w:b w:val="0"/>
          <w:sz w:val="21"/>
          <w:szCs w:val="21"/>
        </w:rPr>
        <w:t>以上企业，不属于大企业的分支机构，不存在控股股东为大企业的情形，也不存在与大企业的负责人为同一人的情形。</w:t>
      </w:r>
    </w:p>
    <w:p>
      <w:pPr>
        <w:spacing w:line="360" w:lineRule="exact"/>
        <w:ind w:right="-5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exact"/>
        <w:ind w:right="-51"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本企业已知悉《政府采购促进中小企业发展管理办法》（财库〔2020〕46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exact"/>
        <w:ind w:firstLine="420" w:firstLineChars="200"/>
        <w:rPr>
          <w:rFonts w:asciiTheme="minorEastAsia" w:hAnsiTheme="minorEastAsia" w:eastAsiaTheme="minorEastAsia"/>
          <w:szCs w:val="21"/>
        </w:rPr>
      </w:pPr>
    </w:p>
    <w:p>
      <w:pPr>
        <w:spacing w:line="360" w:lineRule="exact"/>
        <w:jc w:val="center"/>
      </w:pPr>
      <w:r>
        <w:rPr>
          <w:rFonts w:hint="eastAsia"/>
          <w:szCs w:val="21"/>
        </w:rPr>
        <w:t xml:space="preserve">                           企业名称：</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420" w:firstLineChars="200"/>
        <w:rPr>
          <w:rFonts w:ascii="宋体" w:hAnsi="宋体"/>
          <w:szCs w:val="21"/>
        </w:rPr>
      </w:pPr>
      <w:r>
        <w:rPr>
          <w:rFonts w:hint="eastAsia" w:ascii="宋体" w:hAnsi="宋体"/>
          <w:szCs w:val="21"/>
        </w:rPr>
        <w:t>备注：</w:t>
      </w:r>
    </w:p>
    <w:p>
      <w:pPr>
        <w:spacing w:line="360" w:lineRule="exact"/>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exact"/>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exact"/>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spacing w:line="360" w:lineRule="exact"/>
        <w:ind w:firstLine="420" w:firstLineChars="200"/>
        <w:rPr>
          <w:rFonts w:ascii="宋体" w:hAnsi="宋体"/>
          <w:szCs w:val="21"/>
        </w:rPr>
      </w:pPr>
    </w:p>
    <w:p>
      <w:pPr>
        <w:spacing w:after="60" w:line="360" w:lineRule="exact"/>
        <w:jc w:val="center"/>
        <w:outlineLvl w:val="3"/>
        <w:rPr>
          <w:b/>
          <w:sz w:val="24"/>
        </w:rPr>
      </w:pPr>
      <w:r>
        <w:rPr>
          <w:rFonts w:hint="eastAsia"/>
          <w:b/>
          <w:sz w:val="24"/>
        </w:rPr>
        <w:t>2、监狱企业声明函</w:t>
      </w:r>
    </w:p>
    <w:p>
      <w:pPr>
        <w:spacing w:after="60" w:line="360" w:lineRule="exact"/>
        <w:ind w:firstLine="420" w:firstLineChars="200"/>
        <w:rPr>
          <w:rFonts w:ascii="宋体" w:hAnsi="宋体"/>
          <w:szCs w:val="21"/>
        </w:rPr>
      </w:pPr>
      <w:r>
        <w:rPr>
          <w:rFonts w:hint="eastAsia" w:ascii="宋体" w:hAnsi="宋体"/>
          <w:szCs w:val="21"/>
        </w:rPr>
        <w:t>本单位郑重声明，根据《关于政府采购支持监狱企业发展有关问题的通知》（财库〔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exact"/>
        <w:jc w:val="center"/>
      </w:pPr>
      <w:r>
        <w:rPr>
          <w:rFonts w:hint="eastAsia"/>
          <w:szCs w:val="21"/>
        </w:rPr>
        <w:t xml:space="preserve">                             单位名称：</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ascii="宋体"/>
          <w:b/>
          <w:szCs w:val="21"/>
        </w:rPr>
      </w:pPr>
      <w:r>
        <w:rPr>
          <w:rFonts w:hint="eastAsia" w:ascii="宋体" w:hAnsi="宋体"/>
          <w:szCs w:val="21"/>
        </w:rPr>
        <w:t xml:space="preserve">                                    </w:t>
      </w:r>
    </w:p>
    <w:p>
      <w:pPr>
        <w:spacing w:after="60" w:line="360" w:lineRule="exact"/>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exact"/>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after="60" w:line="360" w:lineRule="exact"/>
        <w:ind w:firstLine="420" w:firstLineChars="200"/>
        <w:rPr>
          <w:rFonts w:ascii="宋体" w:hAnsi="宋体"/>
          <w:szCs w:val="21"/>
        </w:rPr>
      </w:pPr>
      <w:r>
        <w:rPr>
          <w:rFonts w:hint="eastAsia" w:ascii="宋体" w:hAnsi="宋体"/>
          <w:szCs w:val="21"/>
        </w:rPr>
        <w:t xml:space="preserve">                                     </w:t>
      </w:r>
    </w:p>
    <w:p>
      <w:pPr>
        <w:spacing w:after="60" w:line="360" w:lineRule="exact"/>
        <w:jc w:val="center"/>
        <w:outlineLvl w:val="3"/>
        <w:rPr>
          <w:b/>
          <w:bCs/>
        </w:rPr>
      </w:pPr>
      <w:r>
        <w:rPr>
          <w:rFonts w:hint="eastAsia"/>
          <w:b/>
          <w:sz w:val="24"/>
        </w:rPr>
        <w:t>3、残疾人福利性单位声明函</w:t>
      </w:r>
    </w:p>
    <w:p>
      <w:pPr>
        <w:spacing w:line="360" w:lineRule="exact"/>
        <w:ind w:firstLine="420" w:firstLineChars="200"/>
        <w:jc w:val="left"/>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after="60" w:line="360" w:lineRule="exact"/>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pStyle w:val="18"/>
      </w:pPr>
    </w:p>
    <w:p>
      <w:pPr>
        <w:spacing w:line="360" w:lineRule="exact"/>
        <w:jc w:val="center"/>
      </w:pPr>
      <w:r>
        <w:rPr>
          <w:rFonts w:hint="eastAsia"/>
          <w:szCs w:val="21"/>
        </w:rPr>
        <w:t xml:space="preserve">                             单位名称：</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18"/>
      </w:pPr>
    </w:p>
    <w:p>
      <w:pPr>
        <w:spacing w:line="360" w:lineRule="exact"/>
        <w:ind w:firstLine="424" w:firstLineChars="202"/>
        <w:rPr>
          <w:rFonts w:ascii="宋体" w:hAnsi="宋体"/>
          <w:szCs w:val="21"/>
        </w:rPr>
      </w:pPr>
      <w:r>
        <w:rPr>
          <w:rFonts w:hint="eastAsia" w:ascii="宋体" w:hAnsi="宋体"/>
          <w:szCs w:val="21"/>
        </w:rPr>
        <w:t>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 xml:space="preserve">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                                              </w:t>
      </w:r>
    </w:p>
    <w:p>
      <w:pPr>
        <w:spacing w:after="60"/>
        <w:ind w:firstLine="420" w:firstLineChars="200"/>
        <w:rPr>
          <w:rFonts w:ascii="宋体" w:hAnsi="宋体"/>
          <w:szCs w:val="21"/>
        </w:rPr>
      </w:pPr>
    </w:p>
    <w:p>
      <w:pPr>
        <w:pStyle w:val="4"/>
        <w:tabs>
          <w:tab w:val="left" w:pos="0"/>
        </w:tabs>
        <w:jc w:val="both"/>
        <w:rPr>
          <w:rFonts w:ascii="宋体" w:hAnsi="宋体" w:eastAsia="宋体"/>
        </w:rPr>
      </w:pPr>
      <w:r>
        <w:rPr>
          <w:rFonts w:ascii="仿宋_GB2312" w:eastAsia="仿宋_GB2312"/>
          <w:color w:val="FF0000"/>
          <w:sz w:val="30"/>
          <w:szCs w:val="30"/>
        </w:rPr>
        <w:br w:type="page"/>
      </w:r>
      <w:r>
        <w:rPr>
          <w:rFonts w:hint="eastAsia" w:ascii="宋体" w:hAnsi="宋体" w:eastAsia="宋体"/>
        </w:rPr>
        <w:t>列入政府优先采购清单的投标产品一览表</w:t>
      </w:r>
    </w:p>
    <w:tbl>
      <w:tblPr>
        <w:tblStyle w:val="42"/>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rPr>
          <w:rFonts w:ascii="仿宋_GB2312" w:eastAsia="仿宋_GB2312"/>
          <w:b/>
          <w:color w:val="FF0000"/>
          <w:sz w:val="30"/>
          <w:szCs w:val="30"/>
        </w:rPr>
      </w:pPr>
    </w:p>
    <w:p>
      <w:pPr>
        <w:widowControl/>
        <w:jc w:val="left"/>
        <w:rPr>
          <w:rFonts w:ascii="仿宋_GB2312" w:eastAsia="仿宋_GB2312"/>
          <w:b/>
          <w:color w:val="FF0000"/>
          <w:sz w:val="30"/>
          <w:szCs w:val="30"/>
        </w:rPr>
      </w:pPr>
      <w:r>
        <w:rPr>
          <w:rFonts w:ascii="仿宋_GB2312" w:eastAsia="仿宋_GB2312"/>
          <w:b/>
          <w:color w:val="FF0000"/>
          <w:sz w:val="30"/>
          <w:szCs w:val="30"/>
        </w:rPr>
        <w:br w:type="page"/>
      </w:r>
    </w:p>
    <w:p>
      <w:r>
        <w:rPr>
          <w:rFonts w:hint="eastAsia" w:ascii="仿宋_GB2312" w:eastAsia="仿宋_GB2312"/>
          <w:b/>
          <w:color w:val="FF0000"/>
          <w:sz w:val="30"/>
          <w:szCs w:val="30"/>
        </w:rPr>
        <w:t>投标文件附件（信息不公开部分）：</w:t>
      </w:r>
    </w:p>
    <w:p>
      <w:pPr>
        <w:keepNext/>
        <w:keepLines/>
        <w:spacing w:before="260" w:after="260"/>
        <w:jc w:val="center"/>
        <w:outlineLvl w:val="2"/>
        <w:rPr>
          <w:rFonts w:ascii="黑体" w:hAnsi="宋体" w:eastAsia="黑体"/>
          <w:bCs/>
          <w:kern w:val="0"/>
          <w:sz w:val="24"/>
          <w:szCs w:val="32"/>
        </w:rPr>
      </w:pPr>
      <w:r>
        <w:rPr>
          <w:rFonts w:hint="eastAsia" w:ascii="黑体" w:hAnsi="宋体" w:eastAsia="黑体"/>
          <w:bCs/>
          <w:kern w:val="0"/>
          <w:sz w:val="24"/>
          <w:szCs w:val="32"/>
        </w:rPr>
        <w:t>五、政府采购违法行为风险知悉确认书</w:t>
      </w:r>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keepNext/>
        <w:keepLines/>
        <w:spacing w:before="260" w:after="260"/>
        <w:jc w:val="center"/>
        <w:outlineLvl w:val="2"/>
        <w:rPr>
          <w:rFonts w:ascii="黑体" w:hAnsi="宋体" w:eastAsia="黑体"/>
          <w:bCs/>
          <w:kern w:val="0"/>
          <w:sz w:val="24"/>
          <w:szCs w:val="32"/>
        </w:rPr>
      </w:pPr>
      <w:r>
        <w:rPr>
          <w:rFonts w:hint="eastAsia" w:ascii="黑体" w:hAnsi="宋体" w:eastAsia="黑体"/>
          <w:bCs/>
          <w:kern w:val="0"/>
          <w:sz w:val="24"/>
          <w:szCs w:val="32"/>
        </w:rPr>
        <w:t>六、法定代表人（负责人）资格证明书</w:t>
      </w:r>
    </w:p>
    <w:p>
      <w:pPr>
        <w:rPr>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hint="eastAsia" w:ascii="黑体" w:eastAsia="黑体"/>
          <w:b/>
          <w:kern w:val="0"/>
          <w:sz w:val="24"/>
        </w:rPr>
        <w:t>（负责人）</w:t>
      </w:r>
      <w:r>
        <w:rPr>
          <w:rFonts w:hint="eastAsia"/>
          <w:szCs w:val="21"/>
        </w:rPr>
        <w:t>，特此证明。</w:t>
      </w:r>
    </w:p>
    <w:p>
      <w:pPr>
        <w:spacing w:line="360" w:lineRule="auto"/>
        <w:rPr>
          <w:szCs w:val="21"/>
        </w:rPr>
      </w:pPr>
      <w:r>
        <w:rPr>
          <w:rFonts w:hint="eastAsia"/>
          <w:szCs w:val="21"/>
        </w:rPr>
        <w:t>说明：1、法定代表人为企业事业单位、国家机关、社会团体的主要负责人。</w:t>
      </w:r>
    </w:p>
    <w:p>
      <w:pPr>
        <w:rPr>
          <w:szCs w:val="21"/>
        </w:rPr>
      </w:pPr>
      <w:r>
        <w:rPr>
          <w:rFonts w:hint="eastAsia"/>
          <w:szCs w:val="21"/>
        </w:rPr>
        <w:t xml:space="preserve">      2、内容必须填写真实、清楚，涂改无效，不得转让、买卖。</w:t>
      </w:r>
    </w:p>
    <w:p>
      <w:pPr>
        <w:spacing w:line="360" w:lineRule="auto"/>
        <w:rPr>
          <w:b/>
          <w:szCs w:val="21"/>
        </w:rPr>
      </w:pPr>
    </w:p>
    <w:p>
      <w:pPr>
        <w:spacing w:line="360" w:lineRule="auto"/>
        <w:rPr>
          <w:b/>
          <w:sz w:val="24"/>
        </w:rPr>
      </w:pPr>
      <w:r>
        <w:rPr>
          <w:rFonts w:hint="eastAsia"/>
          <w:b/>
          <w:sz w:val="24"/>
        </w:rPr>
        <w:t>附：要求必须提供法定代表人（负责人）身份证扫描件（正反两面）。</w:t>
      </w:r>
    </w:p>
    <w:p>
      <w:pPr>
        <w:pStyle w:val="18"/>
      </w:pPr>
    </w:p>
    <w:p>
      <w:pPr>
        <w:keepNext/>
        <w:keepLines/>
        <w:spacing w:before="260" w:after="260"/>
        <w:jc w:val="center"/>
        <w:outlineLvl w:val="2"/>
        <w:rPr>
          <w:rFonts w:ascii="黑体" w:hAnsi="宋体" w:eastAsia="黑体"/>
          <w:bCs/>
          <w:sz w:val="24"/>
        </w:rPr>
      </w:pPr>
      <w:r>
        <w:rPr>
          <w:rFonts w:hint="eastAsia" w:ascii="黑体" w:hAnsi="宋体" w:eastAsia="黑体"/>
          <w:bCs/>
          <w:kern w:val="0"/>
          <w:sz w:val="24"/>
        </w:rPr>
        <w:t>七、投标文件签署授权委托书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w:t>
      </w:r>
      <w:r>
        <w:rPr>
          <w:rFonts w:hint="eastAsia" w:ascii="黑体" w:eastAsia="黑体"/>
          <w:b/>
          <w:kern w:val="0"/>
          <w:sz w:val="24"/>
        </w:rPr>
        <w:t>（负责人）</w:t>
      </w:r>
      <w:r>
        <w:rPr>
          <w:rFonts w:hint="eastAsia"/>
          <w:szCs w:val="21"/>
        </w:rPr>
        <w:t>，现授权委托</w:t>
      </w:r>
      <w:r>
        <w:rPr>
          <w:rFonts w:hint="eastAsia"/>
          <w:szCs w:val="21"/>
          <w:u w:val="single"/>
        </w:rPr>
        <w:t xml:space="preserve">            </w:t>
      </w:r>
      <w:r>
        <w:rPr>
          <w:rFonts w:hint="eastAsia"/>
          <w:szCs w:val="21"/>
        </w:rPr>
        <w:t>（姓名）为我公司签署本项目已递交的投标文件的法定代表人的授权委托代理人，代理人全权代表我所签署的本项目已递交的投标文件内容我均承认。</w:t>
      </w:r>
    </w:p>
    <w:p>
      <w:pPr>
        <w:spacing w:line="360" w:lineRule="auto"/>
        <w:ind w:firstLine="420"/>
        <w:rPr>
          <w:szCs w:val="21"/>
        </w:rPr>
      </w:pPr>
      <w:r>
        <w:rPr>
          <w:rFonts w:hint="eastAsia"/>
          <w:szCs w:val="21"/>
        </w:rPr>
        <w:t>代理人无转委托权，特此委托。</w:t>
      </w:r>
    </w:p>
    <w:p>
      <w:pPr>
        <w:spacing w:line="360" w:lineRule="auto"/>
        <w:ind w:firstLine="420"/>
        <w:rPr>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pacing w:line="360" w:lineRule="auto"/>
        <w:ind w:left="540" w:leftChars="257"/>
        <w:rPr>
          <w:szCs w:val="21"/>
          <w:u w:val="single"/>
        </w:rPr>
      </w:pPr>
    </w:p>
    <w:p>
      <w:pPr>
        <w:spacing w:line="360" w:lineRule="auto"/>
        <w:rPr>
          <w:b/>
          <w:sz w:val="24"/>
        </w:rPr>
      </w:pPr>
      <w:r>
        <w:rPr>
          <w:rFonts w:hint="eastAsia"/>
          <w:b/>
          <w:sz w:val="24"/>
        </w:rPr>
        <w:t>附：要求必须提供代理人身份证扫描件（正反两面）。</w:t>
      </w:r>
    </w:p>
    <w:p>
      <w:pPr>
        <w:pStyle w:val="18"/>
      </w:pPr>
    </w:p>
    <w:p>
      <w:pPr>
        <w:keepNext/>
        <w:keepLines/>
        <w:spacing w:before="260" w:after="260"/>
        <w:jc w:val="center"/>
        <w:outlineLvl w:val="2"/>
        <w:rPr>
          <w:rFonts w:ascii="黑体" w:hAnsi="宋体" w:eastAsia="黑体"/>
          <w:bCs/>
          <w:kern w:val="0"/>
          <w:sz w:val="24"/>
        </w:rPr>
      </w:pPr>
      <w:r>
        <w:rPr>
          <w:rFonts w:hint="eastAsia" w:ascii="黑体" w:hAnsi="宋体" w:eastAsia="黑体"/>
          <w:bCs/>
          <w:kern w:val="0"/>
          <w:sz w:val="24"/>
        </w:rPr>
        <w:t>八、实质性条款响应情况表</w:t>
      </w:r>
    </w:p>
    <w:tbl>
      <w:tblPr>
        <w:tblStyle w:val="4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21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5215" w:type="dxa"/>
          </w:tcPr>
          <w:p>
            <w:pPr>
              <w:adjustRightInd w:val="0"/>
              <w:snapToGrid w:val="0"/>
              <w:spacing w:line="360" w:lineRule="auto"/>
              <w:jc w:val="center"/>
              <w:rPr>
                <w:rFonts w:ascii="宋体" w:hAnsi="宋体"/>
                <w:kern w:val="0"/>
                <w:szCs w:val="21"/>
              </w:rPr>
            </w:pPr>
            <w:r>
              <w:rPr>
                <w:rFonts w:hint="eastAsia" w:ascii="宋体" w:hAnsi="宋体"/>
                <w:kern w:val="0"/>
                <w:szCs w:val="21"/>
              </w:rPr>
              <w:t>采购人要求内容</w:t>
            </w:r>
          </w:p>
        </w:tc>
        <w:tc>
          <w:tcPr>
            <w:tcW w:w="2693" w:type="dxa"/>
          </w:tcPr>
          <w:p>
            <w:pPr>
              <w:adjustRightInd w:val="0"/>
              <w:snapToGrid w:val="0"/>
              <w:spacing w:line="360" w:lineRule="auto"/>
              <w:jc w:val="center"/>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15" w:type="dxa"/>
          </w:tcPr>
          <w:p>
            <w:pPr>
              <w:pStyle w:val="195"/>
              <w:adjustRightInd w:val="0"/>
              <w:snapToGrid w:val="0"/>
              <w:spacing w:before="0" w:beforeAutospacing="0" w:after="0" w:afterAutospacing="0" w:line="360" w:lineRule="auto"/>
              <w:rPr>
                <w:rFonts w:asciiTheme="minorEastAsia" w:hAnsiTheme="minorEastAsia" w:eastAsiaTheme="minorEastAsia"/>
                <w:bCs/>
                <w:szCs w:val="21"/>
              </w:rPr>
            </w:pPr>
          </w:p>
        </w:tc>
        <w:tc>
          <w:tcPr>
            <w:tcW w:w="2693"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15" w:type="dxa"/>
          </w:tcPr>
          <w:p>
            <w:pPr>
              <w:pStyle w:val="195"/>
              <w:adjustRightInd w:val="0"/>
              <w:snapToGrid w:val="0"/>
              <w:spacing w:before="0" w:beforeAutospacing="0" w:after="0" w:afterAutospacing="0" w:line="360" w:lineRule="auto"/>
              <w:rPr>
                <w:rFonts w:ascii="宋体" w:hAnsi="宋体" w:eastAsia="宋体"/>
                <w:snapToGrid w:val="0"/>
                <w:color w:val="auto"/>
                <w:sz w:val="21"/>
                <w:szCs w:val="21"/>
              </w:rPr>
            </w:pPr>
          </w:p>
        </w:tc>
        <w:tc>
          <w:tcPr>
            <w:tcW w:w="2693"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5215" w:type="dxa"/>
          </w:tcPr>
          <w:p>
            <w:pPr>
              <w:pStyle w:val="195"/>
              <w:adjustRightInd w:val="0"/>
              <w:snapToGrid w:val="0"/>
              <w:spacing w:before="0" w:beforeAutospacing="0" w:after="0" w:afterAutospacing="0" w:line="360" w:lineRule="auto"/>
              <w:rPr>
                <w:rFonts w:ascii="宋体" w:hAnsi="宋体" w:eastAsia="宋体"/>
                <w:snapToGrid w:val="0"/>
                <w:color w:val="auto"/>
                <w:sz w:val="21"/>
                <w:szCs w:val="21"/>
              </w:rPr>
            </w:pPr>
          </w:p>
        </w:tc>
        <w:tc>
          <w:tcPr>
            <w:tcW w:w="2693"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15" w:type="dxa"/>
          </w:tcPr>
          <w:p>
            <w:pPr>
              <w:pStyle w:val="195"/>
              <w:adjustRightInd w:val="0"/>
              <w:snapToGrid w:val="0"/>
              <w:spacing w:before="0" w:beforeAutospacing="0" w:after="0" w:afterAutospacing="0" w:line="360" w:lineRule="auto"/>
              <w:rPr>
                <w:rFonts w:ascii="宋体" w:hAnsi="宋体" w:eastAsia="宋体"/>
                <w:snapToGrid w:val="0"/>
                <w:color w:val="auto"/>
                <w:sz w:val="21"/>
                <w:szCs w:val="21"/>
              </w:rPr>
            </w:pPr>
          </w:p>
        </w:tc>
        <w:tc>
          <w:tcPr>
            <w:tcW w:w="2693"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5215" w:type="dxa"/>
          </w:tcPr>
          <w:p>
            <w:pPr>
              <w:pStyle w:val="195"/>
              <w:adjustRightInd w:val="0"/>
              <w:snapToGrid w:val="0"/>
              <w:spacing w:before="0" w:beforeAutospacing="0" w:after="0" w:afterAutospacing="0" w:line="360" w:lineRule="auto"/>
              <w:rPr>
                <w:rFonts w:ascii="宋体" w:hAnsi="宋体" w:eastAsia="宋体"/>
                <w:snapToGrid w:val="0"/>
                <w:color w:val="auto"/>
                <w:sz w:val="21"/>
                <w:szCs w:val="21"/>
              </w:rPr>
            </w:pPr>
          </w:p>
        </w:tc>
        <w:tc>
          <w:tcPr>
            <w:tcW w:w="2693"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5215" w:type="dxa"/>
            <w:vAlign w:val="center"/>
          </w:tcPr>
          <w:p>
            <w:pPr>
              <w:pStyle w:val="79"/>
              <w:adjustRightInd w:val="0"/>
              <w:spacing w:line="312" w:lineRule="auto"/>
              <w:ind w:firstLine="0" w:firstLineChars="0"/>
              <w:rPr>
                <w:rFonts w:ascii="宋体" w:hAnsi="宋体" w:cs="宋体"/>
                <w:szCs w:val="21"/>
              </w:rPr>
            </w:pPr>
          </w:p>
        </w:tc>
        <w:tc>
          <w:tcPr>
            <w:tcW w:w="2693" w:type="dxa"/>
          </w:tcPr>
          <w:p>
            <w:pPr>
              <w:adjustRightInd w:val="0"/>
              <w:snapToGrid w:val="0"/>
              <w:spacing w:line="360" w:lineRule="auto"/>
              <w:rPr>
                <w:rFonts w:ascii="宋体" w:hAnsi="宋体"/>
                <w:kern w:val="0"/>
                <w:szCs w:val="21"/>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注：1.“</w:t>
      </w:r>
      <w:r>
        <w:rPr>
          <w:rFonts w:hint="eastAsia" w:ascii="宋体" w:hAnsi="宋体"/>
          <w:kern w:val="0"/>
          <w:szCs w:val="21"/>
        </w:rPr>
        <w:t>采购人要求内容</w:t>
      </w:r>
      <w:r>
        <w:rPr>
          <w:rFonts w:hint="eastAsia" w:asciiTheme="minorEastAsia" w:hAnsiTheme="minorEastAsia" w:eastAsiaTheme="minorEastAsia"/>
          <w:bCs/>
          <w:kern w:val="0"/>
          <w:szCs w:val="21"/>
        </w:rPr>
        <w:t>”为</w:t>
      </w:r>
      <w:r>
        <w:rPr>
          <w:rFonts w:hint="eastAsia" w:asciiTheme="minorEastAsia" w:hAnsiTheme="minorEastAsia" w:eastAsiaTheme="minorEastAsia"/>
          <w:b/>
          <w:szCs w:val="21"/>
          <w:highlight w:val="yellow"/>
        </w:rPr>
        <w:t>“第一册  专用条款/第二章  招标项目需求”</w:t>
      </w:r>
      <w:r>
        <w:rPr>
          <w:rFonts w:hint="eastAsia" w:asciiTheme="minorEastAsia" w:hAnsiTheme="minorEastAsia" w:eastAsiaTheme="minorEastAsia"/>
          <w:bCs/>
          <w:kern w:val="0"/>
          <w:szCs w:val="21"/>
        </w:rPr>
        <w:t>中的不可负偏离条款，即“实质性条款”。</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2.“投标人响应情况”一栏应如实填写“响应”或“不响应”。</w:t>
      </w:r>
    </w:p>
    <w:p>
      <w:pPr>
        <w:spacing w:line="360" w:lineRule="auto"/>
        <w:rPr>
          <w:rFonts w:ascii="宋体" w:hAnsi="宋体"/>
          <w:szCs w:val="21"/>
        </w:rPr>
      </w:pPr>
      <w:r>
        <w:rPr>
          <w:rFonts w:hint="eastAsia" w:asciiTheme="minorEastAsia" w:hAnsiTheme="minorEastAsia" w:eastAsiaTheme="minorEastAsia"/>
          <w:bCs/>
          <w:kern w:val="0"/>
          <w:szCs w:val="21"/>
        </w:rPr>
        <w:t>3.“实质性条款响应情况表”与投标文件其它内容冲突的，以“实质性条款响应情况表”为准</w:t>
      </w:r>
      <w:r>
        <w:rPr>
          <w:rFonts w:hint="eastAsia" w:ascii="宋体" w:hAnsi="宋体"/>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w:t>
      </w:r>
      <w:r>
        <w:rPr>
          <w:rFonts w:hint="eastAsia" w:ascii="宋体" w:hAnsi="宋体"/>
          <w:kern w:val="0"/>
          <w:szCs w:val="21"/>
        </w:rPr>
        <w:t>采购人要求内容</w:t>
      </w:r>
      <w:r>
        <w:rPr>
          <w:rFonts w:hint="eastAsia" w:asciiTheme="minorEastAsia" w:hAnsiTheme="minorEastAsia" w:eastAsiaTheme="minorEastAsia"/>
          <w:bCs/>
          <w:kern w:val="0"/>
          <w:szCs w:val="21"/>
        </w:rPr>
        <w:t>”中涉及提供证明材料的，应附在本表后，未提供证明材料或证明材料与响应情况不相符的，按负偏离处理。</w:t>
      </w:r>
    </w:p>
    <w:p>
      <w:pPr>
        <w:pStyle w:val="18"/>
      </w:pPr>
    </w:p>
    <w:p>
      <w:pPr>
        <w:pStyle w:val="3"/>
        <w:jc w:val="center"/>
        <w:rPr>
          <w:rFonts w:ascii="黑体" w:eastAsia="黑体"/>
          <w:b w:val="0"/>
          <w:sz w:val="24"/>
          <w:szCs w:val="24"/>
        </w:rPr>
      </w:pPr>
      <w:r>
        <w:rPr>
          <w:rFonts w:hint="eastAsia" w:ascii="黑体" w:eastAsia="黑体"/>
          <w:b w:val="0"/>
          <w:sz w:val="24"/>
          <w:szCs w:val="24"/>
        </w:rPr>
        <w:t>九、分项报价表</w:t>
      </w:r>
    </w:p>
    <w:p>
      <w:pPr>
        <w:numPr>
          <w:ilvl w:val="0"/>
          <w:numId w:val="7"/>
        </w:numPr>
        <w:jc w:val="center"/>
        <w:rPr>
          <w:b/>
          <w:sz w:val="24"/>
        </w:rPr>
      </w:pPr>
      <w:r>
        <w:rPr>
          <w:rFonts w:hint="eastAsia"/>
          <w:b/>
          <w:sz w:val="24"/>
        </w:rPr>
        <w:t>分项报价表</w:t>
      </w:r>
    </w:p>
    <w:p/>
    <w:tbl>
      <w:tblPr>
        <w:tblStyle w:val="42"/>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15"/>
        <w:gridCol w:w="686"/>
        <w:gridCol w:w="851"/>
        <w:gridCol w:w="850"/>
        <w:gridCol w:w="851"/>
        <w:gridCol w:w="708"/>
        <w:gridCol w:w="567"/>
        <w:gridCol w:w="617"/>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szCs w:val="21"/>
              </w:rPr>
            </w:pPr>
            <w:r>
              <w:rPr>
                <w:rFonts w:hint="eastAsia"/>
                <w:szCs w:val="21"/>
              </w:rPr>
              <w:t>序号</w:t>
            </w:r>
          </w:p>
        </w:tc>
        <w:tc>
          <w:tcPr>
            <w:tcW w:w="1015" w:type="dxa"/>
            <w:vAlign w:val="center"/>
          </w:tcPr>
          <w:p>
            <w:pPr>
              <w:jc w:val="center"/>
              <w:rPr>
                <w:szCs w:val="21"/>
              </w:rPr>
            </w:pPr>
            <w:r>
              <w:rPr>
                <w:rFonts w:hint="eastAsia"/>
                <w:szCs w:val="21"/>
              </w:rPr>
              <w:t>货物名称</w:t>
            </w:r>
          </w:p>
        </w:tc>
        <w:tc>
          <w:tcPr>
            <w:tcW w:w="686" w:type="dxa"/>
            <w:vAlign w:val="center"/>
          </w:tcPr>
          <w:p>
            <w:pPr>
              <w:jc w:val="center"/>
              <w:rPr>
                <w:szCs w:val="21"/>
              </w:rPr>
            </w:pPr>
            <w:r>
              <w:rPr>
                <w:rFonts w:hint="eastAsia"/>
                <w:szCs w:val="21"/>
              </w:rPr>
              <w:t>品牌</w:t>
            </w:r>
          </w:p>
        </w:tc>
        <w:tc>
          <w:tcPr>
            <w:tcW w:w="851" w:type="dxa"/>
            <w:vAlign w:val="center"/>
          </w:tcPr>
          <w:p>
            <w:pPr>
              <w:jc w:val="center"/>
              <w:rPr>
                <w:szCs w:val="21"/>
              </w:rPr>
            </w:pPr>
            <w:r>
              <w:rPr>
                <w:rFonts w:hint="eastAsia"/>
                <w:szCs w:val="21"/>
              </w:rPr>
              <w:t>规格/型号</w:t>
            </w:r>
          </w:p>
        </w:tc>
        <w:tc>
          <w:tcPr>
            <w:tcW w:w="850" w:type="dxa"/>
            <w:vAlign w:val="center"/>
          </w:tcPr>
          <w:p>
            <w:pPr>
              <w:jc w:val="center"/>
              <w:rPr>
                <w:b/>
                <w:szCs w:val="21"/>
              </w:rPr>
            </w:pPr>
            <w:r>
              <w:rPr>
                <w:rFonts w:hint="eastAsia"/>
                <w:b/>
                <w:szCs w:val="21"/>
              </w:rPr>
              <w:t>原产地</w:t>
            </w:r>
          </w:p>
        </w:tc>
        <w:tc>
          <w:tcPr>
            <w:tcW w:w="851" w:type="dxa"/>
            <w:vAlign w:val="center"/>
          </w:tcPr>
          <w:p>
            <w:pPr>
              <w:jc w:val="center"/>
              <w:rPr>
                <w:b/>
                <w:szCs w:val="21"/>
              </w:rPr>
            </w:pPr>
            <w:r>
              <w:rPr>
                <w:rFonts w:hint="eastAsia"/>
                <w:snapToGrid w:val="0"/>
                <w:kern w:val="0"/>
              </w:rPr>
              <w:t>是否为进口产品</w:t>
            </w:r>
          </w:p>
        </w:tc>
        <w:tc>
          <w:tcPr>
            <w:tcW w:w="708" w:type="dxa"/>
            <w:vAlign w:val="center"/>
          </w:tcPr>
          <w:p>
            <w:pPr>
              <w:jc w:val="center"/>
              <w:rPr>
                <w:szCs w:val="21"/>
              </w:rPr>
            </w:pPr>
            <w:r>
              <w:rPr>
                <w:rFonts w:hint="eastAsia"/>
                <w:szCs w:val="21"/>
              </w:rPr>
              <w:t>制造商名称</w:t>
            </w:r>
          </w:p>
        </w:tc>
        <w:tc>
          <w:tcPr>
            <w:tcW w:w="567" w:type="dxa"/>
            <w:vAlign w:val="center"/>
          </w:tcPr>
          <w:p>
            <w:pPr>
              <w:jc w:val="center"/>
              <w:rPr>
                <w:szCs w:val="21"/>
              </w:rPr>
            </w:pPr>
            <w:r>
              <w:rPr>
                <w:rFonts w:hint="eastAsia"/>
                <w:szCs w:val="21"/>
              </w:rPr>
              <w:t>数量</w:t>
            </w:r>
          </w:p>
        </w:tc>
        <w:tc>
          <w:tcPr>
            <w:tcW w:w="617" w:type="dxa"/>
            <w:vAlign w:val="center"/>
          </w:tcPr>
          <w:p>
            <w:pPr>
              <w:jc w:val="center"/>
              <w:rPr>
                <w:szCs w:val="21"/>
              </w:rPr>
            </w:pPr>
            <w:r>
              <w:rPr>
                <w:rFonts w:hint="eastAsia"/>
                <w:szCs w:val="21"/>
              </w:rPr>
              <w:t>单位</w:t>
            </w:r>
          </w:p>
        </w:tc>
        <w:tc>
          <w:tcPr>
            <w:tcW w:w="900" w:type="dxa"/>
            <w:vAlign w:val="center"/>
          </w:tcPr>
          <w:p>
            <w:pPr>
              <w:jc w:val="center"/>
              <w:rPr>
                <w:szCs w:val="21"/>
              </w:rPr>
            </w:pPr>
            <w:r>
              <w:rPr>
                <w:rFonts w:hint="eastAsia"/>
                <w:szCs w:val="21"/>
              </w:rPr>
              <w:t>单价(元)</w:t>
            </w:r>
          </w:p>
        </w:tc>
        <w:tc>
          <w:tcPr>
            <w:tcW w:w="900" w:type="dxa"/>
            <w:vAlign w:val="center"/>
          </w:tcPr>
          <w:p>
            <w:pPr>
              <w:jc w:val="center"/>
              <w:rPr>
                <w:szCs w:val="21"/>
              </w:rPr>
            </w:pPr>
            <w:r>
              <w:rPr>
                <w:rFonts w:hint="eastAsia"/>
                <w:szCs w:val="21"/>
              </w:rPr>
              <w:t>合价(元)</w:t>
            </w:r>
          </w:p>
        </w:tc>
        <w:tc>
          <w:tcPr>
            <w:tcW w:w="956" w:type="dxa"/>
            <w:vAlign w:val="center"/>
          </w:tcPr>
          <w:p>
            <w:pPr>
              <w:jc w:val="center"/>
              <w:rPr>
                <w:szCs w:val="21"/>
              </w:rPr>
            </w:pPr>
            <w:r>
              <w:rPr>
                <w:rFonts w:hint="eastAsia"/>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sz w:val="24"/>
              </w:rPr>
            </w:pPr>
          </w:p>
        </w:tc>
        <w:tc>
          <w:tcPr>
            <w:tcW w:w="1015" w:type="dxa"/>
          </w:tcPr>
          <w:p>
            <w:pPr>
              <w:rPr>
                <w:sz w:val="24"/>
              </w:rPr>
            </w:pPr>
          </w:p>
        </w:tc>
        <w:tc>
          <w:tcPr>
            <w:tcW w:w="686" w:type="dxa"/>
          </w:tcPr>
          <w:p>
            <w:pPr>
              <w:rPr>
                <w:sz w:val="24"/>
              </w:rPr>
            </w:pPr>
          </w:p>
        </w:tc>
        <w:tc>
          <w:tcPr>
            <w:tcW w:w="851" w:type="dxa"/>
          </w:tcPr>
          <w:p>
            <w:pPr>
              <w:rPr>
                <w:sz w:val="24"/>
              </w:rPr>
            </w:pPr>
          </w:p>
        </w:tc>
        <w:tc>
          <w:tcPr>
            <w:tcW w:w="850" w:type="dxa"/>
          </w:tcPr>
          <w:p>
            <w:pPr>
              <w:rPr>
                <w:sz w:val="24"/>
              </w:rPr>
            </w:pPr>
          </w:p>
        </w:tc>
        <w:tc>
          <w:tcPr>
            <w:tcW w:w="851" w:type="dxa"/>
          </w:tcPr>
          <w:p>
            <w:pPr>
              <w:rPr>
                <w:sz w:val="24"/>
              </w:rPr>
            </w:pPr>
          </w:p>
        </w:tc>
        <w:tc>
          <w:tcPr>
            <w:tcW w:w="708" w:type="dxa"/>
          </w:tcPr>
          <w:p>
            <w:pPr>
              <w:rPr>
                <w:sz w:val="24"/>
              </w:rPr>
            </w:pPr>
          </w:p>
        </w:tc>
        <w:tc>
          <w:tcPr>
            <w:tcW w:w="567" w:type="dxa"/>
          </w:tcPr>
          <w:p>
            <w:pPr>
              <w:rPr>
                <w:sz w:val="24"/>
              </w:rPr>
            </w:pPr>
          </w:p>
        </w:tc>
        <w:tc>
          <w:tcPr>
            <w:tcW w:w="617" w:type="dxa"/>
          </w:tcPr>
          <w:p>
            <w:pPr>
              <w:rPr>
                <w:sz w:val="24"/>
              </w:rPr>
            </w:pPr>
          </w:p>
        </w:tc>
        <w:tc>
          <w:tcPr>
            <w:tcW w:w="900" w:type="dxa"/>
          </w:tcPr>
          <w:p>
            <w:pPr>
              <w:rPr>
                <w:sz w:val="24"/>
              </w:rPr>
            </w:pPr>
          </w:p>
        </w:tc>
        <w:tc>
          <w:tcPr>
            <w:tcW w:w="900" w:type="dxa"/>
          </w:tcPr>
          <w:p>
            <w:pPr>
              <w:rPr>
                <w:sz w:val="24"/>
              </w:rPr>
            </w:pPr>
          </w:p>
        </w:tc>
        <w:tc>
          <w:tcPr>
            <w:tcW w:w="95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sz w:val="24"/>
              </w:rPr>
            </w:pPr>
          </w:p>
        </w:tc>
        <w:tc>
          <w:tcPr>
            <w:tcW w:w="1015" w:type="dxa"/>
          </w:tcPr>
          <w:p>
            <w:pPr>
              <w:rPr>
                <w:sz w:val="24"/>
              </w:rPr>
            </w:pPr>
          </w:p>
        </w:tc>
        <w:tc>
          <w:tcPr>
            <w:tcW w:w="686" w:type="dxa"/>
          </w:tcPr>
          <w:p>
            <w:pPr>
              <w:rPr>
                <w:sz w:val="24"/>
              </w:rPr>
            </w:pPr>
          </w:p>
        </w:tc>
        <w:tc>
          <w:tcPr>
            <w:tcW w:w="851" w:type="dxa"/>
          </w:tcPr>
          <w:p>
            <w:pPr>
              <w:rPr>
                <w:sz w:val="24"/>
              </w:rPr>
            </w:pPr>
          </w:p>
        </w:tc>
        <w:tc>
          <w:tcPr>
            <w:tcW w:w="850" w:type="dxa"/>
          </w:tcPr>
          <w:p>
            <w:pPr>
              <w:rPr>
                <w:sz w:val="24"/>
              </w:rPr>
            </w:pPr>
          </w:p>
        </w:tc>
        <w:tc>
          <w:tcPr>
            <w:tcW w:w="851" w:type="dxa"/>
          </w:tcPr>
          <w:p>
            <w:pPr>
              <w:rPr>
                <w:sz w:val="24"/>
              </w:rPr>
            </w:pPr>
          </w:p>
        </w:tc>
        <w:tc>
          <w:tcPr>
            <w:tcW w:w="708" w:type="dxa"/>
          </w:tcPr>
          <w:p>
            <w:pPr>
              <w:rPr>
                <w:sz w:val="24"/>
              </w:rPr>
            </w:pPr>
          </w:p>
        </w:tc>
        <w:tc>
          <w:tcPr>
            <w:tcW w:w="567" w:type="dxa"/>
          </w:tcPr>
          <w:p>
            <w:pPr>
              <w:rPr>
                <w:sz w:val="24"/>
              </w:rPr>
            </w:pPr>
          </w:p>
        </w:tc>
        <w:tc>
          <w:tcPr>
            <w:tcW w:w="617" w:type="dxa"/>
          </w:tcPr>
          <w:p>
            <w:pPr>
              <w:rPr>
                <w:sz w:val="24"/>
              </w:rPr>
            </w:pPr>
          </w:p>
        </w:tc>
        <w:tc>
          <w:tcPr>
            <w:tcW w:w="900" w:type="dxa"/>
          </w:tcPr>
          <w:p>
            <w:pPr>
              <w:rPr>
                <w:sz w:val="24"/>
              </w:rPr>
            </w:pPr>
          </w:p>
        </w:tc>
        <w:tc>
          <w:tcPr>
            <w:tcW w:w="900" w:type="dxa"/>
          </w:tcPr>
          <w:p>
            <w:pPr>
              <w:rPr>
                <w:sz w:val="24"/>
              </w:rPr>
            </w:pPr>
          </w:p>
        </w:tc>
        <w:tc>
          <w:tcPr>
            <w:tcW w:w="95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sz w:val="24"/>
              </w:rPr>
            </w:pPr>
          </w:p>
        </w:tc>
        <w:tc>
          <w:tcPr>
            <w:tcW w:w="1015" w:type="dxa"/>
          </w:tcPr>
          <w:p>
            <w:pPr>
              <w:rPr>
                <w:sz w:val="24"/>
              </w:rPr>
            </w:pPr>
          </w:p>
        </w:tc>
        <w:tc>
          <w:tcPr>
            <w:tcW w:w="686" w:type="dxa"/>
          </w:tcPr>
          <w:p>
            <w:pPr>
              <w:rPr>
                <w:sz w:val="24"/>
              </w:rPr>
            </w:pPr>
          </w:p>
        </w:tc>
        <w:tc>
          <w:tcPr>
            <w:tcW w:w="851" w:type="dxa"/>
          </w:tcPr>
          <w:p>
            <w:pPr>
              <w:rPr>
                <w:sz w:val="24"/>
              </w:rPr>
            </w:pPr>
          </w:p>
        </w:tc>
        <w:tc>
          <w:tcPr>
            <w:tcW w:w="850" w:type="dxa"/>
          </w:tcPr>
          <w:p>
            <w:pPr>
              <w:rPr>
                <w:sz w:val="24"/>
              </w:rPr>
            </w:pPr>
          </w:p>
        </w:tc>
        <w:tc>
          <w:tcPr>
            <w:tcW w:w="851" w:type="dxa"/>
          </w:tcPr>
          <w:p>
            <w:pPr>
              <w:rPr>
                <w:sz w:val="24"/>
              </w:rPr>
            </w:pPr>
          </w:p>
        </w:tc>
        <w:tc>
          <w:tcPr>
            <w:tcW w:w="708" w:type="dxa"/>
          </w:tcPr>
          <w:p>
            <w:pPr>
              <w:rPr>
                <w:sz w:val="24"/>
              </w:rPr>
            </w:pPr>
          </w:p>
        </w:tc>
        <w:tc>
          <w:tcPr>
            <w:tcW w:w="567" w:type="dxa"/>
          </w:tcPr>
          <w:p>
            <w:pPr>
              <w:rPr>
                <w:sz w:val="24"/>
              </w:rPr>
            </w:pPr>
          </w:p>
        </w:tc>
        <w:tc>
          <w:tcPr>
            <w:tcW w:w="617" w:type="dxa"/>
          </w:tcPr>
          <w:p>
            <w:pPr>
              <w:rPr>
                <w:sz w:val="24"/>
              </w:rPr>
            </w:pPr>
          </w:p>
        </w:tc>
        <w:tc>
          <w:tcPr>
            <w:tcW w:w="900" w:type="dxa"/>
          </w:tcPr>
          <w:p>
            <w:pPr>
              <w:rPr>
                <w:sz w:val="24"/>
              </w:rPr>
            </w:pPr>
          </w:p>
        </w:tc>
        <w:tc>
          <w:tcPr>
            <w:tcW w:w="900" w:type="dxa"/>
          </w:tcPr>
          <w:p>
            <w:pPr>
              <w:rPr>
                <w:sz w:val="24"/>
              </w:rPr>
            </w:pPr>
          </w:p>
        </w:tc>
        <w:tc>
          <w:tcPr>
            <w:tcW w:w="95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sz w:val="24"/>
              </w:rPr>
            </w:pPr>
          </w:p>
        </w:tc>
        <w:tc>
          <w:tcPr>
            <w:tcW w:w="1015" w:type="dxa"/>
          </w:tcPr>
          <w:p>
            <w:pPr>
              <w:rPr>
                <w:sz w:val="24"/>
              </w:rPr>
            </w:pPr>
          </w:p>
        </w:tc>
        <w:tc>
          <w:tcPr>
            <w:tcW w:w="686" w:type="dxa"/>
          </w:tcPr>
          <w:p>
            <w:pPr>
              <w:rPr>
                <w:sz w:val="24"/>
              </w:rPr>
            </w:pPr>
          </w:p>
        </w:tc>
        <w:tc>
          <w:tcPr>
            <w:tcW w:w="851" w:type="dxa"/>
          </w:tcPr>
          <w:p>
            <w:pPr>
              <w:rPr>
                <w:sz w:val="24"/>
              </w:rPr>
            </w:pPr>
          </w:p>
        </w:tc>
        <w:tc>
          <w:tcPr>
            <w:tcW w:w="850" w:type="dxa"/>
          </w:tcPr>
          <w:p>
            <w:pPr>
              <w:rPr>
                <w:sz w:val="24"/>
              </w:rPr>
            </w:pPr>
          </w:p>
        </w:tc>
        <w:tc>
          <w:tcPr>
            <w:tcW w:w="851" w:type="dxa"/>
          </w:tcPr>
          <w:p>
            <w:pPr>
              <w:rPr>
                <w:sz w:val="24"/>
              </w:rPr>
            </w:pPr>
          </w:p>
        </w:tc>
        <w:tc>
          <w:tcPr>
            <w:tcW w:w="708" w:type="dxa"/>
          </w:tcPr>
          <w:p>
            <w:pPr>
              <w:rPr>
                <w:sz w:val="24"/>
              </w:rPr>
            </w:pPr>
          </w:p>
        </w:tc>
        <w:tc>
          <w:tcPr>
            <w:tcW w:w="567" w:type="dxa"/>
          </w:tcPr>
          <w:p>
            <w:pPr>
              <w:rPr>
                <w:sz w:val="24"/>
              </w:rPr>
            </w:pPr>
          </w:p>
        </w:tc>
        <w:tc>
          <w:tcPr>
            <w:tcW w:w="617" w:type="dxa"/>
          </w:tcPr>
          <w:p>
            <w:pPr>
              <w:rPr>
                <w:sz w:val="24"/>
              </w:rPr>
            </w:pPr>
          </w:p>
        </w:tc>
        <w:tc>
          <w:tcPr>
            <w:tcW w:w="900" w:type="dxa"/>
          </w:tcPr>
          <w:p>
            <w:pPr>
              <w:rPr>
                <w:sz w:val="24"/>
              </w:rPr>
            </w:pPr>
          </w:p>
        </w:tc>
        <w:tc>
          <w:tcPr>
            <w:tcW w:w="900" w:type="dxa"/>
          </w:tcPr>
          <w:p>
            <w:pPr>
              <w:rPr>
                <w:sz w:val="24"/>
              </w:rPr>
            </w:pPr>
          </w:p>
        </w:tc>
        <w:tc>
          <w:tcPr>
            <w:tcW w:w="95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sz w:val="24"/>
              </w:rPr>
            </w:pPr>
          </w:p>
        </w:tc>
        <w:tc>
          <w:tcPr>
            <w:tcW w:w="1015" w:type="dxa"/>
          </w:tcPr>
          <w:p>
            <w:pPr>
              <w:rPr>
                <w:sz w:val="24"/>
              </w:rPr>
            </w:pPr>
          </w:p>
        </w:tc>
        <w:tc>
          <w:tcPr>
            <w:tcW w:w="686" w:type="dxa"/>
          </w:tcPr>
          <w:p>
            <w:pPr>
              <w:rPr>
                <w:sz w:val="24"/>
              </w:rPr>
            </w:pPr>
          </w:p>
        </w:tc>
        <w:tc>
          <w:tcPr>
            <w:tcW w:w="851" w:type="dxa"/>
          </w:tcPr>
          <w:p>
            <w:pPr>
              <w:rPr>
                <w:sz w:val="24"/>
              </w:rPr>
            </w:pPr>
          </w:p>
        </w:tc>
        <w:tc>
          <w:tcPr>
            <w:tcW w:w="850" w:type="dxa"/>
          </w:tcPr>
          <w:p>
            <w:pPr>
              <w:rPr>
                <w:sz w:val="24"/>
              </w:rPr>
            </w:pPr>
          </w:p>
        </w:tc>
        <w:tc>
          <w:tcPr>
            <w:tcW w:w="851" w:type="dxa"/>
          </w:tcPr>
          <w:p>
            <w:pPr>
              <w:rPr>
                <w:sz w:val="24"/>
              </w:rPr>
            </w:pPr>
          </w:p>
        </w:tc>
        <w:tc>
          <w:tcPr>
            <w:tcW w:w="708" w:type="dxa"/>
          </w:tcPr>
          <w:p>
            <w:pPr>
              <w:rPr>
                <w:sz w:val="24"/>
              </w:rPr>
            </w:pPr>
          </w:p>
        </w:tc>
        <w:tc>
          <w:tcPr>
            <w:tcW w:w="567" w:type="dxa"/>
          </w:tcPr>
          <w:p>
            <w:pPr>
              <w:rPr>
                <w:sz w:val="24"/>
              </w:rPr>
            </w:pPr>
          </w:p>
        </w:tc>
        <w:tc>
          <w:tcPr>
            <w:tcW w:w="617" w:type="dxa"/>
          </w:tcPr>
          <w:p>
            <w:pPr>
              <w:rPr>
                <w:sz w:val="24"/>
              </w:rPr>
            </w:pPr>
          </w:p>
        </w:tc>
        <w:tc>
          <w:tcPr>
            <w:tcW w:w="900" w:type="dxa"/>
          </w:tcPr>
          <w:p>
            <w:pPr>
              <w:rPr>
                <w:sz w:val="24"/>
              </w:rPr>
            </w:pPr>
          </w:p>
        </w:tc>
        <w:tc>
          <w:tcPr>
            <w:tcW w:w="900" w:type="dxa"/>
          </w:tcPr>
          <w:p>
            <w:pPr>
              <w:rPr>
                <w:sz w:val="24"/>
              </w:rPr>
            </w:pPr>
          </w:p>
        </w:tc>
        <w:tc>
          <w:tcPr>
            <w:tcW w:w="95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sz w:val="24"/>
              </w:rPr>
            </w:pPr>
          </w:p>
        </w:tc>
        <w:tc>
          <w:tcPr>
            <w:tcW w:w="1015" w:type="dxa"/>
          </w:tcPr>
          <w:p>
            <w:pPr>
              <w:rPr>
                <w:sz w:val="24"/>
              </w:rPr>
            </w:pPr>
          </w:p>
        </w:tc>
        <w:tc>
          <w:tcPr>
            <w:tcW w:w="686" w:type="dxa"/>
          </w:tcPr>
          <w:p>
            <w:pPr>
              <w:rPr>
                <w:sz w:val="24"/>
              </w:rPr>
            </w:pPr>
          </w:p>
        </w:tc>
        <w:tc>
          <w:tcPr>
            <w:tcW w:w="851" w:type="dxa"/>
          </w:tcPr>
          <w:p>
            <w:pPr>
              <w:rPr>
                <w:sz w:val="24"/>
              </w:rPr>
            </w:pPr>
          </w:p>
        </w:tc>
        <w:tc>
          <w:tcPr>
            <w:tcW w:w="850" w:type="dxa"/>
          </w:tcPr>
          <w:p>
            <w:pPr>
              <w:rPr>
                <w:sz w:val="24"/>
              </w:rPr>
            </w:pPr>
          </w:p>
        </w:tc>
        <w:tc>
          <w:tcPr>
            <w:tcW w:w="851" w:type="dxa"/>
          </w:tcPr>
          <w:p>
            <w:pPr>
              <w:rPr>
                <w:sz w:val="24"/>
              </w:rPr>
            </w:pPr>
          </w:p>
        </w:tc>
        <w:tc>
          <w:tcPr>
            <w:tcW w:w="708" w:type="dxa"/>
          </w:tcPr>
          <w:p>
            <w:pPr>
              <w:rPr>
                <w:sz w:val="24"/>
              </w:rPr>
            </w:pPr>
          </w:p>
        </w:tc>
        <w:tc>
          <w:tcPr>
            <w:tcW w:w="567" w:type="dxa"/>
          </w:tcPr>
          <w:p>
            <w:pPr>
              <w:rPr>
                <w:sz w:val="24"/>
              </w:rPr>
            </w:pPr>
          </w:p>
        </w:tc>
        <w:tc>
          <w:tcPr>
            <w:tcW w:w="617" w:type="dxa"/>
          </w:tcPr>
          <w:p>
            <w:pPr>
              <w:rPr>
                <w:sz w:val="24"/>
              </w:rPr>
            </w:pPr>
          </w:p>
        </w:tc>
        <w:tc>
          <w:tcPr>
            <w:tcW w:w="900" w:type="dxa"/>
          </w:tcPr>
          <w:p>
            <w:pPr>
              <w:rPr>
                <w:sz w:val="24"/>
              </w:rPr>
            </w:pPr>
          </w:p>
        </w:tc>
        <w:tc>
          <w:tcPr>
            <w:tcW w:w="900" w:type="dxa"/>
          </w:tcPr>
          <w:p>
            <w:pPr>
              <w:rPr>
                <w:sz w:val="24"/>
              </w:rPr>
            </w:pPr>
          </w:p>
        </w:tc>
        <w:tc>
          <w:tcPr>
            <w:tcW w:w="95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441" w:type="dxa"/>
            <w:gridSpan w:val="12"/>
            <w:vAlign w:val="center"/>
          </w:tcPr>
          <w:p>
            <w:pPr>
              <w:rPr>
                <w:sz w:val="24"/>
              </w:rPr>
            </w:pPr>
            <w:r>
              <w:rPr>
                <w:rFonts w:hint="eastAsia"/>
                <w:sz w:val="24"/>
              </w:rPr>
              <w:t>合计（即：投标总价；币种：人民币；单位：元）：</w:t>
            </w:r>
            <w:r>
              <w:rPr>
                <w:sz w:val="24"/>
              </w:rPr>
              <w:t xml:space="preserve"> </w:t>
            </w:r>
          </w:p>
        </w:tc>
      </w:tr>
    </w:tbl>
    <w:p>
      <w:pPr>
        <w:rPr>
          <w:rFonts w:ascii="宋体" w:hAnsi="宋体"/>
          <w:szCs w:val="21"/>
        </w:rPr>
      </w:pPr>
    </w:p>
    <w:p>
      <w:pPr>
        <w:spacing w:line="360" w:lineRule="auto"/>
        <w:rPr>
          <w:rFonts w:ascii="宋体" w:hAnsi="宋体"/>
          <w:szCs w:val="21"/>
        </w:rPr>
      </w:pPr>
      <w:r>
        <w:rPr>
          <w:rFonts w:hint="eastAsia" w:ascii="宋体" w:hAnsi="宋体"/>
          <w:szCs w:val="21"/>
        </w:rPr>
        <w:t xml:space="preserve">注：1. 请根据“第二章 招标项目需求” </w:t>
      </w:r>
      <w:r>
        <w:rPr>
          <w:rFonts w:hint="eastAsia" w:asciiTheme="minorEastAsia" w:hAnsiTheme="minorEastAsia" w:eastAsiaTheme="minorEastAsia"/>
          <w:b/>
          <w:szCs w:val="21"/>
          <w:highlight w:val="yellow"/>
        </w:rPr>
        <w:t>“二、货物清单”中的“（二）货物清单明细”</w:t>
      </w:r>
      <w:r>
        <w:rPr>
          <w:rFonts w:hint="eastAsia" w:ascii="宋体" w:hAnsi="宋体"/>
          <w:szCs w:val="21"/>
        </w:rPr>
        <w:t>填写；本表格式不得修改。</w:t>
      </w:r>
    </w:p>
    <w:p>
      <w:pPr>
        <w:spacing w:line="360" w:lineRule="auto"/>
        <w:rPr>
          <w:rFonts w:ascii="宋体" w:hAnsi="宋体"/>
          <w:szCs w:val="21"/>
        </w:rPr>
      </w:pPr>
      <w:r>
        <w:rPr>
          <w:rFonts w:ascii="宋体" w:hAnsi="宋体"/>
          <w:szCs w:val="21"/>
        </w:rPr>
        <w:t xml:space="preserve">    2</w:t>
      </w:r>
      <w:r>
        <w:rPr>
          <w:rFonts w:hint="eastAsia" w:ascii="宋体" w:hAnsi="宋体"/>
          <w:szCs w:val="21"/>
        </w:rPr>
        <w:t>. 所有价格应按“招标文件”中规定的货币单位填写；投标总价应为以上各分项价格之和；投标总价和项目报价表中单个采购预算条目报价均不得超过对应的财政预算限额，否则将导致无效投标。</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 xml:space="preserve"> </w:t>
      </w:r>
      <w:r>
        <w:rPr>
          <w:rFonts w:hint="eastAsia" w:ascii="宋体" w:hAnsi="宋体"/>
          <w:szCs w:val="21"/>
        </w:rPr>
        <w:t>单价、合价和投标总价为包干价，即三者均应包含设备的价款、包装、运输、装卸、安装、调试、技术指导、培训、咨询、服务、保险、税费、检测、验收合格交付使用之前以及技术和售后服务等其他各项有关费用。</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 xml:space="preserve"> </w:t>
      </w:r>
      <w:r>
        <w:rPr>
          <w:rFonts w:hint="eastAsia" w:ascii="宋体" w:hAnsi="宋体"/>
          <w:szCs w:val="21"/>
        </w:rPr>
        <w:t>开标一览表的投标总价必须与项目报价表的投标总价一致。</w:t>
      </w:r>
    </w:p>
    <w:p>
      <w:pPr>
        <w:spacing w:line="360" w:lineRule="auto"/>
        <w:ind w:firstLine="411" w:firstLineChars="196"/>
        <w:rPr>
          <w:rFonts w:ascii="宋体" w:hAnsi="宋体"/>
          <w:szCs w:val="21"/>
        </w:rPr>
      </w:pPr>
      <w:r>
        <w:rPr>
          <w:rFonts w:hint="eastAsia" w:ascii="宋体" w:hAnsi="宋体"/>
          <w:szCs w:val="21"/>
        </w:rPr>
        <w:t>5.</w:t>
      </w:r>
      <w:r>
        <w:rPr>
          <w:rFonts w:ascii="宋体" w:hAnsi="宋体"/>
          <w:szCs w:val="21"/>
        </w:rPr>
        <w:t xml:space="preserve"> </w:t>
      </w:r>
      <w:r>
        <w:rPr>
          <w:rFonts w:hint="eastAsia" w:ascii="宋体" w:hAnsi="宋体"/>
          <w:szCs w:val="21"/>
        </w:rPr>
        <w:t>“原产地”是指该产品的实际生产加工地，而非品牌总公司所在地。</w:t>
      </w:r>
    </w:p>
    <w:p>
      <w:pPr>
        <w:spacing w:line="360" w:lineRule="auto"/>
        <w:ind w:firstLine="411" w:firstLineChars="196"/>
        <w:rPr>
          <w:rFonts w:ascii="宋体" w:hAnsi="宋体"/>
          <w:szCs w:val="21"/>
        </w:rPr>
      </w:pPr>
      <w:r>
        <w:rPr>
          <w:rFonts w:hint="eastAsia" w:ascii="宋体" w:hAnsi="宋体"/>
          <w:szCs w:val="21"/>
        </w:rPr>
        <w:t>6. 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spacing w:line="360" w:lineRule="auto"/>
        <w:ind w:firstLine="411" w:firstLineChars="196"/>
        <w:rPr>
          <w:rFonts w:ascii="宋体" w:hAnsi="宋体"/>
          <w:szCs w:val="21"/>
        </w:rPr>
      </w:pPr>
      <w:r>
        <w:rPr>
          <w:rFonts w:hint="eastAsia" w:ascii="宋体" w:hAnsi="宋体"/>
          <w:szCs w:val="21"/>
        </w:rPr>
        <w:t>7.</w:t>
      </w:r>
      <w:r>
        <w:rPr>
          <w:rFonts w:hint="eastAsia"/>
          <w:szCs w:val="21"/>
        </w:rPr>
        <w:t xml:space="preserve"> </w:t>
      </w:r>
      <w:r>
        <w:rPr>
          <w:rFonts w:hint="eastAsia" w:ascii="宋体" w:hAnsi="宋体"/>
          <w:szCs w:val="21"/>
        </w:rPr>
        <w:t>如所投产品属于定制类的非量产货物，投标供应商无需填写规格/型号等信息，但必须注明“定制”，否则该产品技术参数按负偏离处理。</w:t>
      </w:r>
    </w:p>
    <w:p>
      <w:pPr>
        <w:spacing w:line="360" w:lineRule="auto"/>
        <w:ind w:firstLine="411" w:firstLineChars="196"/>
        <w:rPr>
          <w:rFonts w:ascii="宋体" w:hAnsi="宋体"/>
          <w:b/>
          <w:sz w:val="24"/>
        </w:rPr>
      </w:pPr>
      <w:r>
        <w:rPr>
          <w:rFonts w:hint="eastAsia" w:ascii="宋体" w:hAnsi="宋体"/>
          <w:szCs w:val="21"/>
        </w:rPr>
        <w:t xml:space="preserve">8. </w:t>
      </w:r>
      <w:r>
        <w:rPr>
          <w:rFonts w:hint="eastAsia" w:asciiTheme="minorEastAsia" w:hAnsiTheme="minorEastAsia" w:eastAsiaTheme="minorEastAsia"/>
          <w:bCs/>
          <w:kern w:val="0"/>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2" w:firstLineChars="200"/>
        <w:rPr>
          <w:rFonts w:hAnsi="宋体"/>
          <w:b/>
          <w:bCs/>
          <w:sz w:val="24"/>
        </w:rPr>
      </w:pPr>
    </w:p>
    <w:p>
      <w:pPr>
        <w:ind w:firstLine="482" w:firstLineChars="200"/>
        <w:jc w:val="center"/>
        <w:rPr>
          <w:rFonts w:hAnsi="宋体"/>
          <w:b/>
          <w:bCs/>
          <w:sz w:val="24"/>
        </w:rPr>
      </w:pPr>
    </w:p>
    <w:p>
      <w:pPr>
        <w:ind w:firstLine="482" w:firstLineChars="200"/>
        <w:jc w:val="center"/>
        <w:rPr>
          <w:rFonts w:hAnsi="宋体"/>
          <w:b/>
          <w:bCs/>
          <w:sz w:val="24"/>
        </w:rPr>
      </w:pPr>
      <w:r>
        <w:rPr>
          <w:rFonts w:hint="eastAsia" w:hAnsi="宋体"/>
          <w:b/>
          <w:bCs/>
          <w:sz w:val="24"/>
        </w:rPr>
        <w:t>（二）可选配件报价清单（不包括在总报价内）</w:t>
      </w:r>
    </w:p>
    <w:p>
      <w:pPr>
        <w:ind w:firstLine="422" w:firstLineChars="200"/>
        <w:rPr>
          <w:rFonts w:hAnsi="宋体"/>
          <w:b/>
          <w:bCs/>
          <w:szCs w:val="21"/>
        </w:rPr>
      </w:pPr>
      <w:r>
        <w:rPr>
          <w:rFonts w:hint="eastAsia" w:hAnsi="宋体"/>
          <w:b/>
          <w:bCs/>
          <w:szCs w:val="21"/>
        </w:rPr>
        <w:t>注：格式参照《（一）分项报价表》表格，但须提供相应的品牌、规格型号、原产地、单价等详细信息</w:t>
      </w:r>
    </w:p>
    <w:p>
      <w:pPr>
        <w:ind w:firstLine="482" w:firstLineChars="200"/>
        <w:rPr>
          <w:rFonts w:hAnsi="宋体"/>
          <w:b/>
          <w:bCs/>
          <w:sz w:val="24"/>
        </w:rPr>
      </w:pPr>
    </w:p>
    <w:p>
      <w:pPr>
        <w:ind w:firstLine="482" w:firstLineChars="200"/>
        <w:rPr>
          <w:rFonts w:hAnsi="宋体"/>
          <w:b/>
          <w:bCs/>
          <w:sz w:val="24"/>
        </w:rPr>
      </w:pPr>
    </w:p>
    <w:p>
      <w:pPr>
        <w:pStyle w:val="3"/>
        <w:jc w:val="center"/>
        <w:rPr>
          <w:sz w:val="24"/>
        </w:rPr>
      </w:pPr>
      <w:r>
        <w:rPr>
          <w:rFonts w:hint="eastAsia"/>
          <w:sz w:val="24"/>
        </w:rPr>
        <w:t>（三）供应商认为需要涉及的其他内容报价清单</w:t>
      </w:r>
    </w:p>
    <w:p>
      <w:pPr>
        <w:pStyle w:val="3"/>
        <w:jc w:val="center"/>
        <w:rPr>
          <w:sz w:val="24"/>
        </w:rPr>
      </w:pPr>
    </w:p>
    <w:p>
      <w:pPr>
        <w:pStyle w:val="3"/>
        <w:jc w:val="center"/>
        <w:rPr>
          <w:rFonts w:ascii="黑体" w:eastAsia="黑体"/>
          <w:b w:val="0"/>
          <w:sz w:val="24"/>
          <w:szCs w:val="24"/>
        </w:rPr>
      </w:pPr>
      <w:r>
        <w:rPr>
          <w:rFonts w:hint="eastAsia" w:ascii="黑体" w:eastAsia="黑体"/>
          <w:b w:val="0"/>
          <w:sz w:val="24"/>
          <w:szCs w:val="24"/>
        </w:rPr>
        <w:t>十、技术规格偏离表</w:t>
      </w:r>
    </w:p>
    <w:tbl>
      <w:tblPr>
        <w:tblStyle w:val="42"/>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798"/>
        <w:gridCol w:w="1356"/>
        <w:gridCol w:w="1356"/>
        <w:gridCol w:w="148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sz w:val="24"/>
              </w:rPr>
            </w:pPr>
            <w:r>
              <w:rPr>
                <w:rFonts w:hint="eastAsia"/>
                <w:sz w:val="24"/>
              </w:rPr>
              <w:t>序号</w:t>
            </w:r>
          </w:p>
        </w:tc>
        <w:tc>
          <w:tcPr>
            <w:tcW w:w="1798" w:type="dxa"/>
            <w:vAlign w:val="center"/>
          </w:tcPr>
          <w:p>
            <w:pPr>
              <w:jc w:val="center"/>
              <w:rPr>
                <w:sz w:val="24"/>
              </w:rPr>
            </w:pPr>
            <w:r>
              <w:rPr>
                <w:rFonts w:hint="eastAsia"/>
                <w:sz w:val="24"/>
              </w:rPr>
              <w:t>货物名称</w:t>
            </w:r>
          </w:p>
        </w:tc>
        <w:tc>
          <w:tcPr>
            <w:tcW w:w="1356" w:type="dxa"/>
            <w:vAlign w:val="center"/>
          </w:tcPr>
          <w:p>
            <w:pPr>
              <w:jc w:val="center"/>
              <w:rPr>
                <w:sz w:val="24"/>
              </w:rPr>
            </w:pPr>
            <w:r>
              <w:rPr>
                <w:rFonts w:hint="eastAsia"/>
                <w:sz w:val="24"/>
              </w:rPr>
              <w:t>招标技术要求</w:t>
            </w:r>
          </w:p>
        </w:tc>
        <w:tc>
          <w:tcPr>
            <w:tcW w:w="1356" w:type="dxa"/>
            <w:vAlign w:val="center"/>
          </w:tcPr>
          <w:p>
            <w:pPr>
              <w:jc w:val="center"/>
              <w:rPr>
                <w:sz w:val="24"/>
              </w:rPr>
            </w:pPr>
            <w:r>
              <w:rPr>
                <w:rFonts w:hint="eastAsia"/>
                <w:sz w:val="24"/>
              </w:rPr>
              <w:t>投标技术响应</w:t>
            </w:r>
          </w:p>
        </w:tc>
        <w:tc>
          <w:tcPr>
            <w:tcW w:w="1484" w:type="dxa"/>
            <w:vAlign w:val="center"/>
          </w:tcPr>
          <w:p>
            <w:pPr>
              <w:jc w:val="center"/>
              <w:rPr>
                <w:sz w:val="24"/>
              </w:rPr>
            </w:pPr>
            <w:r>
              <w:rPr>
                <w:rFonts w:hint="eastAsia"/>
                <w:sz w:val="24"/>
              </w:rPr>
              <w:t>偏离情况</w:t>
            </w:r>
          </w:p>
        </w:tc>
        <w:tc>
          <w:tcPr>
            <w:tcW w:w="1530" w:type="dxa"/>
            <w:vAlign w:val="center"/>
          </w:tcPr>
          <w:p>
            <w:pPr>
              <w:jc w:val="cente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Pr>
          <w:p>
            <w:pPr>
              <w:rPr>
                <w:sz w:val="24"/>
              </w:rPr>
            </w:pPr>
          </w:p>
        </w:tc>
        <w:tc>
          <w:tcPr>
            <w:tcW w:w="1798"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Pr>
          <w:p>
            <w:pPr>
              <w:rPr>
                <w:sz w:val="24"/>
              </w:rPr>
            </w:pPr>
          </w:p>
        </w:tc>
        <w:tc>
          <w:tcPr>
            <w:tcW w:w="1798"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Pr>
          <w:p>
            <w:pPr>
              <w:rPr>
                <w:sz w:val="24"/>
              </w:rPr>
            </w:pPr>
          </w:p>
        </w:tc>
        <w:tc>
          <w:tcPr>
            <w:tcW w:w="1798"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Pr>
          <w:p>
            <w:pPr>
              <w:rPr>
                <w:sz w:val="24"/>
              </w:rPr>
            </w:pPr>
          </w:p>
        </w:tc>
        <w:tc>
          <w:tcPr>
            <w:tcW w:w="1798"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bl>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备注：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1、“招标技术要求”一栏</w:t>
      </w:r>
      <w:r>
        <w:rPr>
          <w:rFonts w:asciiTheme="minorEastAsia" w:hAnsiTheme="minorEastAsia" w:eastAsiaTheme="minorEastAsia"/>
          <w:bCs/>
          <w:kern w:val="0"/>
          <w:szCs w:val="21"/>
        </w:rPr>
        <w:t>应</w:t>
      </w:r>
      <w:r>
        <w:rPr>
          <w:rFonts w:hint="eastAsia" w:asciiTheme="minorEastAsia" w:hAnsiTheme="minorEastAsia" w:eastAsiaTheme="minorEastAsia"/>
          <w:bCs/>
          <w:kern w:val="0"/>
          <w:szCs w:val="21"/>
        </w:rPr>
        <w:t>根据</w:t>
      </w:r>
      <w:r>
        <w:rPr>
          <w:rFonts w:hint="eastAsia" w:asciiTheme="minorEastAsia" w:hAnsiTheme="minorEastAsia" w:eastAsiaTheme="minorEastAsia"/>
          <w:b/>
          <w:szCs w:val="21"/>
          <w:highlight w:val="yellow"/>
        </w:rPr>
        <w:t>招标文件第二章“四、具体技术要求”</w:t>
      </w:r>
      <w:r>
        <w:rPr>
          <w:rFonts w:hint="eastAsia" w:asciiTheme="minorEastAsia" w:hAnsiTheme="minorEastAsia" w:eastAsiaTheme="minorEastAsia"/>
          <w:szCs w:val="21"/>
        </w:rPr>
        <w:t>的内容填写。</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2、“投标技术响应”一栏详细填写投标产品的具体参数，并应对照招标技术要求一一对应响应。</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3、“偏离情况”一栏应如实填写“正偏离”、“负偏离”或“无偏离”。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4. </w:t>
      </w:r>
      <w:r>
        <w:rPr>
          <w:rFonts w:hint="eastAsia" w:asciiTheme="minorEastAsia" w:hAnsiTheme="minorEastAsia" w:eastAsiaTheme="minorEastAsia"/>
          <w:bCs/>
          <w:kern w:val="0"/>
          <w:szCs w:val="21"/>
        </w:rPr>
        <w:t>对于实质性</w:t>
      </w:r>
      <w:r>
        <w:rPr>
          <w:rFonts w:hint="eastAsia" w:asciiTheme="minorEastAsia" w:hAnsiTheme="minorEastAsia" w:eastAsiaTheme="minorEastAsia"/>
          <w:szCs w:val="21"/>
        </w:rPr>
        <w:t>条款，投标文件响应为“负偏离”的，投标文件将按无效投标处理。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b/>
          <w:szCs w:val="21"/>
        </w:rPr>
        <w:t>投标产品的技术参数应按</w:t>
      </w:r>
      <w:r>
        <w:rPr>
          <w:rFonts w:hint="eastAsia" w:asciiTheme="minorEastAsia" w:hAnsiTheme="minorEastAsia" w:eastAsiaTheme="minorEastAsia"/>
          <w:b/>
          <w:szCs w:val="21"/>
          <w:highlight w:val="yellow"/>
        </w:rPr>
        <w:t>招标文件第二章“四、具体技术要求”</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投标人应在“说明”一栏中列出技术参数的证明资料名称，并指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rPr>
          <w:sz w:val="24"/>
        </w:rPr>
      </w:pPr>
    </w:p>
    <w:p>
      <w:pPr>
        <w:pStyle w:val="3"/>
        <w:jc w:val="center"/>
        <w:rPr>
          <w:rFonts w:ascii="黑体" w:eastAsia="黑体"/>
          <w:b w:val="0"/>
          <w:bCs w:val="0"/>
          <w:sz w:val="24"/>
          <w:szCs w:val="20"/>
        </w:rPr>
      </w:pPr>
      <w:r>
        <w:rPr>
          <w:rFonts w:hint="eastAsia" w:ascii="黑体" w:eastAsia="黑体"/>
          <w:b w:val="0"/>
          <w:bCs w:val="0"/>
          <w:sz w:val="24"/>
          <w:szCs w:val="20"/>
        </w:rPr>
        <w:t>十一、商务条款偏离表</w:t>
      </w:r>
    </w:p>
    <w:tbl>
      <w:tblPr>
        <w:tblStyle w:val="42"/>
        <w:tblpPr w:leftFromText="180" w:rightFromText="180" w:vertAnchor="text" w:tblpXSpec="center" w:tblpY="1"/>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1980"/>
        <w:gridCol w:w="1440"/>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sz w:val="24"/>
              </w:rPr>
            </w:pPr>
            <w:r>
              <w:rPr>
                <w:rFonts w:hint="eastAsia"/>
                <w:sz w:val="24"/>
              </w:rPr>
              <w:t>序号</w:t>
            </w:r>
          </w:p>
        </w:tc>
        <w:tc>
          <w:tcPr>
            <w:tcW w:w="1980" w:type="dxa"/>
          </w:tcPr>
          <w:p>
            <w:pPr>
              <w:jc w:val="center"/>
              <w:rPr>
                <w:sz w:val="24"/>
              </w:rPr>
            </w:pPr>
            <w:r>
              <w:rPr>
                <w:rFonts w:hint="eastAsia"/>
                <w:sz w:val="24"/>
              </w:rPr>
              <w:t>招标商务条款</w:t>
            </w:r>
          </w:p>
        </w:tc>
        <w:tc>
          <w:tcPr>
            <w:tcW w:w="1980" w:type="dxa"/>
          </w:tcPr>
          <w:p>
            <w:pPr>
              <w:jc w:val="center"/>
              <w:rPr>
                <w:sz w:val="24"/>
              </w:rPr>
            </w:pPr>
            <w:r>
              <w:rPr>
                <w:rFonts w:hint="eastAsia"/>
                <w:sz w:val="24"/>
              </w:rPr>
              <w:t>投标商务响应</w:t>
            </w:r>
          </w:p>
        </w:tc>
        <w:tc>
          <w:tcPr>
            <w:tcW w:w="1440" w:type="dxa"/>
          </w:tcPr>
          <w:p>
            <w:pPr>
              <w:jc w:val="center"/>
              <w:rPr>
                <w:sz w:val="24"/>
              </w:rPr>
            </w:pPr>
            <w:r>
              <w:rPr>
                <w:rFonts w:hint="eastAsia"/>
              </w:rPr>
              <w:t>偏离情况</w:t>
            </w:r>
          </w:p>
        </w:tc>
        <w:tc>
          <w:tcPr>
            <w:tcW w:w="2385" w:type="dxa"/>
          </w:tcPr>
          <w:p>
            <w:pPr>
              <w:jc w:val="cente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p>
        </w:tc>
      </w:tr>
    </w:tbl>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备注：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 “招标商务条款”一栏逐项填写</w:t>
      </w:r>
      <w:r>
        <w:rPr>
          <w:rFonts w:hint="eastAsia" w:asciiTheme="minorEastAsia" w:hAnsiTheme="minorEastAsia" w:eastAsiaTheme="minorEastAsia"/>
          <w:b/>
          <w:szCs w:val="21"/>
          <w:highlight w:val="yellow"/>
        </w:rPr>
        <w:t>招标文件第二章“五、商务要求”的内容</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 “投标商务响应”一栏详细填写投标商务响应的内容。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 “偏离情况”栏中应如实填写“正偏离”、“负偏离”或“无偏离”。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4. </w:t>
      </w:r>
      <w:r>
        <w:rPr>
          <w:rFonts w:hint="eastAsia" w:asciiTheme="minorEastAsia" w:hAnsiTheme="minorEastAsia" w:eastAsiaTheme="minorEastAsia"/>
          <w:bCs/>
          <w:kern w:val="0"/>
          <w:szCs w:val="21"/>
        </w:rPr>
        <w:t>对于实质性</w:t>
      </w:r>
      <w:r>
        <w:rPr>
          <w:rFonts w:hint="eastAsia" w:asciiTheme="minorEastAsia" w:hAnsiTheme="minorEastAsia" w:eastAsiaTheme="minorEastAsia"/>
          <w:szCs w:val="21"/>
        </w:rPr>
        <w:t>条款，投标文件响应为“负偏离”的，投标文件将按无效投标处理。</w:t>
      </w:r>
    </w:p>
    <w:p>
      <w:pPr>
        <w:spacing w:line="360" w:lineRule="auto"/>
      </w:pPr>
      <w:r>
        <w:rPr>
          <w:rFonts w:hint="eastAsia" w:asciiTheme="minorEastAsia" w:hAnsiTheme="minorEastAsia" w:eastAsiaTheme="minorEastAsia"/>
          <w:szCs w:val="21"/>
        </w:rPr>
        <w:t>5.</w:t>
      </w:r>
      <w:r>
        <w:rPr>
          <w:rFonts w:hint="eastAsia" w:ascii="宋体" w:hAnsi="宋体" w:cs="宋体"/>
          <w:bCs/>
          <w:szCs w:val="21"/>
        </w:rPr>
        <w:t xml:space="preserve"> 如采购文件要求提供证明材料，</w:t>
      </w:r>
      <w:r>
        <w:rPr>
          <w:rFonts w:hint="eastAsia" w:asciiTheme="minorEastAsia" w:hAnsiTheme="minorEastAsia" w:eastAsiaTheme="minorEastAsia"/>
          <w:szCs w:val="21"/>
        </w:rPr>
        <w:t>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360" w:lineRule="auto"/>
        <w:rPr>
          <w:rFonts w:asciiTheme="minorEastAsia" w:hAnsiTheme="minorEastAsia" w:eastAsiaTheme="minorEastAsia"/>
          <w:szCs w:val="21"/>
        </w:rPr>
      </w:pPr>
    </w:p>
    <w:p>
      <w:pPr>
        <w:rPr>
          <w:sz w:val="24"/>
        </w:rPr>
      </w:pPr>
    </w:p>
    <w:p>
      <w:pPr>
        <w:spacing w:afterLines="50"/>
        <w:jc w:val="center"/>
        <w:rPr>
          <w:rFonts w:ascii="黑体" w:hAnsi="宋体" w:eastAsia="黑体"/>
          <w:bCs/>
          <w:color w:val="auto"/>
          <w:kern w:val="0"/>
          <w:sz w:val="24"/>
          <w:highlight w:val="none"/>
        </w:rPr>
      </w:pPr>
      <w:r>
        <w:rPr>
          <w:rFonts w:hint="eastAsia" w:ascii="黑体" w:hAnsi="宋体" w:eastAsia="黑体"/>
          <w:bCs/>
          <w:color w:val="auto"/>
          <w:kern w:val="0"/>
          <w:sz w:val="24"/>
          <w:highlight w:val="none"/>
        </w:rPr>
        <w:t>十二、产品配置功能及性能（格式自定）</w:t>
      </w:r>
    </w:p>
    <w:p>
      <w:pPr>
        <w:spacing w:afterLines="50"/>
        <w:jc w:val="center"/>
        <w:rPr>
          <w:rFonts w:ascii="黑体" w:hAnsi="宋体" w:eastAsia="黑体"/>
          <w:bCs/>
          <w:color w:val="auto"/>
          <w:kern w:val="0"/>
          <w:sz w:val="24"/>
          <w:highlight w:val="none"/>
        </w:rPr>
      </w:pPr>
      <w:r>
        <w:rPr>
          <w:rFonts w:hint="eastAsia" w:ascii="黑体" w:hAnsi="宋体" w:eastAsia="黑体"/>
          <w:bCs/>
          <w:color w:val="auto"/>
          <w:kern w:val="0"/>
          <w:sz w:val="24"/>
          <w:highlight w:val="none"/>
        </w:rPr>
        <w:t>十</w:t>
      </w:r>
      <w:r>
        <w:rPr>
          <w:rFonts w:hint="eastAsia" w:ascii="黑体" w:hAnsi="宋体" w:eastAsia="黑体"/>
          <w:bCs/>
          <w:color w:val="auto"/>
          <w:kern w:val="0"/>
          <w:sz w:val="24"/>
          <w:highlight w:val="none"/>
          <w:lang w:val="en-US" w:eastAsia="zh-CN"/>
        </w:rPr>
        <w:t>三</w:t>
      </w:r>
      <w:r>
        <w:rPr>
          <w:rFonts w:hint="eastAsia" w:ascii="黑体" w:hAnsi="宋体" w:eastAsia="黑体"/>
          <w:bCs/>
          <w:color w:val="auto"/>
          <w:kern w:val="0"/>
          <w:sz w:val="24"/>
          <w:highlight w:val="none"/>
        </w:rPr>
        <w:t>、质量保障措施（格式自定）</w:t>
      </w:r>
    </w:p>
    <w:p>
      <w:pPr>
        <w:spacing w:afterLines="50"/>
        <w:jc w:val="center"/>
        <w:rPr>
          <w:rFonts w:hint="eastAsia" w:ascii="黑体" w:hAnsi="宋体" w:eastAsia="黑体"/>
          <w:bCs/>
          <w:color w:val="auto"/>
          <w:kern w:val="0"/>
          <w:sz w:val="24"/>
          <w:highlight w:val="none"/>
        </w:rPr>
      </w:pPr>
      <w:r>
        <w:rPr>
          <w:rFonts w:hint="eastAsia" w:ascii="黑体" w:hAnsi="宋体" w:eastAsia="黑体"/>
          <w:bCs/>
          <w:color w:val="auto"/>
          <w:kern w:val="0"/>
          <w:sz w:val="24"/>
          <w:highlight w:val="none"/>
        </w:rPr>
        <w:t>十</w:t>
      </w:r>
      <w:r>
        <w:rPr>
          <w:rFonts w:hint="eastAsia" w:ascii="黑体" w:hAnsi="宋体" w:eastAsia="黑体"/>
          <w:bCs/>
          <w:color w:val="auto"/>
          <w:kern w:val="0"/>
          <w:sz w:val="24"/>
          <w:highlight w:val="none"/>
          <w:lang w:val="en-US" w:eastAsia="zh-CN"/>
        </w:rPr>
        <w:t>四</w:t>
      </w:r>
      <w:r>
        <w:rPr>
          <w:rFonts w:hint="eastAsia" w:ascii="黑体" w:hAnsi="宋体" w:eastAsia="黑体"/>
          <w:bCs/>
          <w:color w:val="auto"/>
          <w:kern w:val="0"/>
          <w:sz w:val="24"/>
          <w:highlight w:val="none"/>
        </w:rPr>
        <w:t>、实施方案（格式自定）</w:t>
      </w:r>
    </w:p>
    <w:p>
      <w:pPr>
        <w:spacing w:afterLines="50"/>
        <w:jc w:val="center"/>
        <w:rPr>
          <w:rFonts w:ascii="黑体" w:hAnsi="宋体" w:eastAsia="黑体"/>
          <w:bCs/>
          <w:color w:val="auto"/>
          <w:kern w:val="0"/>
          <w:sz w:val="24"/>
          <w:highlight w:val="none"/>
        </w:rPr>
      </w:pPr>
      <w:r>
        <w:rPr>
          <w:rFonts w:hint="eastAsia" w:ascii="黑体" w:hAnsi="宋体" w:eastAsia="黑体"/>
          <w:bCs/>
          <w:color w:val="auto"/>
          <w:kern w:val="0"/>
          <w:sz w:val="24"/>
          <w:highlight w:val="none"/>
        </w:rPr>
        <w:t>十</w:t>
      </w:r>
      <w:r>
        <w:rPr>
          <w:rFonts w:hint="eastAsia" w:ascii="黑体" w:hAnsi="宋体" w:eastAsia="黑体"/>
          <w:bCs/>
          <w:color w:val="auto"/>
          <w:kern w:val="0"/>
          <w:sz w:val="24"/>
          <w:highlight w:val="none"/>
          <w:lang w:val="en-US" w:eastAsia="zh-CN"/>
        </w:rPr>
        <w:t>五</w:t>
      </w:r>
      <w:r>
        <w:rPr>
          <w:rFonts w:hint="eastAsia" w:ascii="黑体" w:hAnsi="宋体" w:eastAsia="黑体"/>
          <w:bCs/>
          <w:color w:val="auto"/>
          <w:kern w:val="0"/>
          <w:sz w:val="24"/>
          <w:highlight w:val="none"/>
        </w:rPr>
        <w:t>、售后服务及培训方案（格式自定）</w:t>
      </w:r>
    </w:p>
    <w:p>
      <w:pPr>
        <w:spacing w:afterLines="50"/>
        <w:jc w:val="center"/>
        <w:rPr>
          <w:rFonts w:hint="eastAsia" w:ascii="黑体" w:hAnsi="宋体" w:eastAsia="黑体"/>
          <w:bCs/>
          <w:color w:val="auto"/>
          <w:kern w:val="0"/>
          <w:sz w:val="24"/>
          <w:highlight w:val="none"/>
        </w:rPr>
      </w:pPr>
      <w:r>
        <w:rPr>
          <w:rFonts w:hint="eastAsia" w:ascii="黑体" w:hAnsi="宋体" w:eastAsia="黑体"/>
          <w:bCs/>
          <w:color w:val="auto"/>
          <w:kern w:val="0"/>
          <w:sz w:val="24"/>
          <w:highlight w:val="none"/>
        </w:rPr>
        <w:t>十</w:t>
      </w:r>
      <w:r>
        <w:rPr>
          <w:rFonts w:hint="eastAsia" w:ascii="黑体" w:hAnsi="宋体" w:eastAsia="黑体"/>
          <w:bCs/>
          <w:color w:val="auto"/>
          <w:kern w:val="0"/>
          <w:sz w:val="24"/>
          <w:highlight w:val="none"/>
          <w:lang w:val="en-US" w:eastAsia="zh-CN"/>
        </w:rPr>
        <w:t>六</w:t>
      </w:r>
      <w:r>
        <w:rPr>
          <w:rFonts w:hint="eastAsia" w:ascii="黑体" w:hAnsi="宋体" w:eastAsia="黑体"/>
          <w:bCs/>
          <w:color w:val="auto"/>
          <w:kern w:val="0"/>
          <w:sz w:val="24"/>
          <w:highlight w:val="none"/>
        </w:rPr>
        <w:t>、同类项目业绩（格式自定）</w:t>
      </w:r>
    </w:p>
    <w:p>
      <w:pPr>
        <w:spacing w:afterLines="50"/>
        <w:jc w:val="center"/>
        <w:rPr>
          <w:rFonts w:hint="eastAsia" w:ascii="黑体" w:hAnsi="宋体" w:eastAsia="黑体"/>
          <w:bCs/>
          <w:color w:val="auto"/>
          <w:kern w:val="0"/>
          <w:sz w:val="24"/>
          <w:highlight w:val="none"/>
        </w:rPr>
      </w:pPr>
      <w:r>
        <w:rPr>
          <w:rFonts w:hint="eastAsia" w:ascii="黑体" w:hAnsi="宋体" w:eastAsia="黑体"/>
          <w:bCs/>
          <w:color w:val="auto"/>
          <w:kern w:val="0"/>
          <w:sz w:val="24"/>
          <w:highlight w:val="none"/>
        </w:rPr>
        <w:t>十</w:t>
      </w:r>
      <w:r>
        <w:rPr>
          <w:rFonts w:hint="eastAsia" w:ascii="黑体" w:hAnsi="宋体" w:eastAsia="黑体"/>
          <w:bCs/>
          <w:color w:val="auto"/>
          <w:kern w:val="0"/>
          <w:sz w:val="24"/>
          <w:highlight w:val="none"/>
          <w:lang w:val="en-US" w:eastAsia="zh-CN"/>
        </w:rPr>
        <w:t>七</w:t>
      </w:r>
      <w:r>
        <w:rPr>
          <w:rFonts w:hint="eastAsia" w:ascii="黑体" w:hAnsi="宋体" w:eastAsia="黑体"/>
          <w:bCs/>
          <w:color w:val="auto"/>
          <w:kern w:val="0"/>
          <w:sz w:val="24"/>
          <w:highlight w:val="none"/>
        </w:rPr>
        <w:t>、拟安排的项目团队成员情况（格式自定）</w:t>
      </w:r>
    </w:p>
    <w:p>
      <w:pPr>
        <w:jc w:val="center"/>
        <w:rPr>
          <w:rFonts w:ascii="黑体" w:hAnsi="宋体" w:eastAsia="黑体"/>
          <w:bCs/>
          <w:color w:val="auto"/>
          <w:kern w:val="0"/>
          <w:sz w:val="24"/>
          <w:highlight w:val="none"/>
        </w:rPr>
      </w:pPr>
    </w:p>
    <w:p>
      <w:pPr>
        <w:jc w:val="center"/>
        <w:rPr>
          <w:rFonts w:ascii="黑体" w:hAnsi="宋体" w:eastAsia="黑体"/>
          <w:bCs/>
          <w:color w:val="auto"/>
          <w:kern w:val="0"/>
          <w:sz w:val="24"/>
          <w:highlight w:val="none"/>
        </w:rPr>
      </w:pPr>
      <w:r>
        <w:rPr>
          <w:rFonts w:hint="eastAsia" w:ascii="黑体" w:hAnsi="宋体" w:eastAsia="黑体"/>
          <w:bCs/>
          <w:color w:val="auto"/>
          <w:kern w:val="0"/>
          <w:sz w:val="24"/>
          <w:highlight w:val="none"/>
        </w:rPr>
        <w:t>十</w:t>
      </w:r>
      <w:r>
        <w:rPr>
          <w:rFonts w:hint="eastAsia" w:ascii="黑体" w:hAnsi="宋体" w:eastAsia="黑体"/>
          <w:bCs/>
          <w:color w:val="auto"/>
          <w:kern w:val="0"/>
          <w:sz w:val="24"/>
          <w:highlight w:val="none"/>
          <w:lang w:val="en-US" w:eastAsia="zh-CN"/>
        </w:rPr>
        <w:t>八</w:t>
      </w:r>
      <w:r>
        <w:rPr>
          <w:rFonts w:hint="eastAsia" w:ascii="黑体" w:hAnsi="宋体" w:eastAsia="黑体"/>
          <w:bCs/>
          <w:color w:val="auto"/>
          <w:kern w:val="0"/>
          <w:sz w:val="24"/>
          <w:highlight w:val="none"/>
        </w:rPr>
        <w:t>、招标文件要求的其它内容或投标人认为需要补充的资料（格式自定）</w:t>
      </w:r>
    </w:p>
    <w:p>
      <w:pPr>
        <w:widowControl/>
        <w:snapToGrid w:val="0"/>
        <w:spacing w:line="360" w:lineRule="auto"/>
        <w:jc w:val="left"/>
        <w:outlineLvl w:val="4"/>
        <w:rPr>
          <w:rFonts w:ascii="仿宋" w:hAnsi="仿宋" w:eastAsia="仿宋"/>
          <w:b/>
          <w:bCs/>
          <w:color w:val="FF0000"/>
          <w:kern w:val="0"/>
          <w:sz w:val="25"/>
          <w:szCs w:val="25"/>
        </w:rPr>
      </w:pPr>
    </w:p>
    <w:p>
      <w:pPr>
        <w:widowControl/>
        <w:snapToGrid w:val="0"/>
        <w:spacing w:line="360" w:lineRule="auto"/>
        <w:jc w:val="left"/>
        <w:outlineLvl w:val="4"/>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widowControl/>
        <w:jc w:val="left"/>
        <w:rPr>
          <w:rFonts w:ascii="宋体" w:hAnsi="宋体"/>
          <w:b/>
          <w:bCs/>
          <w:kern w:val="0"/>
          <w:sz w:val="24"/>
          <w:szCs w:val="20"/>
        </w:rPr>
      </w:pPr>
      <w:r>
        <w:br w:type="page"/>
      </w:r>
    </w:p>
    <w:p>
      <w:pPr>
        <w:pStyle w:val="5"/>
      </w:pPr>
      <w:r>
        <w:rPr>
          <w:rFonts w:hint="eastAsia"/>
        </w:rPr>
        <w:t>第四章  合同及履约情况反馈格式</w:t>
      </w:r>
    </w:p>
    <w:p>
      <w:pPr>
        <w:ind w:firstLine="411" w:firstLineChars="196"/>
      </w:pPr>
    </w:p>
    <w:p>
      <w:pPr>
        <w:pStyle w:val="3"/>
        <w:jc w:val="center"/>
        <w:rPr>
          <w:rFonts w:ascii="黑体" w:eastAsia="黑体"/>
          <w:b w:val="0"/>
          <w:kern w:val="0"/>
          <w:sz w:val="24"/>
          <w:szCs w:val="24"/>
        </w:rPr>
      </w:pPr>
      <w:r>
        <w:rPr>
          <w:rFonts w:hint="eastAsia" w:ascii="黑体" w:eastAsia="黑体"/>
          <w:b w:val="0"/>
          <w:kern w:val="0"/>
          <w:sz w:val="24"/>
          <w:szCs w:val="24"/>
        </w:rPr>
        <w:t>一、合同条款及格式（仅供参考）</w:t>
      </w:r>
    </w:p>
    <w:p>
      <w:pPr>
        <w:ind w:firstLine="470" w:firstLineChars="196"/>
        <w:jc w:val="center"/>
        <w:rPr>
          <w:sz w:val="24"/>
        </w:rPr>
      </w:pPr>
      <w:bookmarkStart w:id="30" w:name="_Toc73521680"/>
      <w:bookmarkStart w:id="31" w:name="_Toc73518163"/>
      <w:bookmarkStart w:id="32" w:name="_Toc101074886"/>
      <w:bookmarkStart w:id="33" w:name="_Toc73517685"/>
      <w:bookmarkStart w:id="34" w:name="_Toc73521592"/>
      <w:bookmarkStart w:id="35" w:name="_Toc84303603"/>
      <w:bookmarkStart w:id="36" w:name="_Toc100052414"/>
    </w:p>
    <w:bookmarkEnd w:id="30"/>
    <w:bookmarkEnd w:id="31"/>
    <w:bookmarkEnd w:id="32"/>
    <w:bookmarkEnd w:id="33"/>
    <w:bookmarkEnd w:id="34"/>
    <w:bookmarkEnd w:id="35"/>
    <w:bookmarkEnd w:id="36"/>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2"/>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after="60" w:line="360" w:lineRule="auto"/>
        <w:jc w:val="center"/>
        <w:rPr>
          <w:b/>
          <w:snapToGrid w:val="0"/>
          <w:kern w:val="0"/>
          <w:sz w:val="28"/>
        </w:rPr>
      </w:pPr>
    </w:p>
    <w:p>
      <w:pPr>
        <w:spacing w:after="60" w:line="360" w:lineRule="auto"/>
        <w:rPr>
          <w:rFonts w:ascii="宋体" w:hAnsi="宋体"/>
          <w:b/>
          <w:bCs/>
          <w:szCs w:val="21"/>
        </w:rPr>
      </w:pPr>
      <w:r>
        <w:rPr>
          <w:rFonts w:hint="eastAsia" w:ascii="宋体" w:hAnsi="宋体"/>
          <w:b/>
          <w:bCs/>
          <w:szCs w:val="21"/>
        </w:rPr>
        <w:t>甲方（采购人）：</w:t>
      </w:r>
    </w:p>
    <w:p>
      <w:pPr>
        <w:spacing w:after="60" w:line="360" w:lineRule="auto"/>
        <w:rPr>
          <w:rFonts w:ascii="宋体" w:hAnsi="宋体"/>
          <w:szCs w:val="21"/>
        </w:rPr>
      </w:pPr>
      <w:r>
        <w:rPr>
          <w:rFonts w:hint="eastAsia" w:ascii="宋体" w:hAnsi="宋体"/>
          <w:b/>
          <w:bCs/>
          <w:szCs w:val="21"/>
        </w:rPr>
        <w:t>乙方（中标人）：</w:t>
      </w:r>
    </w:p>
    <w:p>
      <w:pPr>
        <w:snapToGrid w:val="0"/>
        <w:spacing w:after="60"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根据《中华人民共和国政府采购法》、《深圳经济特区政府采购条例》、《中华人民共和国民法典》之规定，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after="60" w:line="360" w:lineRule="auto"/>
        <w:ind w:firstLine="422" w:firstLineChars="200"/>
        <w:jc w:val="left"/>
        <w:rPr>
          <w:rFonts w:ascii="宋体" w:hAnsi="宋体"/>
          <w:b/>
          <w:szCs w:val="21"/>
        </w:rPr>
      </w:pPr>
      <w:r>
        <w:rPr>
          <w:rFonts w:hint="eastAsia" w:ascii="宋体" w:hAnsi="宋体"/>
          <w:b/>
          <w:szCs w:val="21"/>
        </w:rPr>
        <w:t>第一条</w:t>
      </w:r>
      <w:r>
        <w:rPr>
          <w:rFonts w:ascii="宋体" w:hAnsi="宋体"/>
          <w:b/>
          <w:szCs w:val="21"/>
        </w:rPr>
        <w:t xml:space="preserve">  </w:t>
      </w:r>
      <w:r>
        <w:rPr>
          <w:rFonts w:hint="eastAsia" w:ascii="宋体" w:hAnsi="宋体"/>
          <w:b/>
          <w:szCs w:val="21"/>
        </w:rPr>
        <w:t>合同标的</w:t>
      </w:r>
    </w:p>
    <w:p>
      <w:pPr>
        <w:spacing w:after="60" w:line="360" w:lineRule="auto"/>
        <w:ind w:firstLine="420" w:firstLineChars="200"/>
        <w:rPr>
          <w:rFonts w:ascii="宋体" w:hAnsi="宋体"/>
          <w:szCs w:val="21"/>
        </w:rPr>
      </w:pPr>
      <w:r>
        <w:rPr>
          <w:rFonts w:hint="eastAsia" w:ascii="宋体" w:hAnsi="宋体"/>
          <w:szCs w:val="21"/>
        </w:rPr>
        <w:t>货物名称、规格型号、制造商、产地、单位、数量、单价、合同价，详见</w:t>
      </w:r>
      <w:r>
        <w:rPr>
          <w:rFonts w:ascii="宋体" w:hAnsi="宋体"/>
          <w:b/>
          <w:szCs w:val="21"/>
          <w:u w:val="single"/>
        </w:rPr>
        <w:t xml:space="preserve">                  </w:t>
      </w:r>
      <w:r>
        <w:rPr>
          <w:rFonts w:hint="eastAsia" w:ascii="宋体" w:hAnsi="宋体"/>
          <w:szCs w:val="21"/>
        </w:rPr>
        <w:t>。</w:t>
      </w:r>
    </w:p>
    <w:p>
      <w:pPr>
        <w:spacing w:after="60" w:line="360" w:lineRule="auto"/>
        <w:ind w:firstLine="422" w:firstLineChars="200"/>
        <w:jc w:val="left"/>
        <w:rPr>
          <w:rFonts w:ascii="宋体" w:hAnsi="宋体"/>
          <w:b/>
          <w:szCs w:val="21"/>
        </w:rPr>
      </w:pPr>
      <w:r>
        <w:rPr>
          <w:rFonts w:hint="eastAsia" w:ascii="宋体" w:hAnsi="宋体"/>
          <w:b/>
          <w:szCs w:val="21"/>
        </w:rPr>
        <w:t>第二条</w:t>
      </w:r>
      <w:r>
        <w:rPr>
          <w:rFonts w:ascii="宋体" w:hAnsi="宋体"/>
          <w:b/>
          <w:szCs w:val="21"/>
        </w:rPr>
        <w:t xml:space="preserve">  </w:t>
      </w:r>
      <w:r>
        <w:rPr>
          <w:rFonts w:hint="eastAsia" w:ascii="宋体" w:hAnsi="宋体"/>
          <w:b/>
          <w:szCs w:val="21"/>
        </w:rPr>
        <w:t>合同价款</w:t>
      </w:r>
    </w:p>
    <w:p>
      <w:pPr>
        <w:spacing w:after="60" w:line="360" w:lineRule="auto"/>
        <w:ind w:firstLine="420" w:firstLineChars="200"/>
        <w:jc w:val="left"/>
        <w:rPr>
          <w:rFonts w:ascii="宋体" w:hAnsi="宋体"/>
          <w:szCs w:val="21"/>
        </w:rPr>
      </w:pPr>
      <w:r>
        <w:rPr>
          <w:rFonts w:hint="eastAsia" w:ascii="宋体" w:hAnsi="宋体"/>
          <w:szCs w:val="21"/>
        </w:rPr>
        <w:t>本合同项下总价款为</w:t>
      </w:r>
      <w:r>
        <w:rPr>
          <w:rFonts w:ascii="宋体" w:hAnsi="宋体"/>
          <w:szCs w:val="21"/>
          <w:u w:val="single"/>
        </w:rPr>
        <w:t xml:space="preserve">              </w:t>
      </w:r>
      <w:r>
        <w:rPr>
          <w:rFonts w:hint="eastAsia" w:ascii="宋体" w:hAnsi="宋体"/>
          <w:szCs w:val="21"/>
        </w:rPr>
        <w:t>（大写）人民币，分项价款详见</w:t>
      </w:r>
      <w:r>
        <w:rPr>
          <w:rFonts w:ascii="宋体" w:hAnsi="宋体"/>
          <w:b/>
          <w:szCs w:val="21"/>
          <w:u w:val="single"/>
        </w:rPr>
        <w:t xml:space="preserve">          </w:t>
      </w:r>
      <w:r>
        <w:rPr>
          <w:rFonts w:hint="eastAsia" w:ascii="宋体" w:hAnsi="宋体"/>
          <w:szCs w:val="21"/>
        </w:rPr>
        <w:t>。本合同总价款已包括乙方为履行本合同义务所发生的一切费用，系固定不变价格，且不随通货膨胀的影响而波动。</w:t>
      </w:r>
    </w:p>
    <w:p>
      <w:pPr>
        <w:spacing w:after="60" w:line="360" w:lineRule="auto"/>
        <w:ind w:firstLine="422" w:firstLineChars="200"/>
        <w:jc w:val="left"/>
        <w:rPr>
          <w:rFonts w:ascii="宋体" w:hAnsi="宋体"/>
          <w:b/>
          <w:szCs w:val="21"/>
        </w:rPr>
      </w:pPr>
      <w:r>
        <w:rPr>
          <w:rFonts w:hint="eastAsia" w:ascii="宋体" w:hAnsi="宋体"/>
          <w:b/>
          <w:szCs w:val="21"/>
        </w:rPr>
        <w:t>第三条</w:t>
      </w:r>
      <w:r>
        <w:rPr>
          <w:rFonts w:ascii="宋体" w:hAnsi="宋体"/>
          <w:b/>
          <w:szCs w:val="21"/>
        </w:rPr>
        <w:t xml:space="preserve">  </w:t>
      </w:r>
      <w:r>
        <w:rPr>
          <w:rFonts w:hint="eastAsia" w:ascii="宋体" w:hAnsi="宋体"/>
          <w:b/>
          <w:szCs w:val="21"/>
        </w:rPr>
        <w:t>交货时间、地点和交货状态</w:t>
      </w:r>
    </w:p>
    <w:p>
      <w:pPr>
        <w:spacing w:after="60" w:line="360" w:lineRule="auto"/>
        <w:ind w:firstLine="420" w:firstLineChars="200"/>
        <w:jc w:val="left"/>
        <w:rPr>
          <w:rFonts w:ascii="宋体" w:hAnsi="宋体"/>
          <w:szCs w:val="21"/>
        </w:rPr>
      </w:pPr>
      <w:r>
        <w:rPr>
          <w:rFonts w:hint="eastAsia" w:ascii="宋体" w:hAnsi="宋体"/>
          <w:szCs w:val="21"/>
        </w:rPr>
        <w:t>3.1交货时间：</w:t>
      </w:r>
    </w:p>
    <w:p>
      <w:pPr>
        <w:spacing w:after="60" w:line="360" w:lineRule="auto"/>
        <w:ind w:firstLine="420" w:firstLineChars="200"/>
        <w:jc w:val="left"/>
        <w:rPr>
          <w:rFonts w:ascii="宋体" w:hAnsi="宋体"/>
          <w:szCs w:val="21"/>
        </w:rPr>
      </w:pPr>
      <w:r>
        <w:rPr>
          <w:rFonts w:hint="eastAsia" w:ascii="宋体" w:hAnsi="宋体"/>
          <w:szCs w:val="21"/>
        </w:rPr>
        <w:t>3.2交货地点：</w:t>
      </w:r>
    </w:p>
    <w:p>
      <w:pPr>
        <w:spacing w:after="60" w:line="360" w:lineRule="auto"/>
        <w:ind w:firstLine="420" w:firstLineChars="200"/>
        <w:jc w:val="left"/>
        <w:rPr>
          <w:rFonts w:ascii="宋体" w:hAnsi="宋体"/>
          <w:szCs w:val="21"/>
        </w:rPr>
      </w:pPr>
      <w:r>
        <w:rPr>
          <w:rFonts w:hint="eastAsia" w:ascii="宋体" w:hAnsi="宋体"/>
          <w:szCs w:val="21"/>
        </w:rPr>
        <w:t>3.3交货状态：</w:t>
      </w:r>
    </w:p>
    <w:p>
      <w:pPr>
        <w:spacing w:after="60" w:line="360" w:lineRule="auto"/>
        <w:ind w:firstLine="422" w:firstLineChars="200"/>
        <w:jc w:val="left"/>
        <w:rPr>
          <w:rFonts w:ascii="宋体" w:hAnsi="宋体"/>
          <w:b/>
          <w:szCs w:val="21"/>
        </w:rPr>
      </w:pPr>
      <w:r>
        <w:rPr>
          <w:rFonts w:hint="eastAsia" w:ascii="宋体" w:hAnsi="宋体"/>
          <w:b/>
          <w:szCs w:val="21"/>
        </w:rPr>
        <w:t>第四条</w:t>
      </w:r>
      <w:r>
        <w:rPr>
          <w:rFonts w:ascii="宋体" w:hAnsi="宋体"/>
          <w:b/>
          <w:szCs w:val="21"/>
        </w:rPr>
        <w:t xml:space="preserve">  </w:t>
      </w:r>
      <w:r>
        <w:rPr>
          <w:rFonts w:hint="eastAsia" w:ascii="宋体" w:hAnsi="宋体"/>
          <w:b/>
          <w:szCs w:val="21"/>
        </w:rPr>
        <w:t>质量标准和要求</w:t>
      </w:r>
    </w:p>
    <w:p>
      <w:pPr>
        <w:spacing w:after="60" w:line="360" w:lineRule="auto"/>
        <w:ind w:firstLine="420" w:firstLineChars="200"/>
        <w:jc w:val="left"/>
        <w:rPr>
          <w:rFonts w:ascii="宋体" w:hAnsi="宋体"/>
          <w:szCs w:val="21"/>
        </w:rPr>
      </w:pPr>
      <w:r>
        <w:rPr>
          <w:rFonts w:hint="eastAsia" w:ascii="宋体" w:hAnsi="宋体"/>
          <w:szCs w:val="21"/>
        </w:rPr>
        <w:t>4.1乙方所提供的货物质量标准按照国家标准或者行业标准或者企业标准明确。没有国家标准、行业标准或企业标准的，按照通常标准或者符合合同目的的特定标准确定。</w:t>
      </w:r>
    </w:p>
    <w:p>
      <w:pPr>
        <w:spacing w:after="60" w:line="360" w:lineRule="auto"/>
        <w:ind w:firstLine="420" w:firstLineChars="200"/>
        <w:jc w:val="left"/>
        <w:rPr>
          <w:rFonts w:ascii="宋体" w:hAnsi="宋体"/>
          <w:szCs w:val="21"/>
        </w:rPr>
      </w:pPr>
      <w:r>
        <w:rPr>
          <w:rFonts w:hint="eastAsia" w:ascii="宋体" w:hAnsi="宋体"/>
          <w:szCs w:val="21"/>
        </w:rPr>
        <w:t>4.2乙方应保证货物是全新、未使用过的原装合格正品（包括零部件），并完全符合甲方要求的质量、规格和性能的要求。如货物安装或配置了软件的，乙方保证相关软件均为正版软件。</w:t>
      </w:r>
    </w:p>
    <w:p>
      <w:pPr>
        <w:spacing w:after="60" w:line="360" w:lineRule="auto"/>
        <w:ind w:firstLine="420" w:firstLineChars="200"/>
        <w:jc w:val="left"/>
        <w:rPr>
          <w:rFonts w:ascii="宋体" w:hAnsi="宋体"/>
          <w:szCs w:val="21"/>
        </w:rPr>
      </w:pPr>
      <w:r>
        <w:rPr>
          <w:rFonts w:ascii="宋体" w:hAnsi="宋体"/>
          <w:szCs w:val="21"/>
        </w:rPr>
        <w:t>4.3乙方保证交货时一并提供货物的质量合格凭证或文件。</w:t>
      </w:r>
    </w:p>
    <w:p>
      <w:pPr>
        <w:spacing w:after="60" w:line="360" w:lineRule="auto"/>
        <w:ind w:firstLine="420" w:firstLineChars="200"/>
        <w:jc w:val="left"/>
        <w:rPr>
          <w:rFonts w:ascii="宋体" w:hAnsi="宋体"/>
          <w:szCs w:val="21"/>
        </w:rPr>
      </w:pPr>
      <w:r>
        <w:rPr>
          <w:rFonts w:ascii="宋体" w:hAnsi="宋体"/>
          <w:szCs w:val="21"/>
        </w:rPr>
        <w:t>4.4乙方所提供的全部货物均应按照标准保护措施进行包装，包装应适用于远距离运输、防潮、防震、防锈、防野蛮装卸等要求，以确保货物安全无损抵运指定交货地点。</w:t>
      </w:r>
    </w:p>
    <w:p>
      <w:pPr>
        <w:spacing w:after="60" w:line="360" w:lineRule="auto"/>
        <w:ind w:firstLine="422" w:firstLineChars="200"/>
        <w:jc w:val="left"/>
        <w:rPr>
          <w:rFonts w:ascii="宋体" w:hAnsi="宋体"/>
          <w:b/>
          <w:szCs w:val="21"/>
        </w:rPr>
      </w:pPr>
      <w:r>
        <w:rPr>
          <w:rFonts w:hint="eastAsia" w:ascii="宋体" w:hAnsi="宋体"/>
          <w:b/>
          <w:szCs w:val="21"/>
        </w:rPr>
        <w:t>第五条</w:t>
      </w:r>
      <w:r>
        <w:rPr>
          <w:rFonts w:ascii="宋体" w:hAnsi="宋体"/>
          <w:b/>
          <w:szCs w:val="21"/>
        </w:rPr>
        <w:t xml:space="preserve">  </w:t>
      </w:r>
      <w:r>
        <w:rPr>
          <w:rFonts w:hint="eastAsia" w:ascii="宋体" w:hAnsi="宋体"/>
          <w:b/>
          <w:szCs w:val="21"/>
        </w:rPr>
        <w:t>权利保证</w:t>
      </w:r>
    </w:p>
    <w:p>
      <w:pPr>
        <w:spacing w:after="60" w:line="360" w:lineRule="auto"/>
        <w:ind w:firstLine="420" w:firstLineChars="200"/>
        <w:jc w:val="left"/>
        <w:rPr>
          <w:rFonts w:ascii="宋体" w:hAnsi="宋体"/>
          <w:szCs w:val="21"/>
        </w:rPr>
      </w:pPr>
      <w:r>
        <w:rPr>
          <w:rFonts w:ascii="宋体" w:hAnsi="宋体"/>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after="60" w:line="360" w:lineRule="auto"/>
        <w:ind w:firstLine="420" w:firstLineChars="200"/>
        <w:jc w:val="left"/>
        <w:rPr>
          <w:rFonts w:ascii="宋体" w:hAnsi="宋体"/>
          <w:szCs w:val="21"/>
        </w:rPr>
      </w:pPr>
      <w:r>
        <w:rPr>
          <w:rFonts w:ascii="宋体" w:hAnsi="宋体"/>
          <w:szCs w:val="21"/>
        </w:rPr>
        <w:t>5.2乙方应保证其提供的货物不存在任何未曾向甲方透漏的担保物权，如抵押权、质押权、留置权等。</w:t>
      </w:r>
    </w:p>
    <w:p>
      <w:pPr>
        <w:spacing w:after="60" w:line="360" w:lineRule="auto"/>
        <w:ind w:firstLine="422" w:firstLineChars="200"/>
        <w:jc w:val="left"/>
        <w:rPr>
          <w:rFonts w:ascii="宋体" w:hAnsi="宋体"/>
          <w:b/>
          <w:szCs w:val="21"/>
        </w:rPr>
      </w:pPr>
      <w:r>
        <w:rPr>
          <w:rFonts w:hint="eastAsia" w:ascii="宋体" w:hAnsi="宋体"/>
          <w:b/>
          <w:szCs w:val="21"/>
        </w:rPr>
        <w:t>第六条</w:t>
      </w:r>
      <w:r>
        <w:rPr>
          <w:rFonts w:ascii="宋体" w:hAnsi="宋体"/>
          <w:b/>
          <w:szCs w:val="21"/>
        </w:rPr>
        <w:t xml:space="preserve">  </w:t>
      </w:r>
      <w:r>
        <w:rPr>
          <w:rFonts w:hint="eastAsia" w:ascii="宋体" w:hAnsi="宋体"/>
          <w:b/>
          <w:szCs w:val="21"/>
        </w:rPr>
        <w:t>质量保障</w:t>
      </w:r>
    </w:p>
    <w:p>
      <w:pPr>
        <w:spacing w:after="60" w:line="360" w:lineRule="auto"/>
        <w:ind w:firstLine="420" w:firstLineChars="200"/>
        <w:jc w:val="left"/>
        <w:rPr>
          <w:rFonts w:ascii="宋体" w:hAnsi="宋体"/>
          <w:szCs w:val="21"/>
        </w:rPr>
      </w:pPr>
      <w:r>
        <w:rPr>
          <w:rFonts w:ascii="宋体" w:hAnsi="宋体"/>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after="60" w:line="360" w:lineRule="auto"/>
        <w:ind w:firstLine="420" w:firstLineChars="200"/>
        <w:jc w:val="left"/>
        <w:rPr>
          <w:rFonts w:ascii="宋体" w:hAnsi="宋体"/>
          <w:szCs w:val="21"/>
        </w:rPr>
      </w:pPr>
      <w:r>
        <w:rPr>
          <w:rFonts w:ascii="宋体" w:hAnsi="宋体"/>
          <w:szCs w:val="21"/>
        </w:rPr>
        <w:t>6.2在质量保证期限内，如果货物的质量或规格与合同不符，或者证实货物存在缺陷的，包括潜在的缺陷或者使用不符合要求的材料等，甲方可根据本合同追究乙方相应违约责任。</w:t>
      </w:r>
    </w:p>
    <w:p>
      <w:pPr>
        <w:spacing w:after="60" w:line="360" w:lineRule="auto"/>
        <w:ind w:firstLine="422" w:firstLineChars="200"/>
        <w:jc w:val="left"/>
        <w:rPr>
          <w:rFonts w:ascii="宋体" w:hAnsi="宋体"/>
          <w:b/>
          <w:szCs w:val="21"/>
        </w:rPr>
      </w:pPr>
      <w:r>
        <w:rPr>
          <w:rFonts w:hint="eastAsia" w:ascii="宋体" w:hAnsi="宋体"/>
          <w:b/>
          <w:szCs w:val="21"/>
        </w:rPr>
        <w:t>第七条</w:t>
      </w:r>
      <w:r>
        <w:rPr>
          <w:rFonts w:ascii="宋体" w:hAnsi="宋体"/>
          <w:b/>
          <w:szCs w:val="21"/>
        </w:rPr>
        <w:t xml:space="preserve">  </w:t>
      </w:r>
      <w:r>
        <w:rPr>
          <w:rFonts w:hint="eastAsia" w:ascii="宋体" w:hAnsi="宋体"/>
          <w:b/>
          <w:szCs w:val="21"/>
        </w:rPr>
        <w:t>交货和验收</w:t>
      </w:r>
    </w:p>
    <w:p>
      <w:pPr>
        <w:spacing w:after="60" w:line="360" w:lineRule="auto"/>
        <w:ind w:firstLine="420" w:firstLineChars="200"/>
        <w:jc w:val="left"/>
        <w:rPr>
          <w:rFonts w:ascii="宋体" w:hAnsi="宋体"/>
          <w:szCs w:val="21"/>
        </w:rPr>
      </w:pPr>
      <w:r>
        <w:rPr>
          <w:rFonts w:ascii="宋体" w:hAnsi="宋体"/>
          <w:szCs w:val="21"/>
        </w:rPr>
        <w:t>7.1乙方应按照本合同或招投标文件规定的时间和方式向甲方交付货物，交货地点由甲方指定。因交货产生的费用由乙方自行承担。</w:t>
      </w:r>
    </w:p>
    <w:p>
      <w:pPr>
        <w:spacing w:after="60" w:line="360" w:lineRule="auto"/>
        <w:ind w:firstLine="420" w:firstLineChars="200"/>
        <w:jc w:val="left"/>
        <w:rPr>
          <w:rFonts w:ascii="宋体" w:hAnsi="宋体"/>
          <w:szCs w:val="21"/>
        </w:rPr>
      </w:pPr>
      <w:r>
        <w:rPr>
          <w:rFonts w:ascii="宋体" w:hAnsi="宋体"/>
          <w:szCs w:val="21"/>
        </w:rPr>
        <w:t>7.2乙方交付的货物应当完全符合招投标文件所规定的货物、数量、质量和规格要求。乙方提供的货物不符合招投标文件和合同规定的，甲方有权拒收货物，由此引起的风险，由乙方承担。</w:t>
      </w:r>
    </w:p>
    <w:p>
      <w:pPr>
        <w:spacing w:after="60" w:line="360" w:lineRule="auto"/>
        <w:ind w:firstLine="420" w:firstLineChars="200"/>
        <w:jc w:val="left"/>
        <w:rPr>
          <w:rFonts w:ascii="宋体" w:hAnsi="宋体"/>
          <w:szCs w:val="21"/>
        </w:rPr>
      </w:pPr>
      <w:r>
        <w:rPr>
          <w:rFonts w:ascii="宋体" w:hAnsi="宋体"/>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after="60" w:line="360" w:lineRule="auto"/>
        <w:ind w:firstLine="420" w:firstLineChars="200"/>
        <w:jc w:val="left"/>
        <w:rPr>
          <w:rFonts w:ascii="宋体" w:hAnsi="宋体"/>
          <w:szCs w:val="21"/>
        </w:rPr>
      </w:pPr>
      <w:r>
        <w:rPr>
          <w:rFonts w:ascii="宋体" w:hAnsi="宋体"/>
          <w:szCs w:val="21"/>
        </w:rPr>
        <w:t>7.4甲方应当在到货后的</w:t>
      </w:r>
      <w:r>
        <w:rPr>
          <w:rFonts w:ascii="宋体" w:hAnsi="宋体"/>
          <w:szCs w:val="21"/>
          <w:u w:val="single"/>
        </w:rPr>
        <w:t xml:space="preserve">       </w:t>
      </w:r>
      <w:r>
        <w:rPr>
          <w:rFonts w:hint="eastAsia" w:ascii="宋体" w:hAnsi="宋体"/>
          <w:szCs w:val="21"/>
        </w:rPr>
        <w:t>个工作日内对货物进行验收；需要乙方对货物或系统进行安装调试的，甲方应在货物安装调试完毕后的</w:t>
      </w:r>
      <w:r>
        <w:rPr>
          <w:rFonts w:ascii="宋体" w:hAnsi="宋体"/>
          <w:szCs w:val="21"/>
          <w:u w:val="single"/>
        </w:rPr>
        <w:t xml:space="preserve">       </w:t>
      </w:r>
      <w:r>
        <w:rPr>
          <w:rFonts w:hint="eastAsia" w:ascii="宋体" w:hAnsi="宋体"/>
          <w:szCs w:val="21"/>
        </w:rPr>
        <w:t>个工作日内进行质量验收。</w:t>
      </w:r>
    </w:p>
    <w:p>
      <w:pPr>
        <w:spacing w:after="60" w:line="360" w:lineRule="auto"/>
        <w:ind w:firstLine="422" w:firstLineChars="200"/>
        <w:jc w:val="left"/>
        <w:rPr>
          <w:rFonts w:ascii="宋体" w:hAnsi="宋体"/>
          <w:b/>
          <w:szCs w:val="21"/>
        </w:rPr>
      </w:pPr>
      <w:r>
        <w:rPr>
          <w:rFonts w:hint="eastAsia" w:ascii="宋体" w:hAnsi="宋体"/>
          <w:b/>
          <w:szCs w:val="21"/>
        </w:rPr>
        <w:t>第八条</w:t>
      </w:r>
      <w:r>
        <w:rPr>
          <w:rFonts w:ascii="宋体" w:hAnsi="宋体"/>
          <w:b/>
          <w:szCs w:val="21"/>
        </w:rPr>
        <w:t xml:space="preserve">  </w:t>
      </w:r>
      <w:r>
        <w:rPr>
          <w:rFonts w:hint="eastAsia" w:ascii="宋体" w:hAnsi="宋体"/>
          <w:b/>
          <w:szCs w:val="21"/>
        </w:rPr>
        <w:t>保修及其他服务</w:t>
      </w:r>
    </w:p>
    <w:p>
      <w:pPr>
        <w:spacing w:after="60" w:line="360" w:lineRule="auto"/>
        <w:ind w:firstLine="420" w:firstLineChars="200"/>
        <w:jc w:val="left"/>
        <w:rPr>
          <w:rFonts w:ascii="宋体" w:hAnsi="宋体"/>
          <w:szCs w:val="21"/>
        </w:rPr>
      </w:pPr>
      <w:r>
        <w:rPr>
          <w:rFonts w:ascii="宋体" w:hAnsi="宋体"/>
          <w:szCs w:val="21"/>
        </w:rPr>
        <w:t>8.1乙方应按照国家有关法律法规规章和“三包”规定和招标文件的要求及乙方在投标文件的相关承诺提供保修及其他服务。</w:t>
      </w:r>
    </w:p>
    <w:p>
      <w:pPr>
        <w:spacing w:after="60" w:line="360" w:lineRule="auto"/>
        <w:ind w:firstLine="420" w:firstLineChars="200"/>
        <w:jc w:val="left"/>
        <w:rPr>
          <w:rFonts w:ascii="宋体" w:hAnsi="宋体"/>
          <w:szCs w:val="21"/>
        </w:rPr>
      </w:pPr>
      <w:r>
        <w:rPr>
          <w:rFonts w:ascii="宋体" w:hAnsi="宋体"/>
          <w:szCs w:val="21"/>
        </w:rPr>
        <w:t>8.2保修期内，乙方负责对其提供的货物进行维修和系统维护，不再收取任何费用。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spacing w:after="60" w:line="360" w:lineRule="auto"/>
        <w:ind w:firstLine="422" w:firstLineChars="200"/>
        <w:jc w:val="left"/>
        <w:rPr>
          <w:rFonts w:ascii="宋体" w:hAnsi="宋体"/>
          <w:b/>
          <w:szCs w:val="21"/>
        </w:rPr>
      </w:pPr>
      <w:r>
        <w:rPr>
          <w:rFonts w:hint="eastAsia" w:ascii="宋体" w:hAnsi="宋体"/>
          <w:b/>
          <w:szCs w:val="21"/>
        </w:rPr>
        <w:t>第九条</w:t>
      </w:r>
      <w:r>
        <w:rPr>
          <w:rFonts w:ascii="宋体" w:hAnsi="宋体"/>
          <w:b/>
          <w:szCs w:val="21"/>
        </w:rPr>
        <w:t xml:space="preserve">  </w:t>
      </w:r>
      <w:r>
        <w:rPr>
          <w:rFonts w:hint="eastAsia" w:ascii="宋体" w:hAnsi="宋体"/>
          <w:b/>
          <w:szCs w:val="21"/>
        </w:rPr>
        <w:t>履约保证金</w:t>
      </w:r>
    </w:p>
    <w:p>
      <w:pPr>
        <w:spacing w:after="60" w:line="360" w:lineRule="auto"/>
        <w:ind w:firstLine="420" w:firstLineChars="200"/>
        <w:jc w:val="left"/>
        <w:rPr>
          <w:rFonts w:ascii="宋体" w:hAnsi="宋体"/>
          <w:szCs w:val="21"/>
        </w:rPr>
      </w:pPr>
      <w:r>
        <w:rPr>
          <w:rFonts w:ascii="宋体" w:hAnsi="宋体"/>
          <w:szCs w:val="21"/>
        </w:rPr>
        <w:t>9.1乙方应在签订本合同之日，向甲方或甲方指定的机构提交履约保证金_________元。</w:t>
      </w:r>
    </w:p>
    <w:p>
      <w:pPr>
        <w:spacing w:after="60" w:line="360" w:lineRule="auto"/>
        <w:ind w:firstLine="420" w:firstLineChars="200"/>
        <w:jc w:val="left"/>
        <w:rPr>
          <w:rFonts w:ascii="宋体" w:hAnsi="宋体"/>
          <w:szCs w:val="21"/>
        </w:rPr>
      </w:pPr>
      <w:r>
        <w:rPr>
          <w:rFonts w:ascii="宋体" w:hAnsi="宋体"/>
          <w:szCs w:val="21"/>
        </w:rPr>
        <w:t>9.2如乙方未能履行合同规定的义务，甲方有权从履约保证金中取得补偿。</w:t>
      </w:r>
    </w:p>
    <w:p>
      <w:pPr>
        <w:spacing w:after="60" w:line="360" w:lineRule="auto"/>
        <w:ind w:firstLine="420" w:firstLineChars="200"/>
        <w:jc w:val="left"/>
        <w:rPr>
          <w:rFonts w:ascii="宋体" w:hAnsi="宋体"/>
          <w:szCs w:val="21"/>
        </w:rPr>
      </w:pPr>
      <w:r>
        <w:rPr>
          <w:rFonts w:ascii="宋体" w:hAnsi="宋体"/>
          <w:szCs w:val="21"/>
        </w:rPr>
        <w:t>9.3甲方在乙方履行完毕本合同项下全部义务后______天内无息退还乙方。</w:t>
      </w:r>
    </w:p>
    <w:p>
      <w:pPr>
        <w:spacing w:after="60" w:line="360" w:lineRule="auto"/>
        <w:ind w:firstLine="422" w:firstLineChars="200"/>
        <w:jc w:val="left"/>
        <w:rPr>
          <w:rFonts w:ascii="宋体" w:hAnsi="宋体"/>
          <w:b/>
          <w:szCs w:val="21"/>
        </w:rPr>
      </w:pPr>
      <w:r>
        <w:rPr>
          <w:rFonts w:hint="eastAsia" w:ascii="宋体" w:hAnsi="宋体"/>
          <w:b/>
          <w:szCs w:val="21"/>
        </w:rPr>
        <w:t>第十条</w:t>
      </w:r>
      <w:r>
        <w:rPr>
          <w:rFonts w:ascii="宋体" w:hAnsi="宋体"/>
          <w:b/>
          <w:szCs w:val="21"/>
        </w:rPr>
        <w:t xml:space="preserve">  </w:t>
      </w:r>
      <w:r>
        <w:rPr>
          <w:rFonts w:hint="eastAsia" w:ascii="宋体" w:hAnsi="宋体"/>
          <w:b/>
          <w:szCs w:val="21"/>
        </w:rPr>
        <w:t>货款支付</w:t>
      </w:r>
    </w:p>
    <w:p>
      <w:pPr>
        <w:spacing w:after="60" w:line="360" w:lineRule="auto"/>
        <w:ind w:firstLine="420" w:firstLineChars="200"/>
        <w:jc w:val="left"/>
        <w:rPr>
          <w:rFonts w:ascii="宋体" w:hAnsi="宋体"/>
          <w:szCs w:val="21"/>
        </w:rPr>
      </w:pPr>
      <w:r>
        <w:rPr>
          <w:rFonts w:hint="eastAsia" w:ascii="宋体" w:hAnsi="宋体"/>
          <w:szCs w:val="21"/>
        </w:rPr>
        <w:t>10.1本合同以人民币付款。</w:t>
      </w:r>
    </w:p>
    <w:p>
      <w:pPr>
        <w:spacing w:after="60" w:line="360" w:lineRule="auto"/>
        <w:ind w:firstLine="420" w:firstLineChars="200"/>
        <w:jc w:val="left"/>
        <w:rPr>
          <w:rFonts w:ascii="宋体" w:hAnsi="宋体"/>
          <w:szCs w:val="21"/>
        </w:rPr>
      </w:pPr>
      <w:r>
        <w:rPr>
          <w:rFonts w:hint="eastAsia" w:ascii="宋体" w:hAnsi="宋体"/>
          <w:szCs w:val="21"/>
        </w:rPr>
        <w:t>10.2付款条件：</w:t>
      </w:r>
    </w:p>
    <w:p>
      <w:pPr>
        <w:spacing w:after="60" w:line="360" w:lineRule="auto"/>
        <w:ind w:firstLine="420" w:firstLineChars="200"/>
        <w:jc w:val="left"/>
        <w:rPr>
          <w:rFonts w:ascii="宋体" w:hAnsi="宋体"/>
          <w:szCs w:val="21"/>
        </w:rPr>
      </w:pPr>
      <w:r>
        <w:rPr>
          <w:rFonts w:hint="eastAsia" w:ascii="宋体" w:hAnsi="宋体"/>
          <w:szCs w:val="21"/>
        </w:rPr>
        <w:t>10.3付款方式和时间：</w:t>
      </w:r>
    </w:p>
    <w:p>
      <w:pPr>
        <w:spacing w:after="60" w:line="360" w:lineRule="auto"/>
        <w:ind w:firstLine="422" w:firstLineChars="200"/>
        <w:jc w:val="left"/>
        <w:rPr>
          <w:rFonts w:ascii="宋体" w:hAnsi="宋体"/>
          <w:b/>
          <w:szCs w:val="21"/>
        </w:rPr>
      </w:pPr>
      <w:r>
        <w:rPr>
          <w:rFonts w:hint="eastAsia" w:ascii="宋体" w:hAnsi="宋体"/>
          <w:b/>
          <w:szCs w:val="21"/>
        </w:rPr>
        <w:t>第十一条</w:t>
      </w:r>
      <w:r>
        <w:rPr>
          <w:rFonts w:ascii="宋体" w:hAnsi="宋体"/>
          <w:b/>
          <w:szCs w:val="21"/>
        </w:rPr>
        <w:t xml:space="preserve">  </w:t>
      </w:r>
      <w:r>
        <w:rPr>
          <w:rFonts w:hint="eastAsia" w:ascii="宋体" w:hAnsi="宋体"/>
          <w:b/>
          <w:szCs w:val="21"/>
        </w:rPr>
        <w:t>违约责任</w:t>
      </w:r>
    </w:p>
    <w:p>
      <w:pPr>
        <w:spacing w:after="60" w:line="360" w:lineRule="auto"/>
        <w:ind w:firstLine="420" w:firstLineChars="200"/>
        <w:jc w:val="left"/>
        <w:rPr>
          <w:rFonts w:ascii="宋体" w:hAnsi="宋体"/>
          <w:szCs w:val="21"/>
        </w:rPr>
      </w:pPr>
      <w:r>
        <w:rPr>
          <w:rFonts w:ascii="宋体" w:hAnsi="宋体"/>
          <w:szCs w:val="21"/>
        </w:rPr>
        <w:t>11.1甲方无正当理由拒收货物、拒付货物款的，由甲方向乙方偿付合同总价的【】%违约金。</w:t>
      </w:r>
    </w:p>
    <w:p>
      <w:pPr>
        <w:spacing w:after="60" w:line="360" w:lineRule="auto"/>
        <w:ind w:firstLine="420" w:firstLineChars="200"/>
        <w:jc w:val="left"/>
        <w:rPr>
          <w:rFonts w:ascii="宋体" w:hAnsi="宋体"/>
          <w:szCs w:val="21"/>
        </w:rPr>
      </w:pPr>
      <w:r>
        <w:rPr>
          <w:rFonts w:ascii="宋体" w:hAnsi="宋体"/>
          <w:szCs w:val="21"/>
        </w:rPr>
        <w:t>11.2甲方未按合同规定的期限向乙方支付货款的，每逾期1天甲方向乙方偿付欠款总额的【】‰滞纳金，但累计滞纳金总额不超过欠款总额的【】%。</w:t>
      </w:r>
    </w:p>
    <w:p>
      <w:pPr>
        <w:spacing w:after="60" w:line="360" w:lineRule="auto"/>
        <w:ind w:firstLine="420" w:firstLineChars="200"/>
        <w:jc w:val="left"/>
        <w:rPr>
          <w:rFonts w:ascii="宋体" w:hAnsi="宋体"/>
          <w:szCs w:val="21"/>
        </w:rPr>
      </w:pPr>
      <w:r>
        <w:rPr>
          <w:rFonts w:ascii="宋体" w:hAnsi="宋体"/>
          <w:szCs w:val="21"/>
        </w:rPr>
        <w:t>11.3乙方逾期交付货物的</w:t>
      </w:r>
      <w:r>
        <w:rPr>
          <w:rFonts w:hint="eastAsia" w:ascii="宋体" w:hAnsi="宋体"/>
          <w:szCs w:val="21"/>
        </w:rPr>
        <w:t>，</w:t>
      </w:r>
      <w:r>
        <w:rPr>
          <w:rFonts w:ascii="宋体" w:hAnsi="宋体"/>
          <w:szCs w:val="21"/>
        </w:rPr>
        <w:t>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w:t>
      </w:r>
      <w:r>
        <w:rPr>
          <w:rFonts w:ascii="宋体" w:hAnsi="宋体"/>
          <w:szCs w:val="21"/>
          <w:u w:val="single"/>
        </w:rPr>
        <w:t xml:space="preserve">    </w:t>
      </w:r>
      <w:r>
        <w:rPr>
          <w:rFonts w:hint="eastAsia" w:ascii="宋体" w:hAnsi="宋体"/>
          <w:szCs w:val="21"/>
        </w:rPr>
        <w:t>天，甲方有权解除合同，履约保证金不予退回，同时乙方应向甲方支付合同总价【】％的违约金。</w:t>
      </w:r>
    </w:p>
    <w:p>
      <w:pPr>
        <w:spacing w:after="60" w:line="360" w:lineRule="auto"/>
        <w:ind w:firstLine="420" w:firstLineChars="200"/>
        <w:jc w:val="left"/>
        <w:rPr>
          <w:rFonts w:ascii="宋体" w:hAnsi="宋体"/>
          <w:szCs w:val="21"/>
        </w:rPr>
      </w:pPr>
      <w:r>
        <w:rPr>
          <w:rFonts w:ascii="宋体" w:hAnsi="宋体"/>
          <w:szCs w:val="21"/>
        </w:rPr>
        <w:t>11.4乙方所交付的货物品种、型号、规格不符合合同规定的，甲方有权拒收。甲方拒收的，乙方应向甲方支付货款总额【】%的违约金。</w:t>
      </w:r>
    </w:p>
    <w:p>
      <w:pPr>
        <w:spacing w:after="60" w:line="360" w:lineRule="auto"/>
        <w:ind w:firstLine="420" w:firstLineChars="200"/>
        <w:jc w:val="left"/>
        <w:rPr>
          <w:rFonts w:ascii="宋体" w:hAnsi="宋体"/>
          <w:szCs w:val="21"/>
        </w:rPr>
      </w:pPr>
      <w:r>
        <w:rPr>
          <w:rFonts w:ascii="宋体" w:hAnsi="宋体"/>
          <w:szCs w:val="21"/>
        </w:rPr>
        <w:t>11.5在乙方承诺的或国家规定的质量保证期内（取两者中最长的期限），如经乙方两次维修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spacing w:after="60" w:line="360" w:lineRule="auto"/>
        <w:ind w:firstLine="420" w:firstLineChars="200"/>
        <w:jc w:val="left"/>
        <w:rPr>
          <w:rFonts w:ascii="宋体" w:hAnsi="宋体"/>
          <w:szCs w:val="21"/>
        </w:rPr>
      </w:pPr>
      <w:r>
        <w:rPr>
          <w:rFonts w:ascii="宋体" w:hAnsi="宋体"/>
          <w:szCs w:val="21"/>
        </w:rPr>
        <w:t>11.6乙方未履行本合同项下的其他义务或违反其在投标文件中的相关承诺的，应按合同总价款的【】%向甲方承担违约责任。</w:t>
      </w:r>
    </w:p>
    <w:p>
      <w:pPr>
        <w:spacing w:after="60" w:line="360" w:lineRule="auto"/>
        <w:ind w:firstLine="420" w:firstLineChars="200"/>
        <w:jc w:val="left"/>
        <w:rPr>
          <w:rFonts w:ascii="宋体" w:hAnsi="宋体"/>
          <w:szCs w:val="21"/>
        </w:rPr>
      </w:pPr>
      <w:r>
        <w:rPr>
          <w:rFonts w:ascii="宋体" w:hAnsi="宋体"/>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after="60" w:line="360" w:lineRule="auto"/>
        <w:ind w:firstLine="422" w:firstLineChars="200"/>
        <w:jc w:val="left"/>
        <w:rPr>
          <w:rFonts w:ascii="宋体" w:hAnsi="宋体"/>
          <w:b/>
          <w:szCs w:val="21"/>
        </w:rPr>
      </w:pPr>
      <w:r>
        <w:rPr>
          <w:rFonts w:hint="eastAsia" w:ascii="宋体" w:hAnsi="宋体"/>
          <w:b/>
          <w:szCs w:val="21"/>
        </w:rPr>
        <w:t>第十二条</w:t>
      </w:r>
      <w:r>
        <w:rPr>
          <w:rFonts w:ascii="宋体" w:hAnsi="宋体"/>
          <w:b/>
          <w:szCs w:val="21"/>
        </w:rPr>
        <w:t xml:space="preserve">  </w:t>
      </w:r>
      <w:r>
        <w:rPr>
          <w:rFonts w:hint="eastAsia" w:ascii="宋体" w:hAnsi="宋体"/>
          <w:b/>
          <w:szCs w:val="21"/>
        </w:rPr>
        <w:t>合同的变更、解除或终止</w:t>
      </w:r>
    </w:p>
    <w:p>
      <w:pPr>
        <w:spacing w:after="60" w:line="360" w:lineRule="auto"/>
        <w:ind w:firstLine="420" w:firstLineChars="200"/>
        <w:jc w:val="left"/>
        <w:rPr>
          <w:rFonts w:ascii="宋体" w:hAnsi="宋体"/>
          <w:szCs w:val="21"/>
        </w:rPr>
      </w:pPr>
      <w:r>
        <w:rPr>
          <w:rFonts w:ascii="宋体" w:hAnsi="宋体"/>
          <w:szCs w:val="21"/>
        </w:rPr>
        <w:t>12.1在合同履行中，甲方需追加与合同标的项目的货物、工程或者服务的，应按照《深圳经济特区政府采购条例》第四十条、第四十八条规定办理相关手续。</w:t>
      </w:r>
    </w:p>
    <w:p>
      <w:pPr>
        <w:spacing w:after="60" w:line="360" w:lineRule="auto"/>
        <w:ind w:firstLine="420" w:firstLineChars="200"/>
        <w:jc w:val="left"/>
        <w:rPr>
          <w:rFonts w:ascii="宋体" w:hAnsi="宋体"/>
          <w:szCs w:val="21"/>
        </w:rPr>
      </w:pPr>
      <w:r>
        <w:rPr>
          <w:rFonts w:ascii="宋体" w:hAnsi="宋体"/>
          <w:szCs w:val="21"/>
        </w:rPr>
        <w:t>12.</w:t>
      </w:r>
      <w:r>
        <w:rPr>
          <w:rFonts w:hint="eastAsia" w:ascii="宋体" w:hAnsi="宋体"/>
          <w:szCs w:val="21"/>
        </w:rPr>
        <w:t>2</w:t>
      </w:r>
      <w:r>
        <w:rPr>
          <w:rFonts w:ascii="宋体" w:hAnsi="宋体"/>
          <w:szCs w:val="21"/>
        </w:rPr>
        <w:t>除《中华人民共和国政府采购法》第49条、第50条第二款规定的情形外，本合同一经签订，甲乙双方不得擅自变更、中止或终止合同。</w:t>
      </w:r>
    </w:p>
    <w:p>
      <w:pPr>
        <w:spacing w:after="60" w:line="360" w:lineRule="auto"/>
        <w:ind w:firstLine="422" w:firstLineChars="200"/>
        <w:jc w:val="left"/>
        <w:rPr>
          <w:rFonts w:ascii="宋体" w:hAnsi="宋体"/>
          <w:b/>
          <w:szCs w:val="21"/>
        </w:rPr>
      </w:pPr>
      <w:r>
        <w:rPr>
          <w:rFonts w:hint="eastAsia" w:ascii="宋体" w:hAnsi="宋体"/>
          <w:b/>
          <w:szCs w:val="21"/>
        </w:rPr>
        <w:t>第十三条</w:t>
      </w:r>
      <w:r>
        <w:rPr>
          <w:rFonts w:ascii="宋体" w:hAnsi="宋体"/>
          <w:b/>
          <w:szCs w:val="21"/>
        </w:rPr>
        <w:t xml:space="preserve">  </w:t>
      </w:r>
      <w:r>
        <w:rPr>
          <w:rFonts w:hint="eastAsia" w:ascii="宋体" w:hAnsi="宋体"/>
          <w:b/>
          <w:szCs w:val="21"/>
        </w:rPr>
        <w:t>争议的解决</w:t>
      </w:r>
    </w:p>
    <w:p>
      <w:pPr>
        <w:spacing w:after="60" w:line="360" w:lineRule="auto"/>
        <w:ind w:firstLine="420" w:firstLineChars="200"/>
        <w:jc w:val="left"/>
        <w:rPr>
          <w:rFonts w:ascii="宋体" w:hAnsi="宋体"/>
          <w:szCs w:val="21"/>
        </w:rPr>
      </w:pPr>
      <w:r>
        <w:rPr>
          <w:rFonts w:ascii="宋体" w:hAnsi="宋体"/>
          <w:szCs w:val="21"/>
        </w:rPr>
        <w:t>13.1因货物的质量问题发生争议的，应当邀请国家认可的质量检测机构对货物质量进行鉴定。货物符合标准的，鉴定费由甲方承担；货物不符合质量标准的，鉴定费由乙方承担。</w:t>
      </w:r>
    </w:p>
    <w:p>
      <w:pPr>
        <w:spacing w:after="60" w:line="360" w:lineRule="auto"/>
        <w:ind w:firstLine="420" w:firstLineChars="200"/>
        <w:jc w:val="left"/>
        <w:rPr>
          <w:rFonts w:ascii="宋体" w:hAnsi="宋体"/>
          <w:szCs w:val="21"/>
        </w:rPr>
      </w:pPr>
      <w:r>
        <w:rPr>
          <w:rFonts w:ascii="宋体" w:hAnsi="宋体"/>
          <w:szCs w:val="21"/>
        </w:rPr>
        <w:t>13.2因履行本合同引起的或与本合同有关的争议，甲、乙双方应首先通过友好协商解决，如果协商不能解决争议，则向甲方所在地有管辖权的人民法院提起诉讼。</w:t>
      </w:r>
    </w:p>
    <w:p>
      <w:pPr>
        <w:spacing w:after="60" w:line="360" w:lineRule="auto"/>
        <w:ind w:firstLine="422" w:firstLineChars="200"/>
        <w:jc w:val="left"/>
        <w:rPr>
          <w:rFonts w:ascii="宋体" w:hAnsi="宋体"/>
          <w:b/>
          <w:szCs w:val="21"/>
        </w:rPr>
      </w:pPr>
      <w:r>
        <w:rPr>
          <w:rFonts w:hint="eastAsia" w:ascii="宋体" w:hAnsi="宋体"/>
          <w:b/>
          <w:szCs w:val="21"/>
        </w:rPr>
        <w:t>第十四条</w:t>
      </w:r>
      <w:r>
        <w:rPr>
          <w:rFonts w:ascii="宋体" w:hAnsi="宋体"/>
          <w:b/>
          <w:szCs w:val="21"/>
        </w:rPr>
        <w:t xml:space="preserve">  </w:t>
      </w:r>
      <w:r>
        <w:rPr>
          <w:rFonts w:hint="eastAsia" w:ascii="宋体" w:hAnsi="宋体"/>
          <w:b/>
          <w:szCs w:val="21"/>
        </w:rPr>
        <w:t>合同生效及其他</w:t>
      </w:r>
    </w:p>
    <w:p>
      <w:pPr>
        <w:spacing w:after="60" w:line="360" w:lineRule="auto"/>
        <w:ind w:firstLine="420" w:firstLineChars="200"/>
        <w:jc w:val="left"/>
        <w:rPr>
          <w:rFonts w:ascii="宋体" w:hAnsi="宋体"/>
          <w:szCs w:val="21"/>
        </w:rPr>
      </w:pPr>
      <w:r>
        <w:rPr>
          <w:rFonts w:ascii="宋体" w:hAnsi="宋体"/>
          <w:szCs w:val="21"/>
        </w:rPr>
        <w:t>14.1下列文件均为本合同的组成部分：</w:t>
      </w:r>
    </w:p>
    <w:p>
      <w:pPr>
        <w:spacing w:after="60"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招标文件、答疑及补充通知；</w:t>
      </w:r>
    </w:p>
    <w:p>
      <w:pPr>
        <w:spacing w:after="60"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2）乙方的投标文件；</w:t>
      </w:r>
    </w:p>
    <w:p>
      <w:pPr>
        <w:spacing w:after="60"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3）本合同执行中甲乙双方共同签署的补充与修正文件。</w:t>
      </w:r>
    </w:p>
    <w:p>
      <w:pPr>
        <w:spacing w:after="60" w:line="360" w:lineRule="auto"/>
        <w:ind w:firstLine="420" w:firstLineChars="200"/>
        <w:jc w:val="left"/>
        <w:rPr>
          <w:rFonts w:ascii="宋体" w:hAnsi="宋体"/>
          <w:szCs w:val="21"/>
        </w:rPr>
      </w:pPr>
      <w:r>
        <w:rPr>
          <w:rFonts w:ascii="宋体" w:hAnsi="宋体"/>
          <w:szCs w:val="21"/>
        </w:rPr>
        <w:t>14.2本合同一式</w:t>
      </w:r>
      <w:r>
        <w:rPr>
          <w:rFonts w:ascii="宋体" w:hAnsi="宋体"/>
          <w:szCs w:val="21"/>
          <w:u w:val="single"/>
        </w:rPr>
        <w:t xml:space="preserve">     </w:t>
      </w:r>
      <w:r>
        <w:rPr>
          <w:rFonts w:hint="eastAsia" w:ascii="宋体" w:hAnsi="宋体"/>
          <w:szCs w:val="21"/>
        </w:rPr>
        <w:t>份，甲、乙方双方各执</w:t>
      </w:r>
      <w:r>
        <w:rPr>
          <w:rFonts w:ascii="宋体" w:hAnsi="宋体"/>
          <w:szCs w:val="21"/>
          <w:u w:val="single"/>
        </w:rPr>
        <w:t xml:space="preserve">     </w:t>
      </w:r>
      <w:r>
        <w:rPr>
          <w:rFonts w:hint="eastAsia" w:ascii="宋体" w:hAnsi="宋体"/>
          <w:szCs w:val="21"/>
        </w:rPr>
        <w:t>份，具有同等法律效力。本合同自双方签字并盖章之日起生效。</w:t>
      </w:r>
    </w:p>
    <w:p>
      <w:pPr>
        <w:snapToGrid w:val="0"/>
        <w:spacing w:after="60" w:line="360" w:lineRule="auto"/>
        <w:ind w:firstLine="420" w:firstLineChars="200"/>
        <w:rPr>
          <w:rFonts w:ascii="宋体" w:hAnsi="宋体"/>
          <w:szCs w:val="21"/>
        </w:rPr>
      </w:pPr>
      <w:r>
        <w:rPr>
          <w:rFonts w:ascii="宋体" w:hAnsi="宋体"/>
          <w:szCs w:val="21"/>
        </w:rPr>
        <w:t>14.</w:t>
      </w:r>
      <w:r>
        <w:rPr>
          <w:rFonts w:hint="eastAsia" w:ascii="宋体" w:hAnsi="宋体"/>
          <w:szCs w:val="21"/>
        </w:rPr>
        <w:t>3本合同未尽事宜，双方友好协商，达成解决方案，经双方签字后，可作为本合同的有效附件。</w:t>
      </w:r>
    </w:p>
    <w:p>
      <w:pPr>
        <w:spacing w:after="60" w:line="360" w:lineRule="auto"/>
        <w:ind w:firstLine="420" w:firstLineChars="200"/>
        <w:jc w:val="left"/>
        <w:rPr>
          <w:rFonts w:ascii="宋体" w:hAnsi="宋体"/>
          <w:szCs w:val="21"/>
        </w:rPr>
      </w:pPr>
    </w:p>
    <w:p>
      <w:pPr>
        <w:pStyle w:val="22"/>
        <w:snapToGrid w:val="0"/>
        <w:spacing w:line="360" w:lineRule="auto"/>
        <w:ind w:firstLine="420" w:firstLineChars="200"/>
        <w:rPr>
          <w:rFonts w:hAnsi="宋体"/>
          <w:szCs w:val="21"/>
        </w:rPr>
      </w:pPr>
      <w:r>
        <w:rPr>
          <w:rFonts w:hint="eastAsia" w:hAnsi="宋体"/>
          <w:szCs w:val="21"/>
        </w:rPr>
        <w:t>附件：</w:t>
      </w:r>
    </w:p>
    <w:p>
      <w:pPr>
        <w:snapToGrid w:val="0"/>
        <w:spacing w:after="60" w:line="360" w:lineRule="auto"/>
        <w:ind w:firstLine="420" w:firstLineChars="200"/>
        <w:rPr>
          <w:rFonts w:ascii="宋体" w:hAnsi="宋体"/>
          <w:szCs w:val="21"/>
        </w:rPr>
      </w:pPr>
      <w:r>
        <w:rPr>
          <w:rFonts w:hint="eastAsia" w:ascii="宋体" w:hAnsi="宋体"/>
          <w:szCs w:val="21"/>
        </w:rPr>
        <w:t>1、《中标/成交通知书》</w:t>
      </w:r>
    </w:p>
    <w:p>
      <w:pPr>
        <w:snapToGrid w:val="0"/>
        <w:spacing w:after="60" w:line="360" w:lineRule="auto"/>
        <w:ind w:firstLine="420" w:firstLineChars="200"/>
        <w:rPr>
          <w:rFonts w:ascii="宋体" w:hAnsi="宋体"/>
          <w:szCs w:val="21"/>
        </w:rPr>
      </w:pPr>
      <w:r>
        <w:rPr>
          <w:rFonts w:hint="eastAsia" w:ascii="宋体" w:hAnsi="宋体"/>
          <w:szCs w:val="21"/>
        </w:rPr>
        <w:t>2、《投标文件》</w:t>
      </w:r>
    </w:p>
    <w:p>
      <w:pPr>
        <w:snapToGrid w:val="0"/>
        <w:spacing w:after="60" w:line="360" w:lineRule="auto"/>
        <w:ind w:firstLine="420" w:firstLineChars="200"/>
        <w:rPr>
          <w:rFonts w:ascii="宋体" w:hAnsi="宋体"/>
          <w:szCs w:val="21"/>
        </w:rPr>
      </w:pPr>
      <w:r>
        <w:rPr>
          <w:rFonts w:hint="eastAsia" w:ascii="宋体" w:hAnsi="宋体"/>
          <w:szCs w:val="21"/>
        </w:rPr>
        <w:t>3、《招标文件》</w:t>
      </w:r>
    </w:p>
    <w:p>
      <w:pPr>
        <w:spacing w:after="60" w:line="360" w:lineRule="auto"/>
        <w:ind w:firstLine="420" w:firstLineChars="200"/>
        <w:jc w:val="left"/>
        <w:rPr>
          <w:rFonts w:ascii="宋体" w:hAnsi="宋体"/>
          <w:szCs w:val="21"/>
        </w:rPr>
      </w:pPr>
    </w:p>
    <w:p>
      <w:pPr>
        <w:spacing w:after="60" w:line="360" w:lineRule="auto"/>
        <w:ind w:firstLine="424" w:firstLineChars="202"/>
        <w:jc w:val="left"/>
        <w:rPr>
          <w:rFonts w:ascii="宋体" w:hAnsi="宋体"/>
          <w:szCs w:val="21"/>
        </w:rPr>
      </w:pPr>
      <w:r>
        <w:rPr>
          <w:rFonts w:hint="eastAsia" w:ascii="宋体" w:hAnsi="宋体"/>
          <w:szCs w:val="21"/>
        </w:rPr>
        <w:t>甲方（采购人）：</w:t>
      </w:r>
      <w:r>
        <w:rPr>
          <w:rFonts w:ascii="宋体" w:hAnsi="宋体"/>
          <w:szCs w:val="21"/>
        </w:rPr>
        <w:t>（盖</w:t>
      </w:r>
      <w:r>
        <w:rPr>
          <w:rFonts w:hint="eastAsia" w:ascii="宋体" w:hAnsi="宋体"/>
          <w:szCs w:val="21"/>
        </w:rPr>
        <w:t>公</w:t>
      </w:r>
      <w:r>
        <w:rPr>
          <w:rFonts w:ascii="宋体" w:hAnsi="宋体"/>
          <w:szCs w:val="21"/>
        </w:rPr>
        <w:t xml:space="preserve">章）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乙方（</w:t>
      </w:r>
      <w:r>
        <w:rPr>
          <w:rFonts w:hint="eastAsia" w:ascii="宋体" w:hAnsi="宋体"/>
          <w:szCs w:val="21"/>
        </w:rPr>
        <w:t>中标人</w:t>
      </w:r>
      <w:r>
        <w:rPr>
          <w:rFonts w:ascii="宋体" w:hAnsi="宋体"/>
          <w:szCs w:val="21"/>
        </w:rPr>
        <w:t>）：（盖</w:t>
      </w:r>
      <w:r>
        <w:rPr>
          <w:rFonts w:hint="eastAsia" w:ascii="宋体" w:hAnsi="宋体"/>
          <w:szCs w:val="21"/>
        </w:rPr>
        <w:t>公</w:t>
      </w:r>
      <w:r>
        <w:rPr>
          <w:rFonts w:ascii="宋体" w:hAnsi="宋体"/>
          <w:szCs w:val="21"/>
        </w:rPr>
        <w:t>章）</w:t>
      </w:r>
    </w:p>
    <w:p>
      <w:pPr>
        <w:spacing w:after="60" w:line="360" w:lineRule="auto"/>
        <w:ind w:firstLine="424" w:firstLineChars="202"/>
        <w:jc w:val="left"/>
        <w:rPr>
          <w:rFonts w:ascii="宋体" w:hAnsi="宋体"/>
          <w:szCs w:val="21"/>
        </w:rPr>
      </w:pPr>
      <w:r>
        <w:rPr>
          <w:rFonts w:hint="eastAsia" w:ascii="宋体" w:hAnsi="宋体"/>
          <w:szCs w:val="21"/>
        </w:rPr>
        <w:t>法定代表人（签字或盖私章）：</w:t>
      </w:r>
      <w:r>
        <w:rPr>
          <w:rFonts w:ascii="宋体" w:hAnsi="宋体"/>
          <w:szCs w:val="21"/>
        </w:rPr>
        <w:t xml:space="preserve">                 </w:t>
      </w:r>
      <w:r>
        <w:rPr>
          <w:rFonts w:hint="eastAsia" w:ascii="宋体" w:hAnsi="宋体"/>
          <w:szCs w:val="21"/>
        </w:rPr>
        <w:t xml:space="preserve"> </w:t>
      </w:r>
      <w:r>
        <w:rPr>
          <w:rFonts w:ascii="宋体" w:hAnsi="宋体"/>
          <w:szCs w:val="21"/>
        </w:rPr>
        <w:t>法定代表人</w:t>
      </w:r>
      <w:r>
        <w:rPr>
          <w:rFonts w:hint="eastAsia" w:ascii="宋体" w:hAnsi="宋体"/>
          <w:szCs w:val="21"/>
        </w:rPr>
        <w:t>（签字或盖私章）</w:t>
      </w:r>
      <w:r>
        <w:rPr>
          <w:rFonts w:ascii="宋体" w:hAnsi="宋体"/>
          <w:szCs w:val="21"/>
        </w:rPr>
        <w:t xml:space="preserve">： </w:t>
      </w:r>
    </w:p>
    <w:p>
      <w:pPr>
        <w:spacing w:after="60" w:line="360" w:lineRule="auto"/>
        <w:ind w:firstLine="424" w:firstLineChars="202"/>
        <w:jc w:val="left"/>
        <w:rPr>
          <w:rFonts w:ascii="宋体" w:hAnsi="宋体"/>
          <w:szCs w:val="21"/>
        </w:rPr>
      </w:pPr>
      <w:r>
        <w:rPr>
          <w:rFonts w:hint="eastAsia" w:ascii="宋体" w:hAnsi="宋体"/>
          <w:szCs w:val="21"/>
        </w:rPr>
        <w:t>委托代理人：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委托代理人：</w:t>
      </w:r>
    </w:p>
    <w:p>
      <w:pPr>
        <w:spacing w:after="60"/>
        <w:ind w:firstLine="424" w:firstLineChars="202"/>
        <w:rPr>
          <w:rFonts w:ascii="宋体" w:hAnsi="宋体"/>
          <w:b/>
          <w:szCs w:val="21"/>
        </w:rPr>
      </w:pPr>
      <w:r>
        <w:rPr>
          <w:rFonts w:hint="eastAsia" w:ascii="宋体" w:hAnsi="宋体"/>
          <w:szCs w:val="21"/>
        </w:rPr>
        <w:t>日期：</w:t>
      </w:r>
      <w:r>
        <w:rPr>
          <w:rFonts w:ascii="宋体" w:hAnsi="宋体"/>
          <w:szCs w:val="21"/>
        </w:rPr>
        <w:t xml:space="preserve">   年     月    日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日期：   年     月    日</w:t>
      </w:r>
    </w:p>
    <w:p/>
    <w:p>
      <w:pPr>
        <w:widowControl/>
        <w:jc w:val="left"/>
        <w:rPr>
          <w:rFonts w:ascii="黑体" w:hAnsi="宋体" w:eastAsia="黑体"/>
          <w:bCs/>
          <w:kern w:val="0"/>
          <w:sz w:val="24"/>
        </w:rPr>
      </w:pPr>
      <w:r>
        <w:rPr>
          <w:rFonts w:ascii="黑体" w:eastAsia="黑体"/>
          <w:b/>
          <w:kern w:val="0"/>
          <w:sz w:val="24"/>
        </w:rPr>
        <w:br w:type="page"/>
      </w:r>
    </w:p>
    <w:p>
      <w:pPr>
        <w:pStyle w:val="3"/>
        <w:jc w:val="center"/>
        <w:rPr>
          <w:rFonts w:ascii="黑体" w:eastAsia="黑体"/>
          <w:b w:val="0"/>
          <w:kern w:val="0"/>
          <w:sz w:val="24"/>
          <w:szCs w:val="24"/>
        </w:rPr>
      </w:pPr>
      <w:r>
        <w:rPr>
          <w:rFonts w:hint="eastAsia" w:ascii="黑体" w:eastAsia="黑体"/>
          <w:b w:val="0"/>
          <w:kern w:val="0"/>
          <w:sz w:val="24"/>
          <w:szCs w:val="24"/>
        </w:rPr>
        <w:t>二、政府采购履约情况反馈表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Lines="5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Lines="5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履约情况评价分为优、良、中、差四个等级，请在对应的框前打“√”，然后在“具体情况说明”一栏详细说明有关情况。</w:t>
      </w:r>
    </w:p>
    <w:p>
      <w:pPr>
        <w:widowControl/>
        <w:jc w:val="left"/>
        <w:rPr>
          <w:rFonts w:ascii="宋体" w:hAnsi="宋体"/>
          <w:szCs w:val="21"/>
        </w:rPr>
      </w:pPr>
      <w:r>
        <w:rPr>
          <w:rFonts w:ascii="宋体" w:hAnsi="宋体"/>
          <w:szCs w:val="21"/>
        </w:rPr>
        <w:br w:type="page"/>
      </w:r>
    </w:p>
    <w:p>
      <w:pPr>
        <w:jc w:val="center"/>
        <w:rPr>
          <w:rFonts w:ascii="宋体" w:hAnsi="宋体"/>
          <w:b/>
          <w:bCs/>
          <w:kern w:val="0"/>
          <w:sz w:val="24"/>
          <w:szCs w:val="20"/>
        </w:rPr>
      </w:pPr>
      <w:r>
        <w:rPr>
          <w:rFonts w:hint="eastAsia" w:ascii="宋体" w:hAnsi="宋体"/>
          <w:b/>
          <w:bCs/>
          <w:kern w:val="0"/>
          <w:sz w:val="24"/>
          <w:szCs w:val="20"/>
        </w:rPr>
        <w:t>第五章  附件</w:t>
      </w:r>
    </w:p>
    <w:p>
      <w:pPr>
        <w:jc w:val="center"/>
        <w:rPr>
          <w:rFonts w:ascii="宋体" w:hAnsi="宋体"/>
          <w:b/>
          <w:bCs/>
          <w:kern w:val="0"/>
          <w:sz w:val="24"/>
          <w:szCs w:val="20"/>
        </w:rPr>
      </w:pPr>
    </w:p>
    <w:p>
      <w:pPr>
        <w:jc w:val="center"/>
        <w:rPr>
          <w:rFonts w:ascii="宋体" w:hAnsi="宋体"/>
          <w:b/>
          <w:bCs/>
          <w:kern w:val="0"/>
          <w:sz w:val="24"/>
          <w:szCs w:val="20"/>
        </w:rPr>
      </w:pPr>
    </w:p>
    <w:p>
      <w:pPr>
        <w:keepNext/>
        <w:keepLines/>
        <w:jc w:val="center"/>
        <w:outlineLvl w:val="2"/>
        <w:rPr>
          <w:rFonts w:ascii="宋体" w:hAnsi="宋体"/>
          <w:b/>
          <w:bCs/>
          <w:kern w:val="0"/>
          <w:sz w:val="28"/>
          <w:szCs w:val="32"/>
        </w:rPr>
      </w:pPr>
      <w:bookmarkStart w:id="37" w:name="_Toc73610162"/>
      <w:bookmarkStart w:id="38" w:name="_Toc73613644"/>
      <w:r>
        <w:rPr>
          <w:rFonts w:hint="eastAsia" w:ascii="宋体" w:hAnsi="宋体"/>
          <w:b/>
          <w:bCs/>
          <w:kern w:val="0"/>
          <w:sz w:val="28"/>
          <w:szCs w:val="32"/>
        </w:rPr>
        <w:t>一、财政部 工业和信息化部关于印发《政府采购促进中小企业发展管理办法》的通知</w:t>
      </w:r>
      <w:bookmarkEnd w:id="37"/>
      <w:bookmarkEnd w:id="38"/>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keepNext/>
        <w:keepLines/>
        <w:jc w:val="center"/>
        <w:outlineLvl w:val="2"/>
        <w:rPr>
          <w:rFonts w:ascii="宋体" w:hAnsi="宋体"/>
          <w:b/>
          <w:bCs/>
          <w:kern w:val="0"/>
          <w:sz w:val="28"/>
          <w:szCs w:val="32"/>
        </w:rPr>
      </w:pPr>
      <w:bookmarkStart w:id="39" w:name="_Toc73613645"/>
      <w:bookmarkStart w:id="40" w:name="_Toc73610163"/>
      <w:r>
        <w:rPr>
          <w:rFonts w:hint="eastAsia" w:ascii="宋体" w:hAnsi="宋体"/>
          <w:b/>
          <w:bCs/>
          <w:kern w:val="0"/>
          <w:sz w:val="28"/>
          <w:szCs w:val="32"/>
        </w:rPr>
        <w:t>二、关于印发中小企业划型标准规定的通知</w:t>
      </w:r>
      <w:bookmarkEnd w:id="39"/>
      <w:bookmarkEnd w:id="40"/>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keepNext/>
        <w:keepLines/>
        <w:jc w:val="center"/>
        <w:outlineLvl w:val="2"/>
        <w:rPr>
          <w:rFonts w:asciiTheme="minorEastAsia" w:hAnsiTheme="minorEastAsia" w:eastAsiaTheme="minorEastAsia"/>
          <w:b/>
          <w:bCs/>
          <w:kern w:val="0"/>
          <w:sz w:val="28"/>
          <w:szCs w:val="32"/>
        </w:rPr>
      </w:pPr>
      <w:bookmarkStart w:id="41" w:name="_Toc73610164"/>
      <w:bookmarkStart w:id="42" w:name="_Toc73613646"/>
      <w:r>
        <w:rPr>
          <w:rFonts w:hint="eastAsia" w:asciiTheme="minorEastAsia" w:hAnsiTheme="minorEastAsia" w:eastAsiaTheme="minorEastAsia"/>
          <w:b/>
          <w:kern w:val="0"/>
          <w:sz w:val="28"/>
          <w:szCs w:val="32"/>
        </w:rPr>
        <w:t>三、</w:t>
      </w:r>
      <w:r>
        <w:rPr>
          <w:rFonts w:asciiTheme="minorEastAsia" w:hAnsiTheme="minorEastAsia" w:eastAsiaTheme="minorEastAsia"/>
          <w:b/>
          <w:kern w:val="0"/>
          <w:sz w:val="28"/>
          <w:szCs w:val="32"/>
        </w:rPr>
        <w:t>国家统计局关于印发《统计上大中小微型企业划分办法 （2017）》的通知</w:t>
      </w:r>
      <w:bookmarkEnd w:id="41"/>
      <w:bookmarkEnd w:id="42"/>
      <w:r>
        <w:rPr>
          <w:rFonts w:asciiTheme="minorEastAsia" w:hAnsiTheme="minorEastAsia" w:eastAsiaTheme="minorEastAsia"/>
          <w:b/>
          <w:kern w:val="0"/>
          <w:sz w:val="28"/>
          <w:szCs w:val="32"/>
        </w:rP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42"/>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keepNext/>
        <w:keepLines/>
        <w:jc w:val="center"/>
        <w:outlineLvl w:val="2"/>
        <w:rPr>
          <w:rFonts w:ascii="宋体" w:hAnsi="宋体"/>
          <w:b/>
          <w:bCs/>
          <w:kern w:val="0"/>
          <w:sz w:val="28"/>
          <w:szCs w:val="32"/>
        </w:rPr>
      </w:pPr>
      <w:bookmarkStart w:id="43" w:name="_Toc73610165"/>
      <w:bookmarkStart w:id="44" w:name="_Toc73613647"/>
      <w:r>
        <w:rPr>
          <w:rFonts w:hint="eastAsia" w:ascii="宋体" w:hAnsi="宋体"/>
          <w:b/>
          <w:bCs/>
          <w:kern w:val="0"/>
          <w:sz w:val="28"/>
          <w:szCs w:val="32"/>
        </w:rPr>
        <w:t>四、</w:t>
      </w:r>
      <w:r>
        <w:rPr>
          <w:rFonts w:ascii="宋体" w:hAnsi="宋体"/>
          <w:b/>
          <w:bCs/>
          <w:kern w:val="0"/>
          <w:sz w:val="28"/>
          <w:szCs w:val="32"/>
        </w:rPr>
        <w:t>财政部 民政部 中国残疾人联合会关于促进残疾人就业 政府采购政策的通知</w:t>
      </w:r>
      <w:bookmarkEnd w:id="43"/>
      <w:bookmarkEnd w:id="44"/>
      <w:r>
        <w:rPr>
          <w:rFonts w:ascii="宋体" w:hAnsi="宋体"/>
          <w:b/>
          <w:bCs/>
          <w:kern w:val="0"/>
          <w:sz w:val="28"/>
          <w:szCs w:val="32"/>
        </w:rP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keepNext/>
        <w:keepLines/>
        <w:jc w:val="center"/>
        <w:outlineLvl w:val="2"/>
        <w:rPr>
          <w:rFonts w:ascii="宋体" w:hAnsi="宋体"/>
          <w:b/>
          <w:bCs/>
          <w:kern w:val="0"/>
          <w:sz w:val="28"/>
          <w:szCs w:val="32"/>
        </w:rPr>
      </w:pPr>
      <w:r>
        <w:rPr>
          <w:rFonts w:hint="eastAsia" w:ascii="宋体" w:hAnsi="宋体"/>
          <w:b/>
          <w:bCs/>
          <w:kern w:val="0"/>
          <w:sz w:val="28"/>
          <w:szCs w:val="32"/>
        </w:rPr>
        <w:t>五、财政部 司法部关于政府采购支持监狱企业发展有关问题的通知</w:t>
      </w:r>
      <w:r>
        <w:rPr>
          <w:rFonts w:ascii="宋体" w:hAnsi="宋体"/>
          <w:b/>
          <w:bCs/>
          <w:kern w:val="0"/>
          <w:sz w:val="28"/>
          <w:szCs w:val="32"/>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Pr>
        <w:pStyle w:val="3"/>
        <w:spacing w:before="0" w:after="0"/>
        <w:jc w:val="center"/>
        <w:rPr>
          <w:rFonts w:cs="宋体" w:asciiTheme="minorEastAsia" w:hAnsiTheme="minorEastAsia" w:eastAsiaTheme="minorEastAsia"/>
          <w:kern w:val="0"/>
          <w:szCs w:val="21"/>
        </w:rPr>
      </w:pPr>
    </w:p>
    <w:p>
      <w:pPr>
        <w:widowControl/>
        <w:jc w:val="left"/>
        <w:rPr>
          <w:rFonts w:ascii="宋体" w:hAnsi="宋体"/>
          <w:b/>
          <w:bCs/>
          <w:kern w:val="0"/>
          <w:sz w:val="28"/>
          <w:szCs w:val="28"/>
        </w:rPr>
      </w:pPr>
      <w:r>
        <w:rPr>
          <w:rFonts w:ascii="宋体" w:hAnsi="宋体"/>
          <w:b/>
          <w:bCs/>
          <w:kern w:val="0"/>
          <w:sz w:val="28"/>
          <w:szCs w:val="28"/>
        </w:rPr>
        <w:br w:type="page"/>
      </w:r>
    </w:p>
    <w:p>
      <w:pPr>
        <w:pStyle w:val="5"/>
        <w:spacing w:beforeLines="50" w:afterLines="50" w:line="360" w:lineRule="auto"/>
        <w:ind w:left="562"/>
        <w:rPr>
          <w:rFonts w:asciiTheme="majorEastAsia" w:hAnsiTheme="majorEastAsia" w:eastAsiaTheme="majorEastAsia"/>
          <w:sz w:val="32"/>
          <w:szCs w:val="32"/>
        </w:rPr>
      </w:pPr>
      <w:r>
        <w:rPr>
          <w:rFonts w:hint="eastAsia" w:asciiTheme="majorEastAsia" w:hAnsiTheme="majorEastAsia" w:eastAsiaTheme="majorEastAsia"/>
          <w:sz w:val="32"/>
          <w:szCs w:val="32"/>
        </w:rPr>
        <w:t>第二册  通用条款（公开招标）</w:t>
      </w:r>
    </w:p>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bookmarkStart w:id="45" w:name="_Hlk72399513"/>
      <w:r>
        <w:rPr>
          <w:rFonts w:hint="eastAsia" w:asciiTheme="majorEastAsia" w:hAnsiTheme="majorEastAsia" w:eastAsiaTheme="majorEastAsia"/>
          <w:sz w:val="28"/>
          <w:szCs w:val="28"/>
        </w:rPr>
        <w:t>总则</w:t>
      </w:r>
    </w:p>
    <w:bookmarkEnd w:id="45"/>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 通用条款说明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1.1采购代理机构发出招标文件通用条款版本，列出深圳市政府采购项目进行招标采购所适用的通用条款内容。</w:t>
      </w:r>
      <w:bookmarkStart w:id="46" w:name="_Hlk72399729"/>
      <w:r>
        <w:rPr>
          <w:rFonts w:hint="eastAsia" w:asciiTheme="majorEastAsia" w:hAnsiTheme="majorEastAsia" w:eastAsiaTheme="majorEastAsia"/>
          <w:szCs w:val="21"/>
        </w:rPr>
        <w:t>如有需要，采购代理机构可以对通用条款的内容进行补充。</w:t>
      </w:r>
      <w:bookmarkEnd w:id="46"/>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1.2招标文件分为第一册“专用条款”和第二册“通用条款”。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1.3“专用条款”是对本次采购项目的具体要求，包含招标公告、对通用条款的补充内容及其他关键信息、用户需求书、投标文件格式及附件、合同条款及格式等内容。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1.4“通用条款”是适用于政府采购公开招标项目的基础性条款，具有普遍性和通用性。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1.5 “专用条款”和“通用条款”表述不一致或有冲突时，以“专用条款”为准。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2</w:t>
      </w:r>
      <w:r>
        <w:rPr>
          <w:rFonts w:asciiTheme="majorEastAsia" w:hAnsiTheme="majorEastAsia" w:eastAsiaTheme="majorEastAsia"/>
          <w:b/>
          <w:bCs/>
          <w:szCs w:val="21"/>
        </w:rPr>
        <w:t>．</w:t>
      </w:r>
      <w:r>
        <w:rPr>
          <w:rFonts w:hint="eastAsia" w:asciiTheme="majorEastAsia" w:hAnsiTheme="majorEastAsia" w:eastAsiaTheme="majorEastAsia"/>
          <w:b/>
          <w:bCs/>
          <w:szCs w:val="21"/>
        </w:rPr>
        <w:t>招标说明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本项目按照《深圳经济特区政府采购条例》、《深圳经济特区政府采购条例实施细则》及政府采购其他法律法规，通过公开招标方式确定中标供应商。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3．定义</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招标文件中下列术语应解释为：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1</w:t>
      </w:r>
      <w:r>
        <w:rPr>
          <w:rFonts w:hint="eastAsia" w:asciiTheme="majorEastAsia" w:hAnsiTheme="majorEastAsia" w:eastAsiaTheme="majorEastAsia"/>
          <w:szCs w:val="21"/>
        </w:rPr>
        <w:t>“采购人”：指利用财政性资金依法进行政府采购的国家机关、事业单位、团体组织；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 “政府集中采购机构”</w:t>
      </w:r>
      <w:r>
        <w:rPr>
          <w:rFonts w:hint="eastAsia" w:cs="Arial" w:asciiTheme="majorEastAsia" w:hAnsiTheme="majorEastAsia" w:eastAsiaTheme="majorEastAsia"/>
          <w:szCs w:val="21"/>
          <w:shd w:val="clear" w:color="auto" w:fill="FFFFFF"/>
        </w:rPr>
        <w:t>是指市政府设立的，对纳入集中采购目录内的采购项目组织实施采购，并对政府采购活动提供服务的专门机构；</w:t>
      </w:r>
      <w:r>
        <w:rPr>
          <w:rFonts w:hint="eastAsia" w:asciiTheme="majorEastAsia" w:hAnsiTheme="majorEastAsia" w:eastAsiaTheme="majorEastAsia"/>
          <w:szCs w:val="21"/>
        </w:rPr>
        <w:t>本文件所述的“政府集中采购机构”</w:t>
      </w:r>
      <w:r>
        <w:rPr>
          <w:rFonts w:asciiTheme="majorEastAsia" w:hAnsiTheme="majorEastAsia" w:eastAsiaTheme="majorEastAsia"/>
          <w:szCs w:val="21"/>
        </w:rPr>
        <w:t>指</w:t>
      </w:r>
      <w:r>
        <w:rPr>
          <w:rFonts w:hint="eastAsia" w:asciiTheme="majorEastAsia" w:hAnsiTheme="majorEastAsia" w:eastAsiaTheme="majorEastAsia"/>
          <w:szCs w:val="21"/>
        </w:rPr>
        <w:t>深圳公共资源交易中心；</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3.3“采购代理机构”是指根据采购人委托，代理政府采购事宜的社会采购代理机构。本招标文件的招标机构特指</w:t>
      </w:r>
      <w:r>
        <w:rPr>
          <w:rFonts w:hint="eastAsia" w:asciiTheme="majorEastAsia" w:hAnsiTheme="majorEastAsia" w:eastAsiaTheme="majorEastAsia"/>
          <w:b/>
          <w:bCs/>
          <w:szCs w:val="21"/>
        </w:rPr>
        <w:t>深圳市中正招标有限公司；</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3.4“投标人”，即供应商，指参加投标竞争并愿意按照招标文件要求向采购人提供货物、工程或者服务的依法成立的法人、其他组织或者自然人；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3.5“评审委员会”是依据《深圳经济特区政府采购条例》、《深圳经济特区政府采购条例实施细则》等有关规定组建的专门负责本次招标其评审工作的临时性机构；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3.6“日期”</w:t>
      </w:r>
      <w:r>
        <w:rPr>
          <w:rFonts w:asciiTheme="majorEastAsia" w:hAnsiTheme="majorEastAsia" w:eastAsiaTheme="majorEastAsia"/>
          <w:szCs w:val="21"/>
        </w:rPr>
        <w:t>指</w:t>
      </w:r>
      <w:r>
        <w:rPr>
          <w:rFonts w:hint="eastAsia" w:asciiTheme="majorEastAsia" w:hAnsiTheme="majorEastAsia" w:eastAsiaTheme="majorEastAsia"/>
          <w:szCs w:val="21"/>
        </w:rPr>
        <w:t>公历日；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3.7“合同”指由本次招标所产生的合同或合约文件；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3.8“电子投标文件”指利用</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站提供的深圳智慧采购平台投标文件制作专用软件（以下简称：投标文件制作软件）制作并加密的投标文件,适用于网上投标；（投标文件制作软件可从“下载地址：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TPBidder/DownLoad/深圳市智慧采购平台投标文件制作专用软件.zip”下载）；</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3.9“网上投标”指通过</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站上传电子投标文件；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3.10招标文件中的标题或题名仅起引导作用，而不应视为对招标文件内容的理解和解释。</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 xml:space="preserve">4. </w:t>
      </w:r>
      <w:bookmarkStart w:id="47" w:name="_Hlk72398643"/>
      <w:r>
        <w:rPr>
          <w:rFonts w:hint="eastAsia" w:asciiTheme="majorEastAsia" w:hAnsiTheme="majorEastAsia" w:eastAsiaTheme="majorEastAsia"/>
          <w:b/>
          <w:bCs/>
          <w:szCs w:val="21"/>
        </w:rPr>
        <w:t>政府采购供应商责任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4.1欢迎诚信、有实力和有社会责任心的供应商参与政府采购事业。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5．投标人参加政府采购的条件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5.1投标人应在投标前到</w:t>
      </w:r>
      <w:r>
        <w:rPr>
          <w:rFonts w:hint="eastAsia" w:asciiTheme="majorEastAsia" w:hAnsiTheme="majorEastAsia" w:eastAsiaTheme="majorEastAsia"/>
          <w:b/>
          <w:bCs/>
          <w:szCs w:val="21"/>
        </w:rPr>
        <w:t>深圳公共资源交易中心（具体在深圳交易集团有限公司政府采购业务分公司进行办理）</w:t>
      </w:r>
      <w:r>
        <w:rPr>
          <w:rFonts w:hint="eastAsia" w:asciiTheme="majorEastAsia" w:hAnsiTheme="majorEastAsia" w:eastAsiaTheme="majorEastAsia"/>
          <w:szCs w:val="21"/>
        </w:rPr>
        <w:t>进行注册并办理电子密钥。《</w:t>
      </w:r>
      <w:r>
        <w:fldChar w:fldCharType="begin"/>
      </w:r>
      <w:r>
        <w:instrText xml:space="preserve"> HYPERLINK "http://www.szzfcg.cn/viewer.do?id=2455258" \t "documentViewer2455258" </w:instrText>
      </w:r>
      <w:r>
        <w:fldChar w:fldCharType="separate"/>
      </w:r>
      <w:r>
        <w:rPr>
          <w:rFonts w:asciiTheme="majorEastAsia" w:hAnsiTheme="majorEastAsia" w:eastAsiaTheme="majorEastAsia"/>
          <w:szCs w:val="21"/>
        </w:rPr>
        <w:t>供应商注册及电子密钥新申请指引</w:t>
      </w:r>
      <w:r>
        <w:rPr>
          <w:rFonts w:asciiTheme="majorEastAsia" w:hAnsiTheme="majorEastAsia" w:eastAsiaTheme="majorEastAsia"/>
          <w:szCs w:val="21"/>
        </w:rPr>
        <w:fldChar w:fldCharType="end"/>
      </w:r>
      <w:r>
        <w:rPr>
          <w:rFonts w:hint="eastAsia" w:asciiTheme="majorEastAsia" w:hAnsiTheme="majorEastAsia" w:eastAsiaTheme="majorEastAsia"/>
          <w:szCs w:val="21"/>
        </w:rPr>
        <w:t>》详见</w:t>
      </w:r>
      <w:r>
        <w:rPr>
          <w:rFonts w:asciiTheme="majorEastAsia" w:hAnsiTheme="majorEastAsia" w:eastAsiaTheme="majorEastAsia"/>
          <w:szCs w:val="21"/>
        </w:rPr>
        <w:t>http://zfcg.szggzy.com/</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5.2投标人资格要求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参加本项目的投标人应具备的资格条件详见本项目招标公告中 “投标人资格要求”（即申请人的资格要求）的内容。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5.3联合体投标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5.3.1　以下有关联合体投标的条款仅适用于允许投标人组成联合体投标的项目。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5.3.2  由两个或两个以上的自然人、法人或者其他组织可以组成一个联合体，以一个供应商的身份共同投标时，应符合以下原则：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（1）投标联合体各方参加政府采购活动应当具备下列条件：</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1、具有独立承担民事责任的能力；</w:t>
      </w:r>
    </w:p>
    <w:p>
      <w:pPr>
        <w:spacing w:line="360" w:lineRule="auto"/>
        <w:ind w:left="420" w:firstLine="411" w:firstLineChars="196"/>
        <w:rPr>
          <w:rFonts w:asciiTheme="majorEastAsia" w:hAnsiTheme="majorEastAsia" w:eastAsiaTheme="majorEastAsia"/>
          <w:szCs w:val="21"/>
        </w:rPr>
      </w:pPr>
      <w:r>
        <w:rPr>
          <w:rFonts w:hint="eastAsia" w:asciiTheme="majorEastAsia" w:hAnsiTheme="majorEastAsia" w:eastAsiaTheme="majorEastAsia"/>
          <w:szCs w:val="21"/>
        </w:rPr>
        <w:t>2、有良好的商业信誉和健全的财务会计制度；</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3、具有履行合同所必需的设备和专业技术能力；</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4、有依法缴纳税收和社会保障资金的良好记录；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5、参加政府采购活动前三年内，在经营活动中没有重大违法记录；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6、法律、行政法规规定的其他条件。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（2）联合体中有同类资质的供应商按照联合体分工承担相同工作的，应当按照资质等级较低的供应商确定资质等级；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（3）是否允许联合体参加投标，应当由采购人和采购代理机构根据项目的实际情况和潜在供应商的数量自主决定，如果决定接受联合体投标则应当在招标公告中明示；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（4）投标人的投标文件及中标后签署的合同协议对联合体各方均具法律约束力；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（5）联合体各方应当签订联合体投标协议，明确约定各方拟承担的工作和责任，并将该协议随投标文件一并递交给采购代理机构；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（6）联合体中标后，联合体各方应当共同与采购人签订合同，就中标项目向采购人承担连带责任；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以联合体形式参加政府采购活动的，联合体各方不得再单独参加或者与其他供应商另外组成联合体参加同一合同项下的政府采购活动，出现上述情况者，其投标和与此有关联合体、总包单位的投标将被拒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（8）本通用条款中“投标人”一词亦指联合体各方，专用条款另有规定或说明的除外。</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6．政策导向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6.1政府采购扶持贫困地区、中小企业、监狱企业和残疾人福利性单位发展，支持节能减排、环境保护。</w:t>
      </w:r>
    </w:p>
    <w:p>
      <w:pPr>
        <w:spacing w:line="360" w:lineRule="auto"/>
        <w:ind w:firstLine="405"/>
        <w:rPr>
          <w:rFonts w:asciiTheme="majorEastAsia" w:hAnsiTheme="majorEastAsia" w:eastAsiaTheme="majorEastAsia"/>
          <w:szCs w:val="21"/>
          <w:shd w:val="clear" w:color="auto" w:fill="FFFFFF"/>
        </w:rPr>
      </w:pPr>
      <w:r>
        <w:rPr>
          <w:rFonts w:hint="eastAsia" w:asciiTheme="majorEastAsia" w:hAnsiTheme="majorEastAsia" w:eastAsiaTheme="majorEastAsia"/>
          <w:szCs w:val="21"/>
        </w:rPr>
        <w:t>6.2本项目落实深圳市政府采购供应商诚信管理政策要求。</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7. 本项目若涉及采购货物，则合格的货物及相应服务应满足以下要求：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 xml:space="preserve">.1  </w:t>
      </w:r>
      <w:r>
        <w:rPr>
          <w:rFonts w:hint="eastAsia" w:asciiTheme="majorEastAsia" w:hAnsiTheme="majorEastAsia" w:eastAsiaTheme="majorEastAsia"/>
          <w:szCs w:val="21"/>
        </w:rPr>
        <w:t>必须是全新、未使用过的原装合格正品（包括零部件），如安装或配置了软件的，须为正版软件。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7.2  国产的货物及其有关服务必须符合中华人民共和国的设计、制造生产标准及行业标准。招标公告有其他要求的，亦应符合其要求。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4投标人</w:t>
      </w:r>
      <w:bookmarkStart w:id="48" w:name="_Hlk72152753"/>
      <w:r>
        <w:rPr>
          <w:rFonts w:hint="eastAsia" w:asciiTheme="majorEastAsia" w:hAnsiTheme="majorEastAsia" w:eastAsiaTheme="majorEastAsia"/>
          <w:szCs w:val="21"/>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48"/>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7.6  工期要求：投标人在投标时对其所投项目应提交交货进度、交货计划等，在合同规定的时间内完成项目实施工作。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7.7  投标人必须承担的设备运输、安装调试、验收检测和提供设备操作说明书、图纸等其他相关及类似的义务。</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8．投标费用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不论投标结果如何，投标人应承担其编制投标文件与递交投标文件所涉及的一切费用。</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9．踏勘现场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9.1如有需要（详见专用条款），采购人或采购代理机构将组织投标人对项目现场及周围环境进行踏勘，以便投标人获取有关编制投标文件和签署合同所需的资料。踏勘现场所发生的费用由投标人自行承担。投标人应按招标文件所约定的时间、地点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9.2投标人及其人员经过采购人的允许，可以进入采购人的项目现场踏勘。若招标文件要求投标人于统一时间地点踏勘现场的，投标人应当按时前往。</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9.3采购人应当通过采购代理机构向投标人提供有关现场的书面资料和数据。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9.4任何人或任何组织在踏勘现场时向投标人提供的任何书面资料或口头承诺，未经采购代理机构在网上发布或书面通知，均作无效处理。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9</w:t>
      </w:r>
      <w:r>
        <w:rPr>
          <w:rFonts w:hint="eastAsia" w:asciiTheme="majorEastAsia" w:hAnsiTheme="majorEastAsia" w:eastAsiaTheme="majorEastAsia"/>
          <w:szCs w:val="21"/>
        </w:rPr>
        <w:t>.</w:t>
      </w:r>
      <w:r>
        <w:rPr>
          <w:rFonts w:asciiTheme="majorEastAsia" w:hAnsiTheme="majorEastAsia" w:eastAsiaTheme="majorEastAsia"/>
          <w:szCs w:val="21"/>
        </w:rPr>
        <w:t>5</w:t>
      </w:r>
      <w:r>
        <w:rPr>
          <w:rFonts w:hint="eastAsia" w:asciiTheme="majorEastAsia" w:hAnsiTheme="majorEastAsia" w:eastAsiaTheme="majorEastAsia"/>
          <w:szCs w:val="21"/>
        </w:rPr>
        <w:t>未参与踏勘现场不作为否定投标人资格的理由。</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0</w:t>
      </w:r>
      <w:r>
        <w:rPr>
          <w:rFonts w:hint="eastAsia" w:asciiTheme="majorEastAsia" w:hAnsiTheme="majorEastAsia" w:eastAsiaTheme="majorEastAsia"/>
          <w:b/>
          <w:bCs/>
          <w:szCs w:val="21"/>
        </w:rPr>
        <w:t>．标前会议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如采购人或采购代理机构认为有必要组织标前会议，投标人应按照招标文件规定的时间或采购代理机构另行书面通知（包括采购代理机构网站发布方式，如更正公告等）的时间和地点，参与标前会议。</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任何人或任何组织在标前会议时向投标人提供的任何书面资料或口头承诺，未经采购代理机构在网上发布或书面通知，均作无效处理。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3</w:t>
      </w:r>
      <w:r>
        <w:rPr>
          <w:rFonts w:hint="eastAsia" w:asciiTheme="majorEastAsia" w:hAnsiTheme="majorEastAsia" w:eastAsiaTheme="majorEastAsia"/>
          <w:szCs w:val="21"/>
        </w:rPr>
        <w:t>未参与标前会议不作为否定投标人资格的理由。</w:t>
      </w:r>
    </w:p>
    <w:bookmarkEnd w:id="47"/>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招标文件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1</w:t>
      </w:r>
      <w:r>
        <w:rPr>
          <w:rFonts w:hint="eastAsia" w:asciiTheme="majorEastAsia" w:hAnsiTheme="majorEastAsia" w:eastAsiaTheme="majorEastAsia"/>
          <w:b/>
          <w:bCs/>
          <w:szCs w:val="21"/>
        </w:rPr>
        <w:t>．</w:t>
      </w:r>
      <w:bookmarkStart w:id="49" w:name="_Hlk72399819"/>
      <w:r>
        <w:rPr>
          <w:rFonts w:hint="eastAsia" w:asciiTheme="majorEastAsia" w:hAnsiTheme="majorEastAsia" w:eastAsiaTheme="majorEastAsia"/>
          <w:b/>
          <w:bCs/>
          <w:szCs w:val="21"/>
        </w:rPr>
        <w:t>招标文件的编制与组成</w:t>
      </w:r>
    </w:p>
    <w:p>
      <w:pPr>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.1招标文件除以下内容外，采购代理机构在招标期间发出的澄清或修改等相关公告或通知内容，均是招标文件的组成部分，对投标人起约束作用；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招标文件包括下列内容：</w:t>
      </w:r>
    </w:p>
    <w:p>
      <w:pPr>
        <w:spacing w:line="360" w:lineRule="auto"/>
        <w:ind w:left="420" w:leftChars="200"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第一册  专用条款</w:t>
      </w:r>
    </w:p>
    <w:p>
      <w:pPr>
        <w:spacing w:line="360" w:lineRule="auto"/>
        <w:ind w:left="1079" w:leftChars="514"/>
        <w:rPr>
          <w:rFonts w:asciiTheme="majorEastAsia" w:hAnsiTheme="majorEastAsia" w:eastAsiaTheme="majorEastAsia"/>
          <w:b/>
          <w:szCs w:val="21"/>
        </w:rPr>
      </w:pPr>
      <w:r>
        <w:rPr>
          <w:rFonts w:hint="eastAsia" w:asciiTheme="majorEastAsia" w:hAnsiTheme="majorEastAsia" w:eastAsiaTheme="majorEastAsia"/>
          <w:b/>
          <w:szCs w:val="21"/>
        </w:rPr>
        <w:t>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招标公告</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对通用条款的补充内容及其他关键信息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用户需求书</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投标文件格式及附件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合同条款及格式</w:t>
      </w:r>
    </w:p>
    <w:p>
      <w:pPr>
        <w:spacing w:line="360" w:lineRule="auto"/>
        <w:ind w:left="420" w:leftChars="200" w:firstLine="413" w:firstLineChars="196"/>
        <w:outlineLvl w:val="0"/>
        <w:rPr>
          <w:rFonts w:asciiTheme="majorEastAsia" w:hAnsiTheme="majorEastAsia" w:eastAsiaTheme="majorEastAsia"/>
          <w:b/>
          <w:szCs w:val="21"/>
        </w:rPr>
      </w:pPr>
      <w:r>
        <w:rPr>
          <w:rFonts w:hint="eastAsia" w:asciiTheme="majorEastAsia" w:hAnsiTheme="majorEastAsia" w:eastAsiaTheme="majorEastAsia"/>
          <w:b/>
          <w:szCs w:val="21"/>
        </w:rPr>
        <w:t>第二册  通用条款</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总则</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招标文件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投标文件的编制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投标文件的递交</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开标</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第六章  评审要求</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第七章  评审程序及评审方法</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第八章  定标及公示</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第九章  公开招标失败的后续处理</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第十章  合同的授予与备案</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第十一章  质疑处理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.2 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3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2</w:t>
      </w:r>
      <w:r>
        <w:rPr>
          <w:rFonts w:hint="eastAsia" w:asciiTheme="majorEastAsia" w:hAnsiTheme="majorEastAsia" w:eastAsiaTheme="majorEastAsia"/>
          <w:b/>
          <w:bCs/>
          <w:szCs w:val="21"/>
        </w:rPr>
        <w:t>．招标文件的澄清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.1招标文件澄清的目的是澄清、解答投标人在查阅招标文件后或现场踏勘中可能提出的与投标有关的疑问或询问。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.2投标人如对招标文件内容有疑问，应当在招标公告规定的澄清（提问）截止时间前以网上提问的形式通过网上政府采购系统提交采购代理机构。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3不论是采购代理机构根据需要主动对招标文件进行必要的澄清或是根据投标人的要求对招标文件做出澄清，采购代理机构都将在投标截止日期前以书面形式（包括采购代理机构网站发布方式）答复或发送给所有投标人。答复内容是招标文件的组成部分，对投标人起约束作用，其有效性按照本通用条款第1</w:t>
      </w:r>
      <w:r>
        <w:rPr>
          <w:rFonts w:asciiTheme="majorEastAsia" w:hAnsiTheme="majorEastAsia" w:eastAsiaTheme="majorEastAsia"/>
          <w:szCs w:val="21"/>
        </w:rPr>
        <w:t>3.3</w:t>
      </w:r>
      <w:r>
        <w:rPr>
          <w:rFonts w:hint="eastAsia" w:asciiTheme="majorEastAsia" w:hAnsiTheme="majorEastAsia" w:eastAsiaTheme="majorEastAsia"/>
          <w:szCs w:val="21"/>
        </w:rPr>
        <w:t>、1</w:t>
      </w:r>
      <w:r>
        <w:rPr>
          <w:rFonts w:asciiTheme="majorEastAsia" w:hAnsiTheme="majorEastAsia" w:eastAsiaTheme="majorEastAsia"/>
          <w:szCs w:val="21"/>
        </w:rPr>
        <w:t>3.4</w:t>
      </w:r>
      <w:r>
        <w:rPr>
          <w:rFonts w:hint="eastAsia" w:asciiTheme="majorEastAsia" w:hAnsiTheme="majorEastAsia" w:eastAsiaTheme="majorEastAsia"/>
          <w:szCs w:val="21"/>
        </w:rPr>
        <w:t>款规定执行。</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w:t>
      </w:r>
      <w:r>
        <w:rPr>
          <w:rFonts w:hint="eastAsia" w:asciiTheme="majorEastAsia" w:hAnsiTheme="majorEastAsia" w:eastAsiaTheme="majorEastAsia"/>
          <w:b/>
          <w:bCs/>
          <w:szCs w:val="21"/>
        </w:rPr>
        <w:t>3．招标文件的修改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3.1招标文件发出后，在投标截止日期前任何时候，确需要变更招标文件内容的，采购代理机构可主动或在解答投标人提出的澄清问题时对招标文件进行修改。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3.2招标文件的修改以书面形式（包括采购代理机构网站发布方式，如更正公告等）发送给所有投标人，招标文件的修改内容作为招标文件的组成部分，并具有约束力。</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3.3招标文件、招标文件澄清答复内容、招标文件修改补充内容均以书面形式（包括采购代理机构网站公开发布方式，如更正公告等）明确的内容为准。当招标文件、修改补充通知、招标文件澄清答复内容相互矛盾时，以最后发出的内容为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3.4采购代理机构保证招标文件澄清答复内容和招标文件修改补充内容在投标截止时间前以书面形式（包括采购代理机构网站发布方式，如更正公告等）发送给所有投标人。为使投标人在编制投标文件时有充分时间对招标文件的修改部分进行研究，采购代理机构可以酌情延长递交投标文件的截止日期。</w:t>
      </w:r>
      <w:bookmarkEnd w:id="49"/>
    </w:p>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投标文件的编制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14．</w:t>
      </w:r>
      <w:bookmarkStart w:id="50" w:name="_Hlk72400236"/>
      <w:r>
        <w:rPr>
          <w:rFonts w:hint="eastAsia" w:asciiTheme="majorEastAsia" w:hAnsiTheme="majorEastAsia" w:eastAsiaTheme="majorEastAsia"/>
          <w:b/>
          <w:bCs/>
          <w:szCs w:val="21"/>
        </w:rPr>
        <w:t>投标文件的语言及度量单位</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14.1 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14.2 除技术规范另有规定外，投标文件使用的度量单位，均采用中华人民共和国法定计量单位。</w:t>
      </w:r>
    </w:p>
    <w:bookmarkEnd w:id="50"/>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15．</w:t>
      </w:r>
      <w:bookmarkStart w:id="51" w:name="_Hlk72401567"/>
      <w:r>
        <w:rPr>
          <w:rFonts w:hint="eastAsia" w:asciiTheme="majorEastAsia" w:hAnsiTheme="majorEastAsia" w:eastAsiaTheme="majorEastAsia"/>
          <w:b/>
          <w:bCs/>
          <w:szCs w:val="21"/>
        </w:rPr>
        <w:t>投标文件的组成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具体内容在招标文件专用条款中进行规定。</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16．投标文件格式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投标文件包括本通用条款第</w:t>
      </w:r>
      <w:r>
        <w:rPr>
          <w:rFonts w:asciiTheme="majorEastAsia" w:hAnsiTheme="majorEastAsia" w:eastAsiaTheme="majorEastAsia"/>
          <w:szCs w:val="21"/>
        </w:rPr>
        <w:t>15条中规定的内容。如招标文件提供了投标文件格式，则</w:t>
      </w:r>
      <w:r>
        <w:rPr>
          <w:rFonts w:hint="eastAsia" w:asciiTheme="majorEastAsia" w:hAnsiTheme="majorEastAsia" w:eastAsiaTheme="majorEastAsia"/>
          <w:b/>
          <w:bCs/>
          <w:szCs w:val="21"/>
        </w:rPr>
        <w:t>投标人提交的投标文件应毫无例外地使用招标文件所提供的相应格式</w:t>
      </w:r>
      <w:r>
        <w:rPr>
          <w:rFonts w:hint="eastAsia" w:asciiTheme="majorEastAsia" w:hAnsiTheme="majorEastAsia" w:eastAsiaTheme="majorEastAsia"/>
          <w:szCs w:val="21"/>
        </w:rPr>
        <w:t>（表格均可按同样格式扩展）。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17．投标货币</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本项目的投标报价应以人民币计。</w:t>
      </w:r>
    </w:p>
    <w:bookmarkEnd w:id="51"/>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18．</w:t>
      </w:r>
      <w:bookmarkStart w:id="52" w:name="_Hlk72401735"/>
      <w:r>
        <w:rPr>
          <w:rFonts w:hint="eastAsia" w:asciiTheme="majorEastAsia" w:hAnsiTheme="majorEastAsia" w:eastAsiaTheme="majorEastAsia"/>
          <w:b/>
          <w:bCs/>
          <w:szCs w:val="21"/>
        </w:rPr>
        <w:t>证明投标文件投标技术方案的合格性和符合招标文件规定的文件要求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w:t>
      </w:r>
      <w:r>
        <w:rPr>
          <w:rFonts w:asciiTheme="majorEastAsia" w:hAnsiTheme="majorEastAsia" w:eastAsiaTheme="majorEastAsia"/>
          <w:szCs w:val="21"/>
        </w:rPr>
        <w:t xml:space="preserve">.1 </w:t>
      </w:r>
      <w:r>
        <w:rPr>
          <w:rFonts w:hint="eastAsia" w:asciiTheme="majorEastAsia" w:hAnsiTheme="majorEastAsia" w:eastAsiaTheme="majorEastAsia"/>
          <w:szCs w:val="21"/>
        </w:rPr>
        <w:t>投标人应提交证明文件，证明其投标技术方案项下的货物和服务的合格性符合招标文件规定。该投标技术方案及其证明文件均作为投标文件组成部分。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 xml:space="preserve">.2 </w:t>
      </w:r>
      <w:r>
        <w:rPr>
          <w:rFonts w:hint="eastAsia" w:asciiTheme="majorEastAsia" w:hAnsiTheme="majorEastAsia" w:eastAsiaTheme="major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18.2.1主要技术指标和性能的详细说明。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2</w:t>
      </w:r>
      <w:r>
        <w:rPr>
          <w:rFonts w:hint="eastAsia" w:asciiTheme="majorEastAsia" w:hAnsiTheme="majorEastAsia" w:eastAsiaTheme="majorEastAsia"/>
          <w:szCs w:val="21"/>
        </w:rPr>
        <w:t>投标产品从采购人开始使用至招标文件中规定的周期内正常、连续地使用所必须的备件和专用工具清单，包括备件和专用工具的货源及现行价格。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3</w:t>
      </w:r>
      <w:r>
        <w:rPr>
          <w:rFonts w:hint="eastAsia" w:asciiTheme="majorEastAsia" w:hAnsiTheme="majorEastAsia" w:eastAsiaTheme="major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18.2.5我国政府机构出具的产品检验和核准证件应为证件正面、背面和附件标注的全部具体内容；产品检验和核准证件的尺寸和清晰度应该能够在电脑上被阅读、识别和判断，提供原件扫描件。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18.3相关资料不符合18.2款要求的，评审委员会有权认定为投标技术方案不合格响应，其相关分数予以扣减或作投标无效处理。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审委员会来评判。</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18.5除非另有规定或说明，投标人对同一项目投标时，不得同时提供两套或两套以上的投标方案。</w:t>
      </w:r>
    </w:p>
    <w:bookmarkEnd w:id="52"/>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19．</w:t>
      </w:r>
      <w:bookmarkStart w:id="53" w:name="_Hlk72402034"/>
      <w:r>
        <w:rPr>
          <w:rFonts w:hint="eastAsia" w:asciiTheme="majorEastAsia" w:hAnsiTheme="majorEastAsia" w:eastAsiaTheme="majorEastAsia"/>
          <w:b/>
          <w:bCs/>
          <w:szCs w:val="21"/>
        </w:rPr>
        <w:t>投标文件其他证明文件的要求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54" w:name="_Hlk71407299"/>
    </w:p>
    <w:bookmarkEnd w:id="54"/>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20．投标有效期</w:t>
      </w:r>
    </w:p>
    <w:bookmarkEnd w:id="53"/>
    <w:p>
      <w:pPr>
        <w:spacing w:line="360" w:lineRule="auto"/>
        <w:ind w:firstLine="411" w:firstLineChars="196"/>
        <w:rPr>
          <w:rFonts w:asciiTheme="majorEastAsia" w:hAnsiTheme="majorEastAsia" w:eastAsiaTheme="majorEastAsia"/>
          <w:szCs w:val="21"/>
        </w:rPr>
      </w:pPr>
      <w:bookmarkStart w:id="55" w:name="_Hlk72402214"/>
      <w:r>
        <w:rPr>
          <w:rFonts w:hint="eastAsia" w:asciiTheme="majorEastAsia" w:hAnsiTheme="majorEastAsia" w:eastAsiaTheme="majorEastAsia"/>
          <w:szCs w:val="21"/>
        </w:rPr>
        <w:t>20.1 投标有效期为</w:t>
      </w:r>
      <w:r>
        <w:rPr>
          <w:rFonts w:hint="eastAsia" w:cs="Arial" w:asciiTheme="majorEastAsia" w:hAnsiTheme="majorEastAsia" w:eastAsiaTheme="majorEastAsia"/>
          <w:szCs w:val="21"/>
        </w:rPr>
        <w:t>从投标截止之日算起的日历天数。</w:t>
      </w:r>
      <w:r>
        <w:rPr>
          <w:rFonts w:hint="eastAsia" w:asciiTheme="majorEastAsia" w:hAnsiTheme="majorEastAsia" w:eastAsiaTheme="majorEastAsia"/>
          <w:szCs w:val="21"/>
        </w:rPr>
        <w:t>在此期限内，所有投标文件均保持有效。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20.2 在特殊情况下，采购代理机构在原定的投标有效期满之前，可以根据需要以书面形式（包括采购代理机构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w:t>
      </w:r>
      <w:r>
        <w:rPr>
          <w:rFonts w:asciiTheme="majorEastAsia" w:hAnsiTheme="majorEastAsia" w:eastAsiaTheme="majorEastAsia"/>
          <w:szCs w:val="21"/>
        </w:rPr>
        <w:t>.3</w:t>
      </w:r>
      <w:r>
        <w:rPr>
          <w:rFonts w:hint="eastAsia" w:asciiTheme="majorEastAsia" w:hAnsiTheme="majorEastAsia" w:eastAsiaTheme="majorEastAsia"/>
          <w:szCs w:val="21"/>
        </w:rPr>
        <w:t xml:space="preserve"> 中标供应商的投标文件有效期，截止于完成本招标文件规定的全部项目内容，并通过竣工验收及保修期结束。</w:t>
      </w:r>
    </w:p>
    <w:bookmarkEnd w:id="55"/>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21．</w:t>
      </w:r>
      <w:bookmarkStart w:id="56" w:name="_Hlk72402325"/>
      <w:r>
        <w:rPr>
          <w:rFonts w:hint="eastAsia" w:asciiTheme="majorEastAsia" w:hAnsiTheme="majorEastAsia" w:eastAsiaTheme="majorEastAsia"/>
          <w:szCs w:val="21"/>
        </w:rPr>
        <w:t xml:space="preserve">关于投标保证金 </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21.1 根据《</w:t>
      </w:r>
      <w:r>
        <w:rPr>
          <w:rFonts w:asciiTheme="majorEastAsia" w:hAnsiTheme="majorEastAsia" w:eastAsiaTheme="majorEastAsia"/>
          <w:szCs w:val="21"/>
        </w:rPr>
        <w:t>深圳市财政局关于明确政府采购保证金管理工作的通知</w:t>
      </w:r>
      <w:r>
        <w:rPr>
          <w:rFonts w:hint="eastAsia" w:asciiTheme="majorEastAsia" w:hAnsiTheme="majorEastAsia" w:eastAsiaTheme="majorEastAsia"/>
          <w:szCs w:val="21"/>
        </w:rPr>
        <w:t>》（深财购[</w:t>
      </w:r>
      <w:r>
        <w:rPr>
          <w:rFonts w:asciiTheme="majorEastAsia" w:hAnsiTheme="majorEastAsia" w:eastAsiaTheme="majorEastAsia"/>
          <w:szCs w:val="21"/>
        </w:rPr>
        <w:t>2019]42</w:t>
      </w:r>
      <w:r>
        <w:rPr>
          <w:rFonts w:hint="eastAsia" w:asciiTheme="majorEastAsia" w:hAnsiTheme="majorEastAsia" w:eastAsiaTheme="majorEastAsia"/>
          <w:szCs w:val="21"/>
        </w:rPr>
        <w:t>号）文的规定，本项目不收取投标保证金。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22．投标人的替代方案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56"/>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23．</w:t>
      </w:r>
      <w:bookmarkStart w:id="57" w:name="_Hlk72402860"/>
      <w:r>
        <w:rPr>
          <w:rFonts w:asciiTheme="majorEastAsia" w:hAnsiTheme="majorEastAsia" w:eastAsiaTheme="majorEastAsia"/>
          <w:b/>
          <w:bCs/>
          <w:szCs w:val="21"/>
        </w:rPr>
        <w:t>投标文件的</w:t>
      </w:r>
      <w:r>
        <w:rPr>
          <w:rFonts w:hint="eastAsia" w:asciiTheme="majorEastAsia" w:hAnsiTheme="majorEastAsia" w:eastAsiaTheme="majorEastAsia"/>
          <w:b/>
          <w:bCs/>
          <w:szCs w:val="21"/>
        </w:rPr>
        <w:t>制作</w:t>
      </w:r>
      <w:r>
        <w:rPr>
          <w:rFonts w:asciiTheme="majorEastAsia" w:hAnsiTheme="majorEastAsia" w:eastAsiaTheme="majorEastAsia"/>
          <w:b/>
          <w:bCs/>
          <w:szCs w:val="21"/>
        </w:rPr>
        <w:t>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23.1投标人应准备所投项目的电子投标文件一份。此电子投标文件须由投标人根据采购代理机构提供的后缀名为.szczf的电子招标文件，下载并使用相应的深圳智慧采购平台投标文件制作专用软件打开招标文件（.szczf格式）【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23.2投标人在使用《投标文件制作软件》编制投标书时须注意：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23.2.1导入《投标文件制作软件》的招标文件项目编号、包号应与以此制作的投标文件项目编号、包号一致。例如，不能将甲项目A包的招标书导入《投标文件制作软件》，制作乙项目B包的投标书。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23.2.2不能用非本公司的电子密钥加密本公司的投标文件，或者用其它公司的登录用户上传本公司的投标文件。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23.2.3要求用《投标文件制作软件》编制投标书的包，不能用其它方式编制投标书。编制投标文件时，电脑须连通互联网。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23.2.4投标文件不能带病毒。采购代理机构将用专业杀毒软件对投标文件进行病毒检测，如果这两种软件均报告发现病毒，则采购代理机构认为该投标文件带病毒。</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23.2.5完整填写“投标关键信息”，如下图所示：</w:t>
      </w:r>
    </w:p>
    <w:p>
      <w:pPr>
        <w:tabs>
          <w:tab w:val="left" w:pos="0"/>
        </w:tabs>
        <w:spacing w:line="360" w:lineRule="auto"/>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2"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图形用户界面, 应用程序&#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备注：上述“开标一览表”中的“投标总价”将作为价格分计算依据；其它信息仅是对投标文件相关内容的概括性表述，不作为评审依据。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23.2.6投标人在编辑投标文件时，</w:t>
      </w:r>
      <w:r>
        <w:rPr>
          <w:rFonts w:hint="eastAsia" w:asciiTheme="majorEastAsia" w:hAnsiTheme="majorEastAsia" w:eastAsiaTheme="majorEastAsia"/>
          <w:b/>
          <w:szCs w:val="21"/>
        </w:rPr>
        <w:t>在投标文件目录中属于本节点内容的必须在本节点中填写，填写到其他节点或附件，</w:t>
      </w:r>
      <w:r>
        <w:rPr>
          <w:rFonts w:hint="eastAsia" w:asciiTheme="majorEastAsia" w:hAnsiTheme="majorEastAsia" w:eastAsiaTheme="majorEastAsia"/>
          <w:szCs w:val="21"/>
        </w:rPr>
        <w:t>一切后果由供应商自行承担。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23.2.7投标文件编写完成后，</w:t>
      </w:r>
      <w:r>
        <w:rPr>
          <w:rFonts w:hint="eastAsia" w:asciiTheme="majorEastAsia" w:hAnsiTheme="majorEastAsia" w:eastAsiaTheme="majorEastAsia"/>
          <w:b/>
          <w:szCs w:val="21"/>
        </w:rPr>
        <w:t>必须用属于投标人的电子密钥进行加密，否则视同未盖公章，将导致投标文件无效。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23.2.8采购代理机构不接受投标截止时间后递交的纸质、电子、传真等所有形式的投标文件。由于对网上政府采购系统操作不熟悉或自身电脑、网络等原因导致不能在投标截止时间之前上传投标文件，采购代理机构概不负责。建议于开标前一个工作日完成投标文件的制作与上传，如上传确有困难，请及时咨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23.2.9如果开标时出现网络故障、技术故障，影响了政府采购活动，采购代理机构有权采取措施如延期、接受无法从网上上传的投标书等，以保障政府采购活动的公开、公平和公正。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23.3电报、电话、传真形式的投标概不接受。</w:t>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23.4经投标人电子密钥加密的投标文件无须盖章或签字，</w:t>
      </w:r>
      <w:r>
        <w:rPr>
          <w:rFonts w:hint="eastAsia" w:asciiTheme="majorEastAsia" w:hAnsiTheme="majorEastAsia" w:eastAsiaTheme="majorEastAsia"/>
          <w:szCs w:val="21"/>
        </w:rPr>
        <w:t>专用条款另有要求的除外。</w:t>
      </w:r>
    </w:p>
    <w:p>
      <w:pPr>
        <w:spacing w:line="360" w:lineRule="auto"/>
        <w:ind w:firstLine="413" w:firstLineChars="196"/>
        <w:rPr>
          <w:rFonts w:asciiTheme="majorEastAsia" w:hAnsiTheme="majorEastAsia" w:eastAsiaTheme="majorEastAsia"/>
          <w:szCs w:val="21"/>
        </w:rPr>
      </w:pPr>
      <w:r>
        <w:rPr>
          <w:rFonts w:hint="eastAsia" w:asciiTheme="majorEastAsia" w:hAnsiTheme="majorEastAsia" w:eastAsiaTheme="majorEastAsia"/>
          <w:b/>
          <w:szCs w:val="21"/>
        </w:rPr>
        <w:t>23.5</w:t>
      </w:r>
      <w:r>
        <w:rPr>
          <w:rFonts w:hint="eastAsia" w:asciiTheme="majorEastAsia" w:hAnsiTheme="majorEastAsia" w:eastAsiaTheme="majorEastAsia"/>
          <w:szCs w:val="21"/>
        </w:rPr>
        <w:t xml:space="preserve"> 各类资格（资质）文件提供扫描件，专用条款另有要求的除外。</w:t>
      </w:r>
      <w:bookmarkEnd w:id="57"/>
    </w:p>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投标文件的递交</w:t>
      </w:r>
      <w:bookmarkStart w:id="58" w:name="_Hlk72405459"/>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24．投标书的保密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5"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图形用户界面, 应用程序&#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在投标文件制作软件点击【生成标书】按钮进入【填写开标一览表界面】界面，在该界面填写完开标一览表信息后点击【确定】，进入投标文件生成环节。</w:t>
      </w:r>
      <w:r>
        <w:rPr>
          <w:rFonts w:asciiTheme="majorEastAsia" w:hAnsiTheme="majorEastAsia" w:eastAsiaTheme="majorEastAsia"/>
          <w:szCs w:val="21"/>
        </w:rPr>
        <w:drawing>
          <wp:inline distT="0" distB="0" distL="0" distR="0">
            <wp:extent cx="5278755" cy="2732405"/>
            <wp:effectExtent l="0" t="0" r="0" b="0"/>
            <wp:docPr id="7"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图形用户界面&#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投标文件制作软件会在投标文件生成过程中，提示用户输入密码，输入密码后对标文件自动进行加密。</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24.2若采购项目出现延期情况：</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）有更新，投标人必须重新下载招标文件、重新制作投标文件、重新加密投标文件、重新上传投标文件；如果供下载的招标文件（后缀名为.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）没有更新，投标人必须重新加密投标文件、重新上传投标文件（是否重新制作投标文件根据项目实际情况定）。否则，投标人自行承担投标文件无法解密导致投标无效的后果。</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25．上传投标文件及投标截止日期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1实行网上投标，</w:t>
      </w:r>
      <w:r>
        <w:rPr>
          <w:rFonts w:asciiTheme="majorEastAsia" w:hAnsiTheme="majorEastAsia" w:eastAsiaTheme="majorEastAsia"/>
          <w:szCs w:val="21"/>
        </w:rPr>
        <w:t>投标人必须</w:t>
      </w:r>
      <w:r>
        <w:rPr>
          <w:rFonts w:hint="eastAsia" w:asciiTheme="majorEastAsia" w:hAnsiTheme="majorEastAsia" w:eastAsiaTheme="majorEastAsia"/>
          <w:szCs w:val="21"/>
        </w:rPr>
        <w:t>在招标</w:t>
      </w:r>
      <w:r>
        <w:rPr>
          <w:rFonts w:asciiTheme="majorEastAsia" w:hAnsiTheme="majorEastAsia" w:eastAsiaTheme="majorEastAsia"/>
          <w:szCs w:val="21"/>
        </w:rPr>
        <w:t>文件规定的投标截止时间前</w:t>
      </w:r>
      <w:r>
        <w:rPr>
          <w:rFonts w:hint="eastAsia" w:asciiTheme="majorEastAsia" w:hAnsiTheme="majorEastAsia" w:eastAsiaTheme="majorEastAsia"/>
          <w:szCs w:val="21"/>
        </w:rPr>
        <w:t>用电子密钥登录“深圳政府采购智慧平台用户网上办事子系统（http://zfcg.szggzy.com/TPBidder/memberLogin）”，用“【我的项目】→【项目流程】→【递交投标(应答)文件】”功能点上传投标文件。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25.2采购代理机构可以按本通用条款第13条规定，通过修改招标文件自行决定酌情延长投标截止期。在此情况下，采购代理机构、采购人和投标人受投标截止期制约的所有权利和义务均应延长至新的截止期。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3投标截止时间以后不得上传投标文件。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bookmarkEnd w:id="58"/>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26. 样品、现场演示、方案讲解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26.1 样品、现场演示、方案讲解等事项在招标文件专用条款中进行规定。</w:t>
      </w:r>
    </w:p>
    <w:p>
      <w:pPr>
        <w:spacing w:line="360" w:lineRule="auto"/>
        <w:rPr>
          <w:rFonts w:asciiTheme="majorEastAsia" w:hAnsiTheme="majorEastAsia" w:eastAsiaTheme="majorEastAsia"/>
          <w:b/>
          <w:bCs/>
          <w:szCs w:val="21"/>
        </w:rPr>
      </w:pPr>
      <w:bookmarkStart w:id="59" w:name="_Hlk72428346"/>
      <w:r>
        <w:rPr>
          <w:rFonts w:asciiTheme="majorEastAsia" w:hAnsiTheme="majorEastAsia" w:eastAsiaTheme="majorEastAsia"/>
          <w:b/>
          <w:bCs/>
          <w:szCs w:val="21"/>
        </w:rPr>
        <w:t>2</w:t>
      </w:r>
      <w:r>
        <w:rPr>
          <w:rFonts w:hint="eastAsia" w:asciiTheme="majorEastAsia" w:hAnsiTheme="majorEastAsia" w:eastAsiaTheme="majorEastAsia"/>
          <w:b/>
          <w:bCs/>
          <w:szCs w:val="21"/>
        </w:rPr>
        <w:t>7．</w:t>
      </w:r>
      <w:r>
        <w:rPr>
          <w:rFonts w:asciiTheme="majorEastAsia" w:hAnsiTheme="majorEastAsia" w:eastAsiaTheme="majorEastAsia"/>
          <w:b/>
          <w:bCs/>
          <w:szCs w:val="21"/>
        </w:rPr>
        <w:t>投标文件的修改和撤销</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1</w:t>
      </w:r>
      <w:r>
        <w:rPr>
          <w:rFonts w:asciiTheme="majorEastAsia" w:hAnsiTheme="majorEastAsia" w:eastAsiaTheme="majorEastAsia"/>
          <w:szCs w:val="21"/>
        </w:rPr>
        <w:t>投标方在提交投标文件后可对其投标文件进行修改</w:t>
      </w:r>
      <w:r>
        <w:rPr>
          <w:rFonts w:hint="eastAsia" w:asciiTheme="majorEastAsia" w:hAnsiTheme="majorEastAsia" w:eastAsiaTheme="majorEastAsia"/>
          <w:szCs w:val="21"/>
        </w:rPr>
        <w:t>并重新上传投标文件</w:t>
      </w:r>
      <w:r>
        <w:rPr>
          <w:rFonts w:asciiTheme="majorEastAsia" w:hAnsiTheme="majorEastAsia" w:eastAsiaTheme="majorEastAsia"/>
          <w:szCs w:val="21"/>
        </w:rPr>
        <w:t>或</w:t>
      </w:r>
      <w:r>
        <w:rPr>
          <w:rFonts w:hint="eastAsia" w:asciiTheme="majorEastAsia" w:hAnsiTheme="majorEastAsia" w:eastAsiaTheme="majorEastAsia"/>
          <w:szCs w:val="21"/>
        </w:rPr>
        <w:t>在网上进行</w:t>
      </w:r>
      <w:r>
        <w:rPr>
          <w:rFonts w:asciiTheme="majorEastAsia" w:hAnsiTheme="majorEastAsia" w:eastAsiaTheme="majorEastAsia"/>
          <w:szCs w:val="21"/>
        </w:rPr>
        <w:t>撤销</w:t>
      </w:r>
      <w:r>
        <w:rPr>
          <w:rFonts w:hint="eastAsia" w:asciiTheme="majorEastAsia" w:hAnsiTheme="majorEastAsia" w:eastAsiaTheme="majorEastAsia"/>
          <w:szCs w:val="21"/>
        </w:rPr>
        <w:t>投标的操作</w:t>
      </w:r>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投标截止时间以后不得修改投标文件。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3从投标截止期至投标人在投标文件中确定的投标有效期之间的这段时间内，投标人不得撤回其投标。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27.4采购代理机构不退还投标文件，专用条款另有规定的除外。</w:t>
      </w:r>
    </w:p>
    <w:bookmarkEnd w:id="59"/>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开标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28．开标</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1投标人须在开标当日的开标时间至解密截止时间内进行解密，逾期未解密的作无效处理。解密方法：登录“深圳政府采购智慧平台用户网上办事子系统（</w:t>
      </w:r>
      <w:r>
        <w:rPr>
          <w:rFonts w:asciiTheme="majorEastAsia" w:hAnsiTheme="majorEastAsia" w:eastAsiaTheme="majorEastAsia"/>
          <w:szCs w:val="21"/>
        </w:rPr>
        <w:t>http://zfcg.szggzy.com/</w:t>
      </w:r>
      <w:r>
        <w:rPr>
          <w:rFonts w:hint="eastAsia" w:asciiTheme="majorEastAsia" w:hAnsiTheme="majorEastAsia" w:eastAsiaTheme="majorEastAsia"/>
          <w:szCs w:val="21"/>
        </w:rPr>
        <w:t>TPBidder/memberLogin）”，使用本单位制作电子投标文件同一个电子密钥，在“【我的项目】→【项目流程】→【开标及解密】”进行在线解密、查询开标情况。</w:t>
      </w:r>
    </w:p>
    <w:p>
      <w:pPr>
        <w:spacing w:line="360" w:lineRule="auto"/>
        <w:ind w:firstLine="359" w:firstLineChars="171"/>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 xml:space="preserve">8.2 </w:t>
      </w:r>
      <w:r>
        <w:rPr>
          <w:rFonts w:hint="eastAsia" w:asciiTheme="majorEastAsia" w:hAnsiTheme="majorEastAsia" w:eastAsiaTheme="majorEastAsia"/>
          <w:szCs w:val="21"/>
        </w:rPr>
        <w:t>采购代理机构将在满足开标条件（</w:t>
      </w:r>
      <w:r>
        <w:rPr>
          <w:rFonts w:hint="eastAsia" w:cs="宋体" w:asciiTheme="majorEastAsia" w:hAnsiTheme="majorEastAsia" w:eastAsiaTheme="majorEastAsia"/>
          <w:color w:val="333333"/>
          <w:szCs w:val="21"/>
          <w:shd w:val="clear" w:color="auto" w:fill="FFFFFF"/>
        </w:rPr>
        <w:t>①</w:t>
      </w:r>
      <w:r>
        <w:rPr>
          <w:rFonts w:hint="eastAsia" w:asciiTheme="majorEastAsia" w:hAnsiTheme="majorEastAsia" w:eastAsiaTheme="majorEastAsia"/>
          <w:szCs w:val="21"/>
        </w:rPr>
        <w:t>解密时间结束，解密后的投标供应商数量满足开标要求或</w:t>
      </w:r>
      <w:r>
        <w:rPr>
          <w:rFonts w:hint="eastAsia" w:cs="宋体" w:asciiTheme="majorEastAsia" w:hAnsiTheme="majorEastAsia" w:eastAsiaTheme="majorEastAsia"/>
          <w:color w:val="333333"/>
          <w:szCs w:val="21"/>
          <w:shd w:val="clear" w:color="auto" w:fill="FFFFFF"/>
        </w:rPr>
        <w:t>②</w:t>
      </w:r>
      <w:r>
        <w:rPr>
          <w:rFonts w:hint="eastAsia" w:asciiTheme="majorEastAsia" w:hAnsiTheme="majorEastAsia" w:eastAsiaTheme="majorEastAsia"/>
          <w:szCs w:val="21"/>
        </w:rPr>
        <w:t>解密时间结束前所有投标供应商均完成投标文件解密）后，对投标文件进行开标，并在网上公布开标结果。</w:t>
      </w:r>
    </w:p>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评审要求</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29．评审委员会组成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29.1网上开标结束后召开评审会议，评审委员会由采购代理机构依法组建，负责评审活动。</w:t>
      </w:r>
    </w:p>
    <w:p>
      <w:pPr>
        <w:spacing w:line="360" w:lineRule="auto"/>
        <w:ind w:firstLine="411" w:firstLineChars="196"/>
        <w:rPr>
          <w:rFonts w:asciiTheme="majorEastAsia" w:hAnsiTheme="majorEastAsia" w:eastAsiaTheme="majorEastAsia"/>
          <w:szCs w:val="21"/>
        </w:rPr>
      </w:pPr>
      <w:bookmarkStart w:id="60" w:name="_Hlk72436580"/>
      <w:r>
        <w:rPr>
          <w:rFonts w:hint="eastAsia" w:asciiTheme="majorEastAsia" w:hAnsiTheme="majorEastAsia" w:eastAsiaTheme="majorEastAsia"/>
          <w:szCs w:val="21"/>
        </w:rPr>
        <w:t>评审委员会由采购人代表和评审专家组成，成员人数应当为5人以上单数（部分条件下为7人以上单数），其中评审专家不得少于成员总数的三分之二。</w:t>
      </w:r>
      <w:bookmarkEnd w:id="60"/>
      <w:r>
        <w:rPr>
          <w:rFonts w:hint="eastAsia" w:asciiTheme="majorEastAsia" w:hAnsiTheme="majorEastAsia" w:eastAsiaTheme="majorEastAsia"/>
          <w:szCs w:val="21"/>
        </w:rPr>
        <w:t>评定分离项目</w:t>
      </w:r>
      <w:r>
        <w:rPr>
          <w:rFonts w:asciiTheme="majorEastAsia" w:hAnsiTheme="majorEastAsia" w:eastAsiaTheme="majorEastAsia"/>
          <w:szCs w:val="21"/>
        </w:rPr>
        <w:t>评审专家</w:t>
      </w:r>
      <w:r>
        <w:rPr>
          <w:rFonts w:hint="eastAsia" w:asciiTheme="majorEastAsia" w:hAnsiTheme="majorEastAsia" w:eastAsiaTheme="majorEastAsia"/>
          <w:szCs w:val="21"/>
        </w:rPr>
        <w:t>均</w:t>
      </w:r>
      <w:r>
        <w:rPr>
          <w:rFonts w:asciiTheme="majorEastAsia" w:hAnsiTheme="majorEastAsia" w:eastAsiaTheme="majorEastAsia"/>
          <w:szCs w:val="21"/>
        </w:rPr>
        <w:t>由</w:t>
      </w:r>
      <w:r>
        <w:rPr>
          <w:rFonts w:hint="eastAsia" w:asciiTheme="majorEastAsia" w:hAnsiTheme="majorEastAsia" w:eastAsiaTheme="majorEastAsia"/>
          <w:szCs w:val="21"/>
        </w:rPr>
        <w:t>评审专家组成。评审专家一般是从深圳市政府采购评审专家库中随机抽取。采购人代表须持本单位签发的《评审授权书》参加评审。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29.2评审定标应当遵循公平、公正、科学、择优的原则。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29.3评审活动依法进行，任何单位和个人不得非法干预评标过程和结果。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29.4评审过程中不允许违背评标程序或采用招标文件未载明的评标方法或评标因素进行评标。</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29.5 开标后，直到签订合同为止，凡属于对投标文件的审查、澄清、评价和比较的有关资料以及中标候选人的推荐情况、与评审有关的其他任何情况均严格保密（</w:t>
      </w:r>
      <w:r>
        <w:rPr>
          <w:rFonts w:hint="eastAsia" w:asciiTheme="majorEastAsia" w:hAnsiTheme="majorEastAsia" w:eastAsiaTheme="majorEastAsia"/>
          <w:szCs w:val="21"/>
        </w:rPr>
        <w:t>信息公开的内容除外</w:t>
      </w:r>
      <w:r>
        <w:rPr>
          <w:rFonts w:hint="eastAsia" w:asciiTheme="majorEastAsia" w:hAnsiTheme="majorEastAsia" w:eastAsiaTheme="majorEastAsia"/>
          <w:bCs/>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30．向评审委员会提供的资料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30.1公开发布的招标文件，包括图纸、服务清单、答疑文件等；</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30.2其他评标必须的资料。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30.3评审委员会应当认真研究招标文件，至少应了解熟悉以下内容：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（1）招标的目的；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（2）招标项目需求的范围和性质；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（3）招标文件规定的投标人的资格、财政预算限额、商务条款；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（4）招标文件规定的评标程序、评标方法和评标因素；</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（5）招标文件所列示的资格性审查表及符合性审查表。</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31．独立评审</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w:t>
      </w:r>
      <w:r>
        <w:rPr>
          <w:rFonts w:asciiTheme="majorEastAsia" w:hAnsiTheme="majorEastAsia" w:eastAsiaTheme="majorEastAsia"/>
          <w:bCs/>
          <w:szCs w:val="21"/>
        </w:rPr>
        <w:t>1</w:t>
      </w:r>
      <w:r>
        <w:rPr>
          <w:rFonts w:hint="eastAsia" w:asciiTheme="majorEastAsia" w:hAnsiTheme="majorEastAsia" w:eastAsiaTheme="majorEastAsia"/>
          <w:bCs/>
          <w:szCs w:val="21"/>
        </w:rPr>
        <w:t>.1</w:t>
      </w:r>
      <w:r>
        <w:rPr>
          <w:rFonts w:hint="eastAsia" w:asciiTheme="majorEastAsia" w:hAnsiTheme="majorEastAsia" w:eastAsiaTheme="majorEastAsia"/>
          <w:szCs w:val="21"/>
        </w:rPr>
        <w:t>评审委员会</w:t>
      </w:r>
      <w:r>
        <w:rPr>
          <w:rFonts w:hint="eastAsia" w:asciiTheme="majorEastAsia" w:hAnsiTheme="majorEastAsia" w:eastAsiaTheme="majorEastAsia"/>
          <w:bCs/>
          <w:szCs w:val="21"/>
        </w:rPr>
        <w:t>成员的评标活动应当独立进行，并应遵循投标文件初审、澄清有关问题、比较与评价、确定中标供应商、编写评审报告的工作程序。</w:t>
      </w:r>
    </w:p>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评审程序及评审方法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32．投标文件初审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32.1投标文件初审包括资格性审查和符合性审查。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资格性审查：依据法律法规和招标文件的规定，对投标文件中的资格证明等进行审查，以确定投标供应商是否具备投标资格。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符合性审查：依据招标文件的规定，对投标文件的有效性、完整性和对招标文件的响应程度进行审查，以确定是否满足符合性审查的要求。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32.2 投标文件初审内容请详见《资格性审查表》和《符合性审查表》部分。投标人若有一条审查不通过则按投标无效处理。</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 投标文件初审中关于供应商家数的计算:</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32.3.3非单一产品采购项目，采购人应当根据采购项目技术构成、产品价格比重等合理确定核心产品，并在招标文件中载明。多家投标人提供的核心产品品牌相同的，按前两款规定处理。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32.4投标人投标文件作无效处理的情形，具体包括但不限于以下：</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32.4.1不同投标人的投标文件由同一单位或者同一个人编制，或者由同一个人分阶段参与编制；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32.4.</w:t>
      </w:r>
      <w:r>
        <w:rPr>
          <w:rFonts w:hint="eastAsia" w:asciiTheme="majorEastAsia" w:hAnsiTheme="majorEastAsia" w:eastAsiaTheme="majorEastAsia"/>
          <w:szCs w:val="21"/>
        </w:rPr>
        <w:t>2不同投标人委托同一单位或者个人办理投标事宜；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32.4.3不同投标人的投标文件载明的项目管理成员或者联系人员为同一人；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32.4.4不同投标人的投标文件异常一致或者投标报价呈规律性差异；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32.4.5</w:t>
      </w:r>
      <w:r>
        <w:rPr>
          <w:rFonts w:asciiTheme="majorEastAsia" w:hAnsiTheme="majorEastAsia" w:eastAsiaTheme="majorEastAsia"/>
          <w:szCs w:val="21"/>
        </w:rPr>
        <w:t>不同投标供应商的投标文件或部分投标文件相互混装</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32.4.6投标供应商之间相互约定给予未中标的供应商利益补偿；</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32.4.7不同投标供应商的法定代表人、主要经营负责人、项目投标授权代表人、项目负责人、主要技术人员为同一人、属同一单位或者同一单位缴纳社会保险；</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32.4.8不同投标供应商的投标文件内容存在非正常一致；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32.4.9在同一单位工作人员为两家以上（含两家）供应商进行同一项投标活动；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32.4.10主管部门依照法律、法规认定的其他情形。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32.5对不属于《资格性审查表》和《符合性审查表》所列的其他情形，除专用条款另有规定和32.4条款所列情形外，不得作为投标无效的理由。</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33．澄清有关问题</w:t>
      </w:r>
    </w:p>
    <w:p>
      <w:pPr>
        <w:spacing w:line="360" w:lineRule="auto"/>
        <w:ind w:firstLine="411" w:firstLineChars="196"/>
        <w:rPr>
          <w:rFonts w:asciiTheme="majorEastAsia" w:hAnsiTheme="majorEastAsia" w:eastAsiaTheme="majorEastAsia"/>
          <w:szCs w:val="21"/>
        </w:rPr>
      </w:pPr>
      <w:bookmarkStart w:id="61" w:name="_Hlk71407321"/>
      <w:r>
        <w:rPr>
          <w:rFonts w:hint="eastAsia" w:asciiTheme="majorEastAsia" w:hAnsiTheme="majorEastAsia" w:eastAsiaTheme="majorEastAsia"/>
          <w:szCs w:val="21"/>
        </w:rPr>
        <w:t>3</w:t>
      </w:r>
      <w:r>
        <w:rPr>
          <w:rFonts w:asciiTheme="majorEastAsia" w:hAnsiTheme="majorEastAsia" w:eastAsiaTheme="majorEastAsia"/>
          <w:szCs w:val="21"/>
        </w:rPr>
        <w:t>3.1</w:t>
      </w:r>
      <w:r>
        <w:rPr>
          <w:rFonts w:hint="eastAsia" w:asciiTheme="majorEastAsia" w:hAnsiTheme="majorEastAsia" w:eastAsiaTheme="majorEastAsia"/>
          <w:szCs w:val="21"/>
        </w:rPr>
        <w:t>对招标文件中描述有歧义或前后不一致的地方（不含</w:t>
      </w:r>
      <w:r>
        <w:rPr>
          <w:rFonts w:asciiTheme="majorEastAsia" w:hAnsiTheme="majorEastAsia" w:eastAsiaTheme="majorEastAsia"/>
          <w:szCs w:val="21"/>
        </w:rPr>
        <w:t>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w:t>
      </w:r>
      <w:r>
        <w:rPr>
          <w:rFonts w:hint="eastAsia" w:asciiTheme="majorEastAsia" w:hAnsiTheme="majorEastAsia" w:eastAsiaTheme="majorEastAsia"/>
          <w:szCs w:val="21"/>
        </w:rPr>
        <w:t>的情况），评审委员会有权进行评判，但对同一条款的评判应适用于每个投标人。</w:t>
      </w:r>
      <w:bookmarkEnd w:id="61"/>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3.2评</w:t>
      </w:r>
      <w:r>
        <w:rPr>
          <w:rFonts w:hint="eastAsia" w:asciiTheme="majorEastAsia" w:hAnsiTheme="majorEastAsia" w:eastAsiaTheme="majorEastAsia"/>
          <w:szCs w:val="21"/>
        </w:rPr>
        <w:t>审</w:t>
      </w:r>
      <w:r>
        <w:rPr>
          <w:rFonts w:asciiTheme="majorEastAsia" w:hAnsiTheme="majorEastAsia" w:eastAsiaTheme="majorEastAsia"/>
          <w:szCs w:val="21"/>
        </w:rPr>
        <w:t>委员会发现招标文件存在歧义、重大缺陷导致评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工作无法进行，或者招标文件内容违反国家有关强制性规定的，应当停止评</w:t>
      </w:r>
      <w:r>
        <w:rPr>
          <w:rFonts w:hint="eastAsia" w:asciiTheme="majorEastAsia" w:hAnsiTheme="majorEastAsia" w:eastAsiaTheme="majorEastAsia"/>
          <w:szCs w:val="21"/>
        </w:rPr>
        <w:t>审</w:t>
      </w:r>
      <w:r>
        <w:rPr>
          <w:rFonts w:asciiTheme="majorEastAsia" w:hAnsiTheme="majorEastAsia" w:eastAsiaTheme="majorEastAsia"/>
          <w:szCs w:val="21"/>
        </w:rPr>
        <w:t>工作，与</w:t>
      </w:r>
      <w:r>
        <w:rPr>
          <w:rFonts w:hint="eastAsia" w:asciiTheme="majorEastAsia" w:hAnsiTheme="majorEastAsia" w:eastAsiaTheme="majorEastAsia"/>
          <w:szCs w:val="21"/>
        </w:rPr>
        <w:t>采购代理机构</w:t>
      </w:r>
      <w:r>
        <w:rPr>
          <w:rFonts w:asciiTheme="majorEastAsia" w:hAnsiTheme="majorEastAsia" w:eastAsiaTheme="majorEastAsia"/>
          <w:szCs w:val="21"/>
        </w:rPr>
        <w:t>沟通并作书面记录。</w:t>
      </w:r>
      <w:r>
        <w:rPr>
          <w:rFonts w:hint="eastAsia" w:asciiTheme="majorEastAsia" w:hAnsiTheme="majorEastAsia" w:eastAsiaTheme="majorEastAsia"/>
          <w:szCs w:val="21"/>
        </w:rPr>
        <w:t>经</w:t>
      </w:r>
      <w:r>
        <w:rPr>
          <w:rFonts w:asciiTheme="majorEastAsia" w:hAnsiTheme="majorEastAsia" w:eastAsiaTheme="majorEastAsia"/>
          <w:szCs w:val="21"/>
        </w:rPr>
        <w:t>确认后，</w:t>
      </w:r>
      <w:r>
        <w:rPr>
          <w:rFonts w:hint="eastAsia" w:asciiTheme="majorEastAsia" w:hAnsiTheme="majorEastAsia" w:eastAsiaTheme="majorEastAsia"/>
          <w:szCs w:val="21"/>
        </w:rPr>
        <w:t>项目</w:t>
      </w:r>
      <w:r>
        <w:rPr>
          <w:rFonts w:asciiTheme="majorEastAsia" w:hAnsiTheme="majorEastAsia" w:eastAsiaTheme="majorEastAsia"/>
          <w:szCs w:val="21"/>
        </w:rPr>
        <w:t>应当修改招标文件，重新组织采购活动。</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33.3</w:t>
      </w:r>
      <w:r>
        <w:rPr>
          <w:rFonts w:hint="eastAsia" w:asciiTheme="majorEastAsia" w:hAnsiTheme="majorEastAsia" w:eastAsiaTheme="majorEastAsia"/>
          <w:szCs w:val="21"/>
        </w:rPr>
        <w:t>对于投标文件中含义不明确、同类问题表述不一致或者有明显文字和计算错误的内容，评审委员会应当以书面形式要求投标人作出必要的澄清、说明或者补正。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根据本通用条款第34条，凡属于评审委员会在评审中发现的算术错误进行核实的修改不在此列。</w:t>
      </w:r>
    </w:p>
    <w:p>
      <w:pPr>
        <w:spacing w:line="360" w:lineRule="auto"/>
        <w:rPr>
          <w:rFonts w:asciiTheme="majorEastAsia" w:hAnsiTheme="majorEastAsia" w:eastAsiaTheme="majorEastAsia"/>
          <w:b/>
          <w:bCs/>
          <w:szCs w:val="21"/>
        </w:rPr>
      </w:pPr>
      <w:bookmarkStart w:id="62" w:name="_Toc73521669"/>
      <w:bookmarkStart w:id="63" w:name="_Toc73518151"/>
      <w:bookmarkStart w:id="64" w:name="_Toc100052400"/>
      <w:bookmarkStart w:id="65" w:name="_Toc73521581"/>
      <w:bookmarkStart w:id="66" w:name="_Toc73517673"/>
      <w:r>
        <w:rPr>
          <w:rFonts w:hint="eastAsia" w:asciiTheme="majorEastAsia" w:hAnsiTheme="majorEastAsia" w:eastAsiaTheme="majorEastAsia"/>
          <w:b/>
          <w:bCs/>
          <w:szCs w:val="21"/>
        </w:rPr>
        <w:t>34．错误的修正</w:t>
      </w:r>
      <w:bookmarkEnd w:id="62"/>
      <w:bookmarkEnd w:id="63"/>
      <w:bookmarkEnd w:id="64"/>
      <w:bookmarkEnd w:id="65"/>
      <w:bookmarkEnd w:id="66"/>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投标文件报价出现前后不一致的，除专用条款另有规定外，按照下列规定修正：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34.1投标文件中开标一览表投标报价内容与投标文件中投标报价相应内容不一致的，以开标一览表为准；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34.2大写金额和小写金额不一致的，以大写金额为准；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34.3单价金额小数点或者百分比有明显错位，以开标一览表的总价为准，并修改单价；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34.4总价金额与按单价汇总金额不一致的，以单价金额计算结果为准。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35．投标文件的比较与评价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评审委员会成员对需要共同认定的事项存在争议的，应当按照少数服从多数的原则作出结论。持不同意见的评审委员会成员应当书面作出说明，否则视为无异议。</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36. 实地考察或资料查验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36.1在评审过程中，评审委员会有权决定是否对本项目投标人进行实地考察或资料查验（原件）。投标人应随时做好接受实地考察或资料查验的准备。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37．评审方法</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37.1.1最低价法</w:t>
      </w:r>
    </w:p>
    <w:p>
      <w:pPr>
        <w:spacing w:line="360" w:lineRule="auto"/>
        <w:ind w:firstLine="411" w:firstLineChars="196"/>
        <w:rPr>
          <w:rFonts w:asciiTheme="majorEastAsia" w:hAnsiTheme="majorEastAsia" w:eastAsiaTheme="majorEastAsia"/>
          <w:szCs w:val="21"/>
        </w:rPr>
      </w:pPr>
      <w:bookmarkStart w:id="67" w:name="_Hlk72438142"/>
      <w:r>
        <w:rPr>
          <w:rFonts w:asciiTheme="majorEastAsia" w:hAnsiTheme="majorEastAsia" w:eastAsiaTheme="majorEastAsia"/>
          <w:szCs w:val="21"/>
        </w:rPr>
        <w:t>最低价法，是指</w:t>
      </w:r>
      <w:r>
        <w:rPr>
          <w:rFonts w:hint="eastAsia" w:asciiTheme="majorEastAsia" w:hAnsiTheme="majorEastAsia" w:eastAsiaTheme="majorEastAsia"/>
          <w:szCs w:val="21"/>
        </w:rPr>
        <w:t>完全</w:t>
      </w:r>
      <w:r>
        <w:rPr>
          <w:rFonts w:asciiTheme="majorEastAsia" w:hAnsiTheme="majorEastAsia" w:eastAsiaTheme="majorEastAsia"/>
          <w:szCs w:val="21"/>
        </w:rPr>
        <w:t>满足招标文件实质性要求，</w:t>
      </w:r>
      <w:r>
        <w:rPr>
          <w:rFonts w:hint="eastAsia" w:asciiTheme="majorEastAsia" w:hAnsiTheme="majorEastAsia" w:eastAsiaTheme="majorEastAsia"/>
          <w:szCs w:val="21"/>
        </w:rPr>
        <w:t>按照报价由低到高的顺序，依据招标文件中规定的数量或者比例推荐候选中标供应商。</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37.1.2综合评分法</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综合评分法，是指</w:t>
      </w:r>
      <w:r>
        <w:rPr>
          <w:rFonts w:hint="eastAsia" w:asciiTheme="majorEastAsia" w:hAnsiTheme="majorEastAsia" w:eastAsiaTheme="majorEastAsia"/>
          <w:szCs w:val="21"/>
        </w:rPr>
        <w:t>在</w:t>
      </w:r>
      <w:r>
        <w:rPr>
          <w:rFonts w:asciiTheme="majorEastAsia" w:hAnsiTheme="majorEastAsia" w:eastAsiaTheme="majorEastAsia"/>
          <w:szCs w:val="21"/>
        </w:rPr>
        <w:t>满足招标文件全部实质性要求</w:t>
      </w:r>
      <w:r>
        <w:rPr>
          <w:rFonts w:hint="eastAsia" w:asciiTheme="majorEastAsia" w:hAnsiTheme="majorEastAsia" w:eastAsiaTheme="majorEastAsia"/>
          <w:szCs w:val="21"/>
        </w:rPr>
        <w:t>的前提下</w:t>
      </w:r>
      <w:r>
        <w:rPr>
          <w:rFonts w:asciiTheme="majorEastAsia" w:hAnsiTheme="majorEastAsia" w:eastAsiaTheme="majorEastAsia"/>
          <w:szCs w:val="21"/>
        </w:rPr>
        <w:t>，</w:t>
      </w:r>
      <w:r>
        <w:rPr>
          <w:rFonts w:hint="eastAsia" w:asciiTheme="majorEastAsia" w:hAnsiTheme="majorEastAsia" w:eastAsiaTheme="majorEastAsia"/>
          <w:szCs w:val="21"/>
        </w:rPr>
        <w:t>按照招标文件中规定的各项因素进行综合评审，评审总得分排名前列的投标人，作为推荐的候选中标供应商。</w:t>
      </w:r>
      <w:bookmarkEnd w:id="67"/>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37.2 本项目采用的评审方法见本项目招标文件第一册“专用条款”的相关内容。</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37.3重新评审的情形</w:t>
      </w:r>
    </w:p>
    <w:p>
      <w:pPr>
        <w:spacing w:line="360" w:lineRule="auto"/>
        <w:ind w:firstLine="411" w:firstLineChars="196"/>
        <w:rPr>
          <w:rFonts w:asciiTheme="majorEastAsia" w:hAnsiTheme="majorEastAsia" w:eastAsiaTheme="majorEastAsia"/>
          <w:b/>
          <w:bCs/>
          <w:szCs w:val="21"/>
        </w:rPr>
      </w:pPr>
      <w:r>
        <w:rPr>
          <w:rFonts w:hint="eastAsia" w:cs="宋体" w:asciiTheme="majorEastAsia" w:hAnsiTheme="majorEastAsia" w:eastAsiaTheme="majorEastAsia"/>
          <w:szCs w:val="21"/>
        </w:rPr>
        <w:t>评审结果汇总完成后，除下列情形外，任何人不得修改评审结果：</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37.3.1分值汇总计算错误的；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37.3.2分项评分超出评分标准范围的；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37.3.3评审委员会成员对客观评审因素评分不一致的；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37.3.4经评审委员会认定评分畸高、畸低的。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投标人对本条第一款情形提出质疑的，采购人或者采购代理机构可以组织原评审委员会进行重新评审，重新评审改变评审结果的，应当书面报告本级财政部门。</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 xml:space="preserve"> 37.4重新组建评审委员会的情形</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评审委员会或者其成员存在下列情形导致评审结果无效的，重新组建评审委员会进行评标，并书面报告本级财政部门：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37.4.1评审委员会组成不符合《政府采购货物和服务招标投标管理办法》规定的；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37.4.2有《政府采购货物和服务招标投标管理办法》第六十二条第一至五项情形的；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37.4.3评审委员会及其成员独立评标受到非法干预的；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37.4.4有政府采购法实施条例第七十五条规定的违法行为的。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有违法违规行为的原评审委员会成员不得参加重新组建的评审委员会。</w:t>
      </w:r>
    </w:p>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定标及公示</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38．定标方法</w:t>
      </w:r>
    </w:p>
    <w:p>
      <w:pPr>
        <w:spacing w:line="360" w:lineRule="auto"/>
        <w:ind w:firstLine="411" w:firstLineChars="196"/>
        <w:rPr>
          <w:rFonts w:asciiTheme="majorEastAsia" w:hAnsiTheme="majorEastAsia" w:eastAsiaTheme="majorEastAsia"/>
          <w:szCs w:val="21"/>
        </w:rPr>
      </w:pPr>
      <w:bookmarkStart w:id="68" w:name="_Hlk73782795"/>
      <w:r>
        <w:rPr>
          <w:rFonts w:hint="eastAsia" w:asciiTheme="majorEastAsia" w:hAnsiTheme="majorEastAsia" w:eastAsiaTheme="majorEastAsia"/>
          <w:szCs w:val="21"/>
        </w:rPr>
        <w:t>38.1非评定分离项目定标方法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1.1评审委员会依据本项目招标文件所约定的评审方法进行评审和比较，向采购代理机构提交书面评审报告，并根据评审方法比较评价结果从优到劣进行排序，确定候选中标供应商。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1.2</w:t>
      </w:r>
      <w:r>
        <w:rPr>
          <w:rFonts w:asciiTheme="majorEastAsia" w:hAnsiTheme="majorEastAsia" w:eastAsiaTheme="majorEastAsia"/>
          <w:szCs w:val="21"/>
        </w:rPr>
        <w:t>采用最低价法的，评</w:t>
      </w:r>
      <w:r>
        <w:rPr>
          <w:rFonts w:hint="eastAsia" w:asciiTheme="majorEastAsia" w:hAnsiTheme="majorEastAsia" w:eastAsiaTheme="majorEastAsia"/>
          <w:szCs w:val="21"/>
        </w:rPr>
        <w:t>审</w:t>
      </w:r>
      <w:r>
        <w:rPr>
          <w:rFonts w:asciiTheme="majorEastAsia" w:hAnsiTheme="majorEastAsia" w:eastAsiaTheme="majorEastAsia"/>
          <w:szCs w:val="21"/>
        </w:rPr>
        <w:t>结果按投标报价由低到高顺序排列。投标报价相同的并列。投标文件满足招标文件全部实质性要求且投标报价最低的</w:t>
      </w:r>
      <w:r>
        <w:rPr>
          <w:rFonts w:hint="eastAsia" w:asciiTheme="majorEastAsia" w:hAnsiTheme="majorEastAsia" w:eastAsiaTheme="majorEastAsia"/>
          <w:szCs w:val="21"/>
        </w:rPr>
        <w:t>投标人为</w:t>
      </w:r>
      <w:bookmarkStart w:id="69" w:name="_Hlk73821177"/>
      <w:r>
        <w:rPr>
          <w:rFonts w:hint="eastAsia" w:asciiTheme="majorEastAsia" w:hAnsiTheme="majorEastAsia" w:eastAsiaTheme="majorEastAsia"/>
          <w:szCs w:val="21"/>
        </w:rPr>
        <w:t>中标供应商</w:t>
      </w:r>
      <w:r>
        <w:rPr>
          <w:rFonts w:asciiTheme="majorEastAsia" w:hAnsiTheme="majorEastAsia" w:eastAsiaTheme="majorEastAsia"/>
          <w:szCs w:val="21"/>
        </w:rPr>
        <w:t>（</w:t>
      </w:r>
      <w:r>
        <w:rPr>
          <w:rFonts w:hint="eastAsia" w:asciiTheme="majorEastAsia" w:hAnsiTheme="majorEastAsia" w:eastAsiaTheme="majorEastAsia"/>
          <w:szCs w:val="21"/>
        </w:rPr>
        <w:t>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bookmarkEnd w:id="69"/>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1.3</w:t>
      </w:r>
      <w:r>
        <w:rPr>
          <w:rFonts w:asciiTheme="majorEastAsia" w:hAnsiTheme="majorEastAsia" w:eastAsiaTheme="major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Theme="majorEastAsia" w:hAnsiTheme="majorEastAsia" w:eastAsiaTheme="majorEastAsia"/>
          <w:szCs w:val="21"/>
        </w:rPr>
        <w:t>为中标供应商</w:t>
      </w:r>
      <w:r>
        <w:rPr>
          <w:rFonts w:asciiTheme="majorEastAsia" w:hAnsiTheme="majorEastAsia" w:eastAsiaTheme="majorEastAsia"/>
          <w:szCs w:val="21"/>
        </w:rPr>
        <w:t>（</w:t>
      </w:r>
      <w:r>
        <w:rPr>
          <w:rFonts w:hint="eastAsia" w:asciiTheme="majorEastAsia" w:hAnsiTheme="majorEastAsia" w:eastAsiaTheme="majorEastAsia"/>
          <w:szCs w:val="21"/>
        </w:rPr>
        <w:t>中标候选人如不止一名，则推选排名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r>
        <w:rPr>
          <w:rFonts w:asciiTheme="majorEastAsia" w:hAnsiTheme="majorEastAsia" w:eastAsiaTheme="majorEastAsia"/>
          <w:szCs w:val="21"/>
        </w:rPr>
        <w:t>）。</w:t>
      </w:r>
      <w:r>
        <w:rPr>
          <w:rFonts w:hint="eastAsia" w:asciiTheme="majorEastAsia" w:hAnsiTheme="majorEastAsia" w:eastAsiaTheme="majorEastAsia"/>
          <w:szCs w:val="21"/>
        </w:rPr>
        <w:t>出现</w:t>
      </w:r>
      <w:r>
        <w:rPr>
          <w:rFonts w:asciiTheme="majorEastAsia" w:hAnsiTheme="majorEastAsia" w:eastAsiaTheme="majorEastAsia"/>
          <w:szCs w:val="21"/>
        </w:rPr>
        <w:t>得分且投标报价相同的并列</w:t>
      </w:r>
      <w:r>
        <w:rPr>
          <w:rFonts w:hint="eastAsia" w:asciiTheme="majorEastAsia" w:hAnsiTheme="majorEastAsia" w:eastAsiaTheme="majorEastAsia"/>
          <w:szCs w:val="21"/>
        </w:rPr>
        <w:t>情况时，采取随机抽取的方式确定，具体操作办法及流程由评审委员会确定。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 xml:space="preserve">38.2.2 </w:t>
      </w:r>
      <w:bookmarkStart w:id="70" w:name="_Hlk71469733"/>
      <w:r>
        <w:rPr>
          <w:rFonts w:asciiTheme="majorEastAsia" w:hAnsiTheme="majorEastAsia" w:eastAsiaTheme="majorEastAsia"/>
          <w:szCs w:val="21"/>
        </w:rPr>
        <w:t>适用评定分离的政府采购项目，采用综合评分法评</w:t>
      </w:r>
      <w:r>
        <w:rPr>
          <w:rFonts w:hint="eastAsia" w:asciiTheme="majorEastAsia" w:hAnsiTheme="majorEastAsia" w:eastAsiaTheme="majorEastAsia"/>
          <w:szCs w:val="21"/>
        </w:rPr>
        <w:t>审。评审委员会按照评审结果，推荐</w:t>
      </w:r>
      <w:r>
        <w:rPr>
          <w:rFonts w:asciiTheme="majorEastAsia" w:hAnsiTheme="majorEastAsia" w:eastAsiaTheme="majorEastAsia"/>
          <w:szCs w:val="21"/>
        </w:rPr>
        <w:t>三个合格的候选中标供应商。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38.2.3</w:t>
      </w:r>
      <w:bookmarkStart w:id="71" w:name="_Hlk71469688"/>
      <w:r>
        <w:rPr>
          <w:rFonts w:asciiTheme="majorEastAsia" w:hAnsiTheme="majorEastAsia" w:eastAsiaTheme="majorEastAsia"/>
          <w:szCs w:val="21"/>
        </w:rPr>
        <w:t>适用评定分离的政府采购项目，</w:t>
      </w:r>
      <w:r>
        <w:rPr>
          <w:rFonts w:hint="eastAsia" w:asciiTheme="majorEastAsia" w:hAnsiTheme="majorEastAsia" w:eastAsiaTheme="majorEastAsia"/>
          <w:szCs w:val="21"/>
        </w:rPr>
        <w:t>按照自定法确定中标供应商：自定法是指采购人组织定标委员会，由定标委员会在三家候选中标供应商中确定中标供应商。</w:t>
      </w:r>
      <w:bookmarkEnd w:id="70"/>
      <w:bookmarkEnd w:id="71"/>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38.2.4</w:t>
      </w:r>
      <w:r>
        <w:rPr>
          <w:rFonts w:hint="eastAsia" w:asciiTheme="majorEastAsia" w:hAnsiTheme="majorEastAsia" w:eastAsiaTheme="majorEastAsia"/>
          <w:szCs w:val="21"/>
        </w:rPr>
        <w:t>采购代理机构</w:t>
      </w:r>
      <w:r>
        <w:rPr>
          <w:rFonts w:asciiTheme="majorEastAsia" w:hAnsiTheme="majorEastAsia" w:eastAsiaTheme="majorEastAsia"/>
          <w:szCs w:val="21"/>
        </w:rPr>
        <w:t>应当自评审结束之日起两个工作日内将候选中标供应商名单及其投标文件、评审报告送交采购人</w:t>
      </w:r>
      <w:r>
        <w:rPr>
          <w:rFonts w:hint="eastAsia" w:asciiTheme="majorEastAsia" w:hAnsiTheme="majorEastAsia" w:eastAsiaTheme="majorEastAsia"/>
          <w:szCs w:val="21"/>
        </w:rPr>
        <w:t>。</w:t>
      </w:r>
      <w:r>
        <w:rPr>
          <w:rFonts w:asciiTheme="majorEastAsia" w:hAnsiTheme="majorEastAsia" w:eastAsiaTheme="majorEastAsia"/>
          <w:szCs w:val="21"/>
        </w:rPr>
        <w:t>采购人应当安排专人对定标过程进行书面记录，形成定标报告，作为采购文件的组成部分存档，并及时将定标结果反馈</w:t>
      </w:r>
      <w:r>
        <w:rPr>
          <w:rFonts w:hint="eastAsia" w:asciiTheme="majorEastAsia" w:hAnsiTheme="majorEastAsia" w:eastAsiaTheme="majorEastAsia"/>
          <w:szCs w:val="21"/>
        </w:rPr>
        <w:t>采购代理机构。具体定标程序及相关要求以按照《</w:t>
      </w:r>
      <w:r>
        <w:rPr>
          <w:rFonts w:asciiTheme="majorEastAsia" w:hAnsiTheme="majorEastAsia" w:eastAsiaTheme="majorEastAsia"/>
          <w:szCs w:val="21"/>
        </w:rPr>
        <w:t>深圳市财政局关于印发</w:t>
      </w:r>
      <w:r>
        <w:rPr>
          <w:rFonts w:hint="eastAsia" w:asciiTheme="majorEastAsia" w:hAnsiTheme="majorEastAsia" w:eastAsiaTheme="majorEastAsia"/>
          <w:szCs w:val="21"/>
        </w:rPr>
        <w:t>〈</w:t>
      </w:r>
      <w:r>
        <w:rPr>
          <w:rFonts w:asciiTheme="majorEastAsia" w:hAnsiTheme="majorEastAsia" w:eastAsiaTheme="majorEastAsia"/>
          <w:szCs w:val="21"/>
        </w:rPr>
        <w:t>深圳市政府采购评标定标分离管理办法</w:t>
      </w:r>
      <w:r>
        <w:rPr>
          <w:rFonts w:hint="eastAsia" w:asciiTheme="majorEastAsia" w:hAnsiTheme="majorEastAsia" w:eastAsiaTheme="majorEastAsia"/>
          <w:szCs w:val="21"/>
        </w:rPr>
        <w:t>〉</w:t>
      </w:r>
      <w:r>
        <w:rPr>
          <w:rFonts w:asciiTheme="majorEastAsia" w:hAnsiTheme="majorEastAsia" w:eastAsiaTheme="majorEastAsia"/>
          <w:szCs w:val="21"/>
        </w:rPr>
        <w:t>的通知</w:t>
      </w:r>
      <w:r>
        <w:rPr>
          <w:rFonts w:hint="eastAsia" w:asciiTheme="majorEastAsia" w:hAnsiTheme="majorEastAsia" w:eastAsiaTheme="majorEastAsia"/>
          <w:szCs w:val="21"/>
        </w:rPr>
        <w:t>》（深财规【2</w:t>
      </w:r>
      <w:r>
        <w:rPr>
          <w:rFonts w:asciiTheme="majorEastAsia" w:hAnsiTheme="majorEastAsia" w:eastAsiaTheme="majorEastAsia"/>
          <w:szCs w:val="21"/>
        </w:rPr>
        <w:t>020</w:t>
      </w:r>
      <w:r>
        <w:rPr>
          <w:rFonts w:hint="eastAsia" w:asciiTheme="majorEastAsia" w:hAnsiTheme="majorEastAsia" w:eastAsiaTheme="majorEastAsia"/>
          <w:szCs w:val="21"/>
        </w:rPr>
        <w:t>】1号）执行。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说明：采购人及投标供应商应按照上述方法提前做好相关准备。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38.3专用条款另有规定的，按专用条款相关要求定标。</w:t>
      </w:r>
      <w:bookmarkEnd w:id="68"/>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39．编写评审报告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40．中标公告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40.1</w:t>
      </w:r>
      <w:bookmarkStart w:id="72" w:name="_Hlk72438709"/>
      <w:r>
        <w:rPr>
          <w:rFonts w:hint="eastAsia" w:asciiTheme="majorEastAsia" w:hAnsiTheme="majorEastAsia" w:eastAsiaTheme="majorEastAsia"/>
          <w:szCs w:val="21"/>
        </w:rPr>
        <w:t>为体现“公开、公平、公正”的原则，评审结束后经采购人确认（确定）评审结果，采购代理机构将在“深圳政府采购智慧平台（http://zfcg.szggzy.com/）”上发布中标结果公告。</w:t>
      </w:r>
      <w:bookmarkEnd w:id="72"/>
      <w:bookmarkStart w:id="73" w:name="_Hlk72438751"/>
      <w:r>
        <w:rPr>
          <w:rFonts w:hint="eastAsia" w:asciiTheme="majorEastAsia" w:hAnsiTheme="majorEastAsia" w:eastAsiaTheme="majorEastAsia"/>
          <w:szCs w:val="21"/>
        </w:rPr>
        <w:t>供应商如对评审结果有异议，</w:t>
      </w:r>
      <w:r>
        <w:rPr>
          <w:rFonts w:asciiTheme="majorEastAsia" w:hAnsiTheme="majorEastAsia" w:eastAsiaTheme="majorEastAsia"/>
          <w:szCs w:val="21"/>
        </w:rPr>
        <w:t>可在发布公示日期起</w:t>
      </w:r>
      <w:r>
        <w:rPr>
          <w:rFonts w:hint="eastAsia" w:asciiTheme="majorEastAsia" w:hAnsiTheme="majorEastAsia" w:eastAsiaTheme="majorEastAsia"/>
          <w:szCs w:val="21"/>
        </w:rPr>
        <w:t>七</w:t>
      </w:r>
      <w:r>
        <w:rPr>
          <w:rFonts w:asciiTheme="majorEastAsia" w:hAnsiTheme="majorEastAsia" w:eastAsiaTheme="majorEastAsia"/>
          <w:szCs w:val="21"/>
        </w:rPr>
        <w:t>个工作日内向</w:t>
      </w:r>
      <w:r>
        <w:rPr>
          <w:rFonts w:hint="eastAsia" w:asciiTheme="majorEastAsia" w:hAnsiTheme="majorEastAsia" w:eastAsiaTheme="majorEastAsia"/>
          <w:szCs w:val="21"/>
        </w:rPr>
        <w:t>采购代理机构</w:t>
      </w:r>
      <w:r>
        <w:rPr>
          <w:rFonts w:asciiTheme="majorEastAsia" w:hAnsiTheme="majorEastAsia" w:eastAsiaTheme="majorEastAsia"/>
          <w:szCs w:val="21"/>
        </w:rPr>
        <w:t>提出。 监督电话：0755-83948143。</w:t>
      </w:r>
      <w:r>
        <w:rPr>
          <w:rFonts w:hint="eastAsia" w:asciiTheme="majorEastAsia" w:hAnsiTheme="majorEastAsia" w:eastAsiaTheme="majorEastAsia"/>
          <w:szCs w:val="21"/>
        </w:rPr>
        <w:t>若在公示期内未提出质疑，则视为认同该评审结果。</w:t>
      </w:r>
    </w:p>
    <w:bookmarkEnd w:id="73"/>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40.2质疑、投诉供应商应保证质疑、投诉内容的真实性和可靠性，并承担相应的法律责任。</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41．中标通知书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w:t>
      </w:r>
      <w:r>
        <w:rPr>
          <w:rFonts w:hint="eastAsia" w:asciiTheme="majorEastAsia" w:hAnsiTheme="majorEastAsia" w:eastAsiaTheme="majorEastAsia"/>
          <w:szCs w:val="21"/>
        </w:rPr>
        <w:t>1</w:t>
      </w:r>
      <w:bookmarkStart w:id="74" w:name="_Hlk72438863"/>
      <w:r>
        <w:rPr>
          <w:rFonts w:hint="eastAsia" w:asciiTheme="majorEastAsia" w:hAnsiTheme="majorEastAsia" w:eastAsiaTheme="majorEastAsia"/>
          <w:szCs w:val="21"/>
        </w:rPr>
        <w:t>中标公告公布以后无异常的情况下,采购代理机构将向中标供应商和采购人发出中标通知书。</w:t>
      </w:r>
      <w:bookmarkEnd w:id="74"/>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.2</w:t>
      </w:r>
      <w:r>
        <w:rPr>
          <w:rFonts w:hint="eastAsia" w:asciiTheme="majorEastAsia" w:hAnsiTheme="majorEastAsia" w:eastAsiaTheme="majorEastAsia"/>
          <w:szCs w:val="21"/>
        </w:rPr>
        <w:t>中标通知书是合同的重要组成部分。</w:t>
      </w:r>
    </w:p>
    <w:p>
      <w:pPr>
        <w:spacing w:line="360" w:lineRule="auto"/>
        <w:ind w:firstLine="411" w:firstLineChars="196"/>
        <w:rPr>
          <w:rFonts w:asciiTheme="majorEastAsia" w:hAnsiTheme="majorEastAsia" w:eastAsiaTheme="majorEastAsia"/>
          <w:szCs w:val="21"/>
        </w:rPr>
      </w:pPr>
      <w:bookmarkStart w:id="75" w:name="_Hlk71407340"/>
      <w:r>
        <w:rPr>
          <w:rFonts w:hint="eastAsia" w:asciiTheme="majorEastAsia" w:hAnsiTheme="majorEastAsia" w:eastAsiaTheme="majorEastAsia"/>
          <w:szCs w:val="21"/>
        </w:rPr>
        <w:t>41.3因质疑投诉或其它原因导致项目结果变更或采购终止的，采购代理机构有权吊销中标通知书。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41.4中标服务费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中标人须在中标公告公示期结束后，向采购代理机构缴纳中标服务费。中标服务费收费标准根据《深圳市财政委员会关于规范深圳市社会采购代理机构的管理有关事项的补充通知（深财购[2018]27号）》文件相关规定，按照差额定率累进法计算。具体收费标准详见下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027"/>
        <w:gridCol w:w="215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2802" w:type="dxa"/>
          </w:tcPr>
          <w:p>
            <w:pPr>
              <w:spacing w:line="360" w:lineRule="auto"/>
              <w:ind w:firstLine="1724" w:firstLineChars="821"/>
              <w:rPr>
                <w:rFonts w:asciiTheme="majorEastAsia" w:hAnsiTheme="majorEastAsia" w:eastAsiaTheme="majorEastAsia"/>
                <w:b/>
                <w:szCs w:val="21"/>
              </w:rPr>
            </w:pPr>
            <w:r>
              <w:rPr>
                <w:rFonts w:asciiTheme="majorEastAsia" w:hAnsiTheme="majorEastAsia" w:eastAsiaTheme="majorEastAsia"/>
                <w:szCs w:val="21"/>
              </w:rPr>
              <w:pict>
                <v:line id="直接连接符 7" o:spid="_x0000_s2052" o:spt="20" style="position:absolute;left:0pt;flip:x y;margin-left:-20.25pt;margin-top:19.25pt;height:43.15pt;width:136.5pt;z-index:251661312;mso-width-relative:page;mso-height-relative:page;" coordsize="21600,21600" o:allowincell="f" o:gfxdata="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YwcuNUAAAAKAQAADwAAAAAAAAABACAAAAAiAAAAZHJzL2Rv&#10;d25yZXYueG1sUEsBAhQAFAAAAAgAh07iQFENzJcEAgAA/wMAAA4AAAAAAAAAAQAgAAAAJAEAAGRy&#10;cy9lMm9Eb2MueG1sUEsFBgAAAAAGAAYAWQEAAJoFAAAAAA==&#10;">
                  <v:path arrowok="t"/>
                  <v:fill focussize="0,0"/>
                  <v:stroke/>
                  <v:imagedata o:title=""/>
                  <o:lock v:ext="edit"/>
                </v:line>
              </w:pict>
            </w:r>
            <w:r>
              <w:rPr>
                <w:rFonts w:asciiTheme="majorEastAsia" w:hAnsiTheme="majorEastAsia" w:eastAsiaTheme="majorEastAsia"/>
                <w:szCs w:val="21"/>
              </w:rPr>
              <w:pict>
                <v:line id="_x0000_s2051" o:spid="_x0000_s2051" o:spt="20" style="position:absolute;left:0pt;flip:x y;margin-left:12.15pt;margin-top:-0.5pt;height:62.9pt;width:104.1pt;z-index:251660288;mso-width-relative:page;mso-height-relative:page;" coordsize="21600,21600" o:allowincell="f" o:gfxdata="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kyIVLUAAAACQEAAA8AAAAAAAAAAQAgAAAAIgAAAGRycy9kb3ducmV2&#10;LnhtbFBLAQIUABQAAAAIAIdO4kD45f1GAAIAAP8DAAAOAAAAAAAAAAEAIAAAACMBAABkcnMvZTJv&#10;RG9jLnhtbFBLBQYAAAAABgAGAFkBAACVBQAAAAA=&#10;">
                  <v:path arrowok="t"/>
                  <v:fill focussize="0,0"/>
                  <v:stroke/>
                  <v:imagedata o:title=""/>
                  <o:lock v:ext="edit"/>
                </v:line>
              </w:pict>
            </w:r>
            <w:r>
              <w:rPr>
                <w:rFonts w:asciiTheme="majorEastAsia" w:hAnsiTheme="majorEastAsia" w:eastAsiaTheme="majorEastAsia"/>
                <w:szCs w:val="21"/>
              </w:rPr>
              <w:pict>
                <v:line id="直接连接符 5" o:spid="_x0000_s2050" o:spt="20" style="position:absolute;left:0pt;margin-left:-9pt;margin-top:-0.5pt;height:0pt;width:0.05pt;z-index:251662336;mso-width-relative:page;mso-height-relative:page;"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R037V&#10;AAAACQEAAA8AAAAAAAAAAQAgAAAAIgAAAGRycy9kb3ducmV2LnhtbFBLAQIUABQAAAAIAIdO4kAt&#10;tA/p6gEAAOADAAAOAAAAAAAAAAEAIAAAACQBAABkcnMvZTJvRG9jLnhtbFBLBQYAAAAABgAGAFkB&#10;AACABQAAAAA=&#10;">
                  <v:path arrowok="t"/>
                  <v:fill focussize="0,0"/>
                  <v:stroke/>
                  <v:imagedata o:title=""/>
                  <o:lock v:ext="edit"/>
                </v:line>
              </w:pict>
            </w:r>
            <w:r>
              <w:rPr>
                <w:rFonts w:hint="eastAsia" w:asciiTheme="majorEastAsia" w:hAnsiTheme="majorEastAsia" w:eastAsiaTheme="majorEastAsia"/>
                <w:b/>
                <w:szCs w:val="21"/>
              </w:rPr>
              <w:t>服务类型</w:t>
            </w:r>
          </w:p>
          <w:p>
            <w:pPr>
              <w:spacing w:line="360" w:lineRule="auto"/>
              <w:ind w:firstLine="873" w:firstLineChars="414"/>
              <w:rPr>
                <w:rFonts w:asciiTheme="majorEastAsia" w:hAnsiTheme="majorEastAsia" w:eastAsiaTheme="majorEastAsia"/>
                <w:b/>
                <w:szCs w:val="21"/>
              </w:rPr>
            </w:pPr>
            <w:r>
              <w:rPr>
                <w:rFonts w:hint="eastAsia" w:asciiTheme="majorEastAsia" w:hAnsiTheme="majorEastAsia" w:eastAsiaTheme="majorEastAsia"/>
                <w:b/>
                <w:szCs w:val="21"/>
              </w:rPr>
              <w:t>费率　　　　　</w:t>
            </w:r>
          </w:p>
          <w:p>
            <w:pPr>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中标金额（万元）</w:t>
            </w:r>
          </w:p>
        </w:tc>
        <w:tc>
          <w:tcPr>
            <w:tcW w:w="2027"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货物招标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服务招标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以下</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w:t>
            </w:r>
            <w:r>
              <w:rPr>
                <w:rFonts w:asciiTheme="majorEastAsia" w:hAnsiTheme="majorEastAsia" w:eastAsiaTheme="majorEastAsia"/>
                <w:szCs w:val="21"/>
              </w:rPr>
              <w:t>500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1.100%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0.450%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w:t>
            </w:r>
            <w:r>
              <w:rPr>
                <w:rFonts w:asciiTheme="majorEastAsia" w:hAnsiTheme="majorEastAsia" w:eastAsiaTheme="majorEastAsia"/>
                <w:szCs w:val="21"/>
              </w:rPr>
              <w:t>5</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w:t>
            </w:r>
            <w:r>
              <w:rPr>
                <w:rFonts w:asciiTheme="majorEastAsia" w:hAnsiTheme="majorEastAsia" w:eastAsiaTheme="majorEastAsia"/>
                <w:szCs w:val="21"/>
              </w:rPr>
              <w:t>1</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0.100%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0000～</w:t>
            </w:r>
            <w:r>
              <w:rPr>
                <w:rFonts w:asciiTheme="majorEastAsia" w:hAnsiTheme="majorEastAsia" w:eastAsiaTheme="majorEastAsia"/>
                <w:szCs w:val="21"/>
              </w:rPr>
              <w:t>5</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0000～</w:t>
            </w:r>
            <w:r>
              <w:rPr>
                <w:rFonts w:asciiTheme="majorEastAsia" w:hAnsiTheme="majorEastAsia" w:eastAsiaTheme="majorEastAsia"/>
                <w:szCs w:val="21"/>
              </w:rPr>
              <w:t>10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0000～</w:t>
            </w:r>
            <w:r>
              <w:rPr>
                <w:rFonts w:asciiTheme="majorEastAsia" w:hAnsiTheme="majorEastAsia" w:eastAsiaTheme="majorEastAsia"/>
                <w:szCs w:val="21"/>
              </w:rPr>
              <w:t>50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w:t>
            </w:r>
            <w:r>
              <w:rPr>
                <w:rFonts w:hint="eastAsia" w:asciiTheme="majorEastAsia" w:hAnsiTheme="majorEastAsia" w:eastAsiaTheme="majorEastAsia"/>
                <w:szCs w:val="21"/>
              </w:rPr>
              <w:t>0000～</w:t>
            </w:r>
            <w:r>
              <w:rPr>
                <w:rFonts w:asciiTheme="majorEastAsia" w:hAnsiTheme="majorEastAsia" w:eastAsiaTheme="majorEastAsia"/>
                <w:szCs w:val="21"/>
              </w:rPr>
              <w:t>100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0000以上</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0.004%</w:t>
            </w:r>
          </w:p>
        </w:tc>
      </w:tr>
    </w:tbl>
    <w:p>
      <w:pPr>
        <w:spacing w:line="360" w:lineRule="auto"/>
        <w:ind w:firstLine="411" w:firstLineChars="196"/>
        <w:rPr>
          <w:rFonts w:asciiTheme="majorEastAsia" w:hAnsiTheme="majorEastAsia" w:eastAsiaTheme="majorEastAsia"/>
          <w:szCs w:val="21"/>
        </w:rPr>
      </w:pPr>
    </w:p>
    <w:bookmarkEnd w:id="75"/>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公开招标失败的后续处理</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42．公开招标失败的处理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42.1本项目公开招标过程中若由于投标截止后实际递交</w:t>
      </w:r>
      <w:r>
        <w:rPr>
          <w:rFonts w:asciiTheme="majorEastAsia" w:hAnsiTheme="majorEastAsia" w:eastAsiaTheme="majorEastAsia"/>
          <w:szCs w:val="21"/>
        </w:rPr>
        <w:t>投标</w:t>
      </w:r>
      <w:r>
        <w:rPr>
          <w:rFonts w:hint="eastAsia" w:asciiTheme="majorEastAsia" w:hAnsiTheme="majorEastAsia" w:eastAsiaTheme="majorEastAsia"/>
          <w:szCs w:val="21"/>
        </w:rPr>
        <w:t>文件的供应商数量不足、经评审委员会评审对招标文件作实质响应的供应商不足等原因造成公开招标失败，可由</w:t>
      </w:r>
      <w:r>
        <w:rPr>
          <w:rFonts w:hint="eastAsia" w:cs="宋体" w:asciiTheme="majorEastAsia" w:hAnsiTheme="majorEastAsia" w:eastAsiaTheme="majorEastAsia"/>
          <w:szCs w:val="21"/>
        </w:rPr>
        <w:t>采购代理机构</w:t>
      </w:r>
      <w:r>
        <w:rPr>
          <w:rFonts w:hint="eastAsia" w:asciiTheme="majorEastAsia" w:hAnsiTheme="majorEastAsia" w:eastAsiaTheme="majorEastAsia"/>
          <w:szCs w:val="21"/>
        </w:rPr>
        <w:t>重新组织采购。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42.2对公开招标失败的项目，评审委员会在出具该项目招标失败结论的同时，可以提出重新采购组织形式的建议，以及进一步完善招标文件的资格、技术、商务要求的修改建议。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42.3重新组织采购有以下两种组织形式：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（1）由采购代理机构重新组织公开招标；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（2）根据实际情况需要向同级财政部门提出非公开招标方式申请的，经同级财政部门批准，公开招标失败采购项目可转为竞争性谈判或单一来源谈判方式采购。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42.4公开招标失败的采购项目重新组织公开招标，由采购代理机构重新按公开招标流程组织采购活动。</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42.5公开招标失败的采购项目经同级财政部门批准转为竞争性谈判或单一来源谈判方式采购的，按规定要求组织政府采购工作。</w:t>
      </w:r>
    </w:p>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bookmarkStart w:id="76" w:name="_Hlk72439043"/>
      <w:r>
        <w:rPr>
          <w:rFonts w:hint="eastAsia" w:asciiTheme="majorEastAsia" w:hAnsiTheme="majorEastAsia" w:eastAsiaTheme="majorEastAsia"/>
          <w:sz w:val="28"/>
          <w:szCs w:val="28"/>
        </w:rPr>
        <w:t>合同的授予与备案</w:t>
      </w:r>
      <w:bookmarkEnd w:id="76"/>
    </w:p>
    <w:p>
      <w:pPr>
        <w:spacing w:line="360" w:lineRule="auto"/>
        <w:rPr>
          <w:rFonts w:asciiTheme="majorEastAsia" w:hAnsiTheme="majorEastAsia" w:eastAsiaTheme="majorEastAsia"/>
          <w:b/>
          <w:bCs/>
          <w:szCs w:val="21"/>
        </w:rPr>
      </w:pPr>
      <w:bookmarkStart w:id="77" w:name="_Toc73517679"/>
      <w:bookmarkStart w:id="78" w:name="_Toc73521674"/>
      <w:bookmarkStart w:id="79" w:name="_Toc73521586"/>
      <w:bookmarkStart w:id="80" w:name="_Toc100052408"/>
      <w:bookmarkStart w:id="81" w:name="_Toc73518157"/>
      <w:bookmarkStart w:id="82" w:name="_Hlk72439088"/>
      <w:r>
        <w:rPr>
          <w:rFonts w:hint="eastAsia" w:asciiTheme="majorEastAsia" w:hAnsiTheme="majorEastAsia" w:eastAsiaTheme="majorEastAsia"/>
          <w:b/>
          <w:bCs/>
          <w:szCs w:val="21"/>
        </w:rPr>
        <w:t>43．合同授予标准</w:t>
      </w:r>
      <w:bookmarkEnd w:id="77"/>
      <w:bookmarkEnd w:id="78"/>
      <w:bookmarkEnd w:id="79"/>
      <w:bookmarkEnd w:id="80"/>
      <w:bookmarkEnd w:id="81"/>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本项目的合同将授予经本招标文件规定评审确定的中标供应商。</w:t>
      </w:r>
    </w:p>
    <w:p>
      <w:pPr>
        <w:spacing w:line="360" w:lineRule="auto"/>
        <w:rPr>
          <w:rFonts w:asciiTheme="majorEastAsia" w:hAnsiTheme="majorEastAsia" w:eastAsiaTheme="majorEastAsia"/>
          <w:b/>
          <w:bCs/>
          <w:szCs w:val="21"/>
        </w:rPr>
      </w:pPr>
      <w:bookmarkStart w:id="83" w:name="_Toc100052409"/>
      <w:bookmarkStart w:id="84" w:name="_Toc73517680"/>
      <w:bookmarkStart w:id="85" w:name="_Toc73521675"/>
      <w:bookmarkStart w:id="86" w:name="_Toc73521587"/>
      <w:bookmarkStart w:id="87" w:name="_Toc73518158"/>
      <w:r>
        <w:rPr>
          <w:rFonts w:hint="eastAsia" w:asciiTheme="majorEastAsia" w:hAnsiTheme="majorEastAsia" w:eastAsiaTheme="majorEastAsia"/>
          <w:b/>
          <w:bCs/>
          <w:szCs w:val="21"/>
        </w:rPr>
        <w:t>44．</w:t>
      </w:r>
      <w:bookmarkEnd w:id="83"/>
      <w:bookmarkEnd w:id="84"/>
      <w:bookmarkEnd w:id="85"/>
      <w:bookmarkEnd w:id="86"/>
      <w:bookmarkEnd w:id="87"/>
      <w:r>
        <w:rPr>
          <w:rFonts w:hint="eastAsia" w:asciiTheme="majorEastAsia" w:hAnsiTheme="majorEastAsia" w:eastAsiaTheme="majorEastAsia"/>
          <w:b/>
          <w:bCs/>
          <w:szCs w:val="21"/>
        </w:rPr>
        <w:t>接受和拒绝任何或所有投标的权力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采购代理机构和采购人保留在投标之前任何时候接受或拒绝任何投标或所有投标，以及宣布招标无效的权力，对受影响的投标人不承担任何责任，也无义务向受影响的投标人解释采取这一行动的理由。</w:t>
      </w:r>
    </w:p>
    <w:p>
      <w:pPr>
        <w:spacing w:line="360" w:lineRule="auto"/>
        <w:rPr>
          <w:rFonts w:asciiTheme="majorEastAsia" w:hAnsiTheme="majorEastAsia" w:eastAsiaTheme="majorEastAsia"/>
          <w:b/>
          <w:bCs/>
          <w:szCs w:val="21"/>
        </w:rPr>
      </w:pPr>
      <w:bookmarkStart w:id="88" w:name="_Toc73521677"/>
      <w:bookmarkStart w:id="89" w:name="_Toc100052410"/>
      <w:bookmarkStart w:id="90" w:name="_Toc73518160"/>
      <w:bookmarkStart w:id="91" w:name="_Toc73521589"/>
      <w:bookmarkStart w:id="92" w:name="_Toc73517682"/>
      <w:r>
        <w:rPr>
          <w:rFonts w:hint="eastAsia" w:asciiTheme="majorEastAsia" w:hAnsiTheme="majorEastAsia" w:eastAsiaTheme="majorEastAsia"/>
          <w:b/>
          <w:bCs/>
          <w:szCs w:val="21"/>
        </w:rPr>
        <w:t>45．合同的签订</w:t>
      </w:r>
      <w:bookmarkEnd w:id="88"/>
      <w:bookmarkEnd w:id="89"/>
      <w:bookmarkEnd w:id="90"/>
      <w:bookmarkEnd w:id="91"/>
      <w:bookmarkEnd w:id="92"/>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45.1中标人将于中标通知书发出之日起十个工作日内，按照采购文件（招标文件和投标文件等）内容与采购人签订政府采购合同；合同的实质性内容应当符合招标文件的规定；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45.2中标人如不按本通用条款第45</w:t>
      </w:r>
      <w:r>
        <w:rPr>
          <w:rFonts w:asciiTheme="majorEastAsia" w:hAnsiTheme="majorEastAsia" w:eastAsiaTheme="majorEastAsia"/>
          <w:szCs w:val="21"/>
        </w:rPr>
        <w:t>.1</w:t>
      </w:r>
      <w:r>
        <w:rPr>
          <w:rFonts w:hint="eastAsia" w:asciiTheme="majorEastAsia" w:hAnsiTheme="majorEastAsia" w:eastAsiaTheme="majorEastAsia"/>
          <w:szCs w:val="21"/>
        </w:rPr>
        <w:t>款的规定与采购人签订合同，</w:t>
      </w:r>
      <w:r>
        <w:rPr>
          <w:rFonts w:cs="宋体" w:asciiTheme="majorEastAsia" w:hAnsiTheme="majorEastAsia" w:eastAsiaTheme="majorEastAsia"/>
          <w:szCs w:val="21"/>
        </w:rPr>
        <w:t>情节严重的，由</w:t>
      </w:r>
      <w:r>
        <w:rPr>
          <w:rFonts w:hint="eastAsia" w:cs="宋体" w:asciiTheme="majorEastAsia" w:hAnsiTheme="majorEastAsia" w:eastAsiaTheme="majorEastAsia"/>
          <w:szCs w:val="21"/>
        </w:rPr>
        <w:t>同级财政</w:t>
      </w:r>
      <w:r>
        <w:rPr>
          <w:rFonts w:cs="宋体" w:asciiTheme="majorEastAsia" w:hAnsiTheme="majorEastAsia" w:eastAsiaTheme="majorEastAsia"/>
          <w:szCs w:val="21"/>
        </w:rPr>
        <w:t>部门记入供应商诚信档案，予以通报</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45.3中标人应当按照合同约定履行义务，完成中标项目，不得将中标项目转让（转包）给他人。</w:t>
      </w:r>
    </w:p>
    <w:p>
      <w:pPr>
        <w:spacing w:line="360" w:lineRule="auto"/>
        <w:rPr>
          <w:rFonts w:asciiTheme="majorEastAsia" w:hAnsiTheme="majorEastAsia" w:eastAsiaTheme="majorEastAsia"/>
          <w:b/>
          <w:bCs/>
          <w:szCs w:val="21"/>
        </w:rPr>
      </w:pPr>
      <w:bookmarkStart w:id="93" w:name="_Toc100052411"/>
      <w:bookmarkStart w:id="94" w:name="_Toc73518161"/>
      <w:bookmarkStart w:id="95" w:name="_Toc73517683"/>
      <w:bookmarkStart w:id="96" w:name="_Toc73521590"/>
      <w:bookmarkStart w:id="97" w:name="_Toc73521678"/>
      <w:r>
        <w:rPr>
          <w:rFonts w:hint="eastAsia" w:asciiTheme="majorEastAsia" w:hAnsiTheme="majorEastAsia" w:eastAsiaTheme="majorEastAsia"/>
          <w:b/>
          <w:bCs/>
          <w:szCs w:val="21"/>
        </w:rPr>
        <w:t>46．履约担保</w:t>
      </w:r>
      <w:bookmarkEnd w:id="93"/>
      <w:bookmarkEnd w:id="94"/>
      <w:bookmarkEnd w:id="95"/>
      <w:bookmarkEnd w:id="96"/>
      <w:bookmarkEnd w:id="97"/>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46.1在签订项目合同的同时，中标人应按“对通用条款的补充内容”中规定的金额向采购人提交履约担保；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46.2，允许供应商自主选择以支票、汇票、本票、保函等非现金方式提交履约担保；</w:t>
      </w:r>
      <w:r>
        <w:rPr>
          <w:rFonts w:asciiTheme="majorEastAsia" w:hAnsiTheme="majorEastAsia" w:eastAsiaTheme="majorEastAsia"/>
          <w:szCs w:val="21"/>
        </w:rPr>
        <w:t>中标</w:t>
      </w:r>
      <w:r>
        <w:rPr>
          <w:rFonts w:hint="eastAsia" w:asciiTheme="majorEastAsia" w:hAnsiTheme="majorEastAsia" w:eastAsiaTheme="majorEastAsia"/>
          <w:szCs w:val="21"/>
        </w:rPr>
        <w:t>人</w:t>
      </w:r>
      <w:r>
        <w:rPr>
          <w:rFonts w:asciiTheme="majorEastAsia" w:hAnsiTheme="majorEastAsia" w:eastAsiaTheme="majorEastAsia"/>
          <w:szCs w:val="21"/>
        </w:rPr>
        <w:t>提交履约</w:t>
      </w:r>
      <w:r>
        <w:rPr>
          <w:rFonts w:hint="eastAsia" w:asciiTheme="majorEastAsia" w:hAnsiTheme="majorEastAsia" w:eastAsiaTheme="majorEastAsia"/>
          <w:szCs w:val="21"/>
        </w:rPr>
        <w:t>担保不是</w:t>
      </w:r>
      <w:r>
        <w:rPr>
          <w:rFonts w:asciiTheme="majorEastAsia" w:hAnsiTheme="majorEastAsia" w:eastAsiaTheme="majorEastAsia"/>
          <w:szCs w:val="21"/>
        </w:rPr>
        <w:t>合同签订的</w:t>
      </w:r>
      <w:r>
        <w:rPr>
          <w:rFonts w:hint="eastAsia" w:asciiTheme="majorEastAsia" w:hAnsiTheme="majorEastAsia" w:eastAsiaTheme="majorEastAsia"/>
          <w:szCs w:val="21"/>
        </w:rPr>
        <w:t>前提</w:t>
      </w:r>
      <w:r>
        <w:rPr>
          <w:rFonts w:asciiTheme="majorEastAsia" w:hAnsiTheme="majorEastAsia" w:eastAsiaTheme="majorEastAsia"/>
          <w:szCs w:val="21"/>
        </w:rPr>
        <w:t>条件，不要求中标</w:t>
      </w:r>
      <w:r>
        <w:rPr>
          <w:rFonts w:hint="eastAsia" w:asciiTheme="majorEastAsia" w:hAnsiTheme="majorEastAsia" w:eastAsiaTheme="majorEastAsia"/>
          <w:szCs w:val="21"/>
        </w:rPr>
        <w:t>人</w:t>
      </w:r>
      <w:r>
        <w:rPr>
          <w:rFonts w:asciiTheme="majorEastAsia" w:hAnsiTheme="majorEastAsia" w:eastAsiaTheme="majorEastAsia"/>
          <w:szCs w:val="21"/>
        </w:rPr>
        <w:t>提供除法律、法规明确规定外的其他担保</w:t>
      </w:r>
      <w:r>
        <w:rPr>
          <w:rFonts w:hint="eastAsia" w:asciiTheme="majorEastAsia" w:hAnsiTheme="majorEastAsia" w:eastAsiaTheme="majorEastAsia"/>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47. 合同备案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采购人与中标人应于合同签订之日起十日内，由采购人或委托中标人将采购合同副本抄送合同备案工作实施机构备案。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48. 合同变更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合同变更事宜按《深圳市财政局 深圳市政府采购中心关于进一步加强市本级政府采购合同备案管理工作的通知》（深财购〔2019〕43号）相关规定执行。</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49. 项目验收</w:t>
      </w:r>
    </w:p>
    <w:p>
      <w:pPr>
        <w:spacing w:line="360" w:lineRule="auto"/>
        <w:ind w:right="176" w:firstLine="420"/>
        <w:rPr>
          <w:rFonts w:asciiTheme="majorEastAsia" w:hAnsiTheme="majorEastAsia" w:eastAsiaTheme="majorEastAsia"/>
          <w:szCs w:val="21"/>
        </w:rPr>
      </w:pPr>
      <w:r>
        <w:rPr>
          <w:rFonts w:hint="eastAsia" w:asciiTheme="majorEastAsia" w:hAnsiTheme="majorEastAsia" w:eastAsiaTheme="majorEastAsia"/>
          <w:szCs w:val="21"/>
        </w:rPr>
        <w:t>49.1采购人应当按照招标文件和合同规定的标准和方法，及时组织验收。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50. 宣传</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凡与政府采购活动有关的宣传或广告，若当中提及政府采购，</w:t>
      </w:r>
      <w:r>
        <w:rPr>
          <w:rFonts w:asciiTheme="majorEastAsia" w:hAnsiTheme="majorEastAsia" w:eastAsiaTheme="majorEastAsia"/>
          <w:szCs w:val="21"/>
        </w:rPr>
        <w:t>必须事先将具体对外宣传方案报</w:t>
      </w:r>
      <w:r>
        <w:rPr>
          <w:rFonts w:hint="eastAsia" w:asciiTheme="majorEastAsia" w:hAnsiTheme="majorEastAsia" w:eastAsiaTheme="majorEastAsia"/>
          <w:szCs w:val="21"/>
        </w:rPr>
        <w:t>同级财政部门</w:t>
      </w:r>
      <w:r>
        <w:rPr>
          <w:rFonts w:asciiTheme="majorEastAsia" w:hAnsiTheme="majorEastAsia" w:eastAsiaTheme="majorEastAsia"/>
          <w:szCs w:val="21"/>
        </w:rPr>
        <w:t>和</w:t>
      </w:r>
      <w:r>
        <w:rPr>
          <w:rFonts w:hint="eastAsia" w:asciiTheme="majorEastAsia" w:hAnsiTheme="majorEastAsia" w:eastAsiaTheme="majorEastAsia"/>
          <w:szCs w:val="21"/>
        </w:rPr>
        <w:t>采购代理机构</w:t>
      </w:r>
      <w:r>
        <w:rPr>
          <w:rFonts w:asciiTheme="majorEastAsia" w:hAnsiTheme="majorEastAsia" w:eastAsiaTheme="majorEastAsia"/>
          <w:szCs w:val="21"/>
        </w:rPr>
        <w:t>，并征得其同意。对外市场宣传包括但不限于以下形式：</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a.名片、宣传册、广告标语等；</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b.案例介绍、推广等；</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c.工作</w:t>
      </w:r>
      <w:r>
        <w:rPr>
          <w:rFonts w:asciiTheme="majorEastAsia" w:hAnsiTheme="majorEastAsia" w:eastAsiaTheme="majorEastAsia"/>
          <w:szCs w:val="21"/>
        </w:rPr>
        <w:t>人员向其他消费群体宣传。</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51. 供应商违法责任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1.1</w:t>
      </w:r>
      <w:r>
        <w:rPr>
          <w:rFonts w:hint="eastAsia" w:asciiTheme="majorEastAsia" w:hAnsiTheme="majorEastAsia" w:eastAsiaTheme="major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（1）在采购活动中应当回避而未回避的；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（2）未按本条例规定签订、履行采购合同，造成严重后果的；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（3）隐瞒真实情况，提供虚假资料的；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（4）以非法手段排斥其他供应商参与竞争的；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（5）与其他采购参加人串通投标的；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（6）恶意投诉的；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（7）向采购项目相关人行贿或者提供其他不当利益的；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（8）阻碍、抗拒主管部门监督检查的；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（9）其他违反本条例规定的行为。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 xml:space="preserve">1.2 </w:t>
      </w:r>
      <w:r>
        <w:rPr>
          <w:rFonts w:hint="eastAsia" w:asciiTheme="majorEastAsia" w:hAnsiTheme="majorEastAsia" w:eastAsiaTheme="majorEastAsia"/>
          <w:szCs w:val="21"/>
        </w:rPr>
        <w:t>根据《深圳市财政局关于明确政府采购保证金管理工作的通知》（深财购[2019]42号）的要求，供应商在政府采购活动中出现《深圳经济特区政府采购条例实施细则》第八十四条所列情形的，</w:t>
      </w:r>
      <w:bookmarkStart w:id="98" w:name="_Hlk72440769"/>
      <w:r>
        <w:rPr>
          <w:rFonts w:hint="eastAsia" w:asciiTheme="majorEastAsia" w:hAnsiTheme="majorEastAsia" w:eastAsiaTheme="majorEastAsia"/>
          <w:szCs w:val="21"/>
        </w:rPr>
        <w:t>采购人或采购代理机构</w:t>
      </w:r>
      <w:bookmarkEnd w:id="98"/>
      <w:r>
        <w:rPr>
          <w:rFonts w:hint="eastAsia" w:asciiTheme="majorEastAsia" w:hAnsiTheme="majorEastAsia" w:eastAsiaTheme="majorEastAsia"/>
          <w:szCs w:val="21"/>
        </w:rPr>
        <w:t>可将有关情况报同级财政部门，由财政部门根据实际情况记入供应商诚信档案，予以通报：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）投标截止后，撤销投标的；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）中标后无正当理由未在规定期限内签订合同的；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3</w:t>
      </w:r>
      <w:r>
        <w:rPr>
          <w:rFonts w:asciiTheme="majorEastAsia" w:hAnsiTheme="majorEastAsia" w:eastAsiaTheme="majorEastAsia"/>
          <w:szCs w:val="21"/>
        </w:rPr>
        <w:t>）将中标项目转让给他人、或者在投标文件中未说明且未经采购人、采购招标机构同意，将中标项目分包给他人的；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4</w:t>
      </w:r>
      <w:r>
        <w:rPr>
          <w:rFonts w:asciiTheme="majorEastAsia" w:hAnsiTheme="majorEastAsia" w:eastAsiaTheme="majorEastAsia"/>
          <w:szCs w:val="21"/>
        </w:rPr>
        <w:t>）拒绝履行合同义务的</w:t>
      </w:r>
      <w:r>
        <w:rPr>
          <w:rFonts w:hint="eastAsia" w:asciiTheme="majorEastAsia" w:hAnsiTheme="majorEastAsia" w:eastAsiaTheme="majorEastAsia"/>
          <w:szCs w:val="21"/>
        </w:rPr>
        <w:t>。</w:t>
      </w:r>
    </w:p>
    <w:bookmarkEnd w:id="82"/>
    <w:p>
      <w:pPr>
        <w:pStyle w:val="5"/>
        <w:widowControl/>
        <w:numPr>
          <w:ilvl w:val="0"/>
          <w:numId w:val="8"/>
        </w:numPr>
        <w:spacing w:beforeLines="5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质疑处理</w:t>
      </w:r>
    </w:p>
    <w:p>
      <w:pPr>
        <w:spacing w:line="360" w:lineRule="auto"/>
        <w:rPr>
          <w:rFonts w:asciiTheme="majorEastAsia" w:hAnsiTheme="majorEastAsia" w:eastAsiaTheme="majorEastAsia"/>
          <w:b/>
          <w:bCs/>
          <w:szCs w:val="21"/>
        </w:rPr>
      </w:pPr>
      <w:bookmarkStart w:id="99" w:name="_Hlk72439706"/>
      <w:r>
        <w:rPr>
          <w:rFonts w:hint="eastAsia" w:asciiTheme="majorEastAsia" w:hAnsiTheme="majorEastAsia" w:eastAsiaTheme="majorEastAsia"/>
          <w:b/>
          <w:bCs/>
          <w:szCs w:val="21"/>
        </w:rPr>
        <w:t>52.质疑提出与答复</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52.3质疑条件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52.3.1提出质疑的供应商应当是参与所质疑项目采购活动的供应商；</w:t>
      </w:r>
      <w:bookmarkStart w:id="100" w:name="_Hlk75374941"/>
      <w:r>
        <w:rPr>
          <w:rFonts w:hint="eastAsia" w:asciiTheme="majorEastAsia" w:hAnsiTheme="majorEastAsia" w:eastAsiaTheme="majorEastAsia"/>
          <w:szCs w:val="21"/>
        </w:rPr>
        <w:t>以联合体形式参与的，质疑应当由组成联合体的所有成员共同提出</w:t>
      </w:r>
      <w:bookmarkEnd w:id="100"/>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52.3.3应提交书面质疑函，质疑函应当包括以下内容：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52.5提交方式</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2.5.1</w:t>
      </w:r>
      <w:r>
        <w:rPr>
          <w:rFonts w:hint="eastAsia" w:asciiTheme="majorEastAsia" w:hAnsiTheme="majorEastAsia" w:eastAsiaTheme="majorEastAsia"/>
          <w:szCs w:val="21"/>
        </w:rPr>
        <w:t>供应商登录“深圳政府采购智慧平台用户网上办事子系统（http://zfcg.szggzy.com/TPBidder/memberLogin）”，在“【我的项目】→【项目流程】→【质疑】”中提出质疑。</w:t>
      </w:r>
    </w:p>
    <w:p>
      <w:pPr>
        <w:spacing w:line="360" w:lineRule="auto"/>
        <w:ind w:firstLine="420" w:firstLineChars="200"/>
        <w:rPr>
          <w:rFonts w:asciiTheme="majorEastAsia" w:hAnsiTheme="majorEastAsia" w:eastAsiaTheme="majorEastAsia"/>
          <w:b/>
          <w:bCs/>
          <w:szCs w:val="21"/>
        </w:rPr>
      </w:pPr>
      <w:r>
        <w:rPr>
          <w:rFonts w:hint="eastAsia" w:asciiTheme="majorEastAsia" w:hAnsiTheme="majorEastAsia" w:eastAsiaTheme="majorEastAsia"/>
          <w:szCs w:val="21"/>
        </w:rPr>
        <w:t>5</w:t>
      </w:r>
      <w:r>
        <w:rPr>
          <w:rFonts w:asciiTheme="majorEastAsia" w:hAnsiTheme="majorEastAsia" w:eastAsiaTheme="majorEastAsia"/>
          <w:szCs w:val="21"/>
        </w:rPr>
        <w:t>2.5.2</w:t>
      </w:r>
      <w:r>
        <w:rPr>
          <w:rFonts w:hint="eastAsia" w:asciiTheme="majorEastAsia" w:hAnsiTheme="majorEastAsia" w:eastAsiaTheme="majorEastAsia"/>
          <w:szCs w:val="21"/>
        </w:rPr>
        <w:t>同时，请质疑供应商根据深圳政府采购智慧平台（http://zfcg.szggzy.com/）所发布的质疑指引、质疑函模板填写质疑函并提交质疑材料。</w:t>
      </w:r>
      <w:r>
        <w:rPr>
          <w:rFonts w:hint="eastAsia" w:asciiTheme="majorEastAsia" w:hAnsiTheme="majorEastAsia" w:eastAsiaTheme="majorEastAsia"/>
          <w:bCs/>
          <w:szCs w:val="21"/>
        </w:rPr>
        <w:t>地址：深圳市中正招标有限公司（深圳市福田区民田路171号新华保险大厦903），质疑咨询电话：0755-83026699。</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52.6收文办理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52.6.1供应商提交的质疑符合受理条件的，采购代理机构自收到质疑材料之日起即为受理，应当向供应商出具质疑函收文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99"/>
    </w:p>
    <w:sectPr>
      <w:footerReference r:id="rId5" w:type="default"/>
      <w:footerReference r:id="rId6" w:type="even"/>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7"/>
      <w:framePr w:wrap="around" w:vAnchor="text" w:hAnchor="margin" w:xAlign="center" w:y="1"/>
      <w:rPr>
        <w:rStyle w:val="46"/>
      </w:rPr>
    </w:pPr>
    <w:r>
      <w:fldChar w:fldCharType="begin"/>
    </w:r>
    <w:r>
      <w:rPr>
        <w:rStyle w:val="46"/>
      </w:rPr>
      <w:instrText xml:space="preserve">PAGE  </w:instrText>
    </w:r>
    <w:r>
      <w:fldChar w:fldCharType="separate"/>
    </w:r>
    <w:r>
      <w:rPr>
        <w:rStyle w:val="46"/>
      </w:rPr>
      <w:t>9</w:t>
    </w:r>
    <w:r>
      <w:fldChar w:fldCharType="end"/>
    </w:r>
  </w:p>
  <w:p>
    <w:pPr>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7"/>
      <w:framePr w:wrap="around" w:vAnchor="text" w:hAnchor="margin" w:xAlign="center" w:y="1"/>
      <w:rPr>
        <w:rStyle w:val="46"/>
      </w:rPr>
    </w:pPr>
    <w:r>
      <w:fldChar w:fldCharType="begin"/>
    </w:r>
    <w:r>
      <w:rPr>
        <w:rStyle w:val="46"/>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t xml:space="preserve">- </w:t>
    </w:r>
    <w:r>
      <w:fldChar w:fldCharType="begin"/>
    </w:r>
    <w:r>
      <w:instrText xml:space="preserve"> PAGE </w:instrText>
    </w:r>
    <w:r>
      <w:fldChar w:fldCharType="separate"/>
    </w:r>
    <w:r>
      <w:t>38</w:t>
    </w:r>
    <w:r>
      <w:fldChar w:fldCharType="end"/>
    </w:r>
    <w:r>
      <w:t xml:space="preserve"> -</w:t>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2">
    <w:nsid w:val="00000003"/>
    <w:multiLevelType w:val="multilevel"/>
    <w:tmpl w:val="0000000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2503483"/>
    <w:multiLevelType w:val="multilevel"/>
    <w:tmpl w:val="12503483"/>
    <w:lvl w:ilvl="0" w:tentative="0">
      <w:start w:val="1"/>
      <w:numFmt w:val="bullet"/>
      <w:pStyle w:val="113"/>
      <w:lvlText w:val=""/>
      <w:lvlJc w:val="left"/>
      <w:pPr>
        <w:tabs>
          <w:tab w:val="left" w:pos="420"/>
        </w:tabs>
        <w:ind w:left="420" w:hanging="420"/>
      </w:pPr>
      <w:rPr>
        <w:rFonts w:hint="default" w:ascii="Wingdings" w:hAnsi="Wingdings"/>
      </w:rPr>
    </w:lvl>
    <w:lvl w:ilvl="1" w:tentative="0">
      <w:start w:val="1"/>
      <w:numFmt w:val="bullet"/>
      <w:pStyle w:val="112"/>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60D20D0"/>
    <w:multiLevelType w:val="multilevel"/>
    <w:tmpl w:val="160D20D0"/>
    <w:lvl w:ilvl="0" w:tentative="0">
      <w:start w:val="1"/>
      <w:numFmt w:val="bullet"/>
      <w:pStyle w:val="81"/>
      <w:lvlText w:val=""/>
      <w:lvlJc w:val="left"/>
      <w:pPr>
        <w:tabs>
          <w:tab w:val="left" w:pos="840"/>
        </w:tabs>
        <w:ind w:left="840" w:hanging="420"/>
      </w:pPr>
      <w:rPr>
        <w:rFonts w:hint="default" w:ascii="Wingdings" w:hAnsi="Wingdings"/>
      </w:rPr>
    </w:lvl>
    <w:lvl w:ilvl="1" w:tentative="0">
      <w:start w:val="1"/>
      <w:numFmt w:val="bullet"/>
      <w:pStyle w:val="82"/>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2F395B7B"/>
    <w:multiLevelType w:val="multilevel"/>
    <w:tmpl w:val="2F395B7B"/>
    <w:lvl w:ilvl="0" w:tentative="0">
      <w:start w:val="1"/>
      <w:numFmt w:val="bullet"/>
      <w:pStyle w:val="173"/>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6">
    <w:nsid w:val="45882EC0"/>
    <w:multiLevelType w:val="multilevel"/>
    <w:tmpl w:val="45882E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AEF7716"/>
    <w:multiLevelType w:val="multilevel"/>
    <w:tmpl w:val="7AEF7716"/>
    <w:lvl w:ilvl="0" w:tentative="0">
      <w:start w:val="1"/>
      <w:numFmt w:val="chineseCountingThousand"/>
      <w:pStyle w:val="126"/>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VkZGVkYTNiOTU2NTQ1Nzc0OTI5NDMzOTUxZDg0ZWIifQ=="/>
  </w:docVars>
  <w:rsids>
    <w:rsidRoot w:val="006C5683"/>
    <w:rsid w:val="0000029D"/>
    <w:rsid w:val="00000AD9"/>
    <w:rsid w:val="00003A32"/>
    <w:rsid w:val="000043C0"/>
    <w:rsid w:val="000050CA"/>
    <w:rsid w:val="000051C6"/>
    <w:rsid w:val="00005215"/>
    <w:rsid w:val="00005A10"/>
    <w:rsid w:val="00005D3D"/>
    <w:rsid w:val="00006F7B"/>
    <w:rsid w:val="00007951"/>
    <w:rsid w:val="00010063"/>
    <w:rsid w:val="00010102"/>
    <w:rsid w:val="00011EA6"/>
    <w:rsid w:val="000123CC"/>
    <w:rsid w:val="00012B21"/>
    <w:rsid w:val="0001300F"/>
    <w:rsid w:val="0001480D"/>
    <w:rsid w:val="00014A5C"/>
    <w:rsid w:val="00015388"/>
    <w:rsid w:val="0001716B"/>
    <w:rsid w:val="00017F81"/>
    <w:rsid w:val="00020D1A"/>
    <w:rsid w:val="000211EA"/>
    <w:rsid w:val="000234B2"/>
    <w:rsid w:val="00023915"/>
    <w:rsid w:val="00023C68"/>
    <w:rsid w:val="00023FCE"/>
    <w:rsid w:val="00024FEB"/>
    <w:rsid w:val="00025AE4"/>
    <w:rsid w:val="0002650F"/>
    <w:rsid w:val="0002684B"/>
    <w:rsid w:val="00026A46"/>
    <w:rsid w:val="00027645"/>
    <w:rsid w:val="000300AE"/>
    <w:rsid w:val="000300EE"/>
    <w:rsid w:val="000302B6"/>
    <w:rsid w:val="0003106D"/>
    <w:rsid w:val="00031700"/>
    <w:rsid w:val="00031E72"/>
    <w:rsid w:val="00031F6E"/>
    <w:rsid w:val="0003277F"/>
    <w:rsid w:val="00032948"/>
    <w:rsid w:val="00032B0A"/>
    <w:rsid w:val="0003315D"/>
    <w:rsid w:val="00033DE7"/>
    <w:rsid w:val="0003414F"/>
    <w:rsid w:val="00034C97"/>
    <w:rsid w:val="0003541F"/>
    <w:rsid w:val="00036A2B"/>
    <w:rsid w:val="000379A7"/>
    <w:rsid w:val="0004099B"/>
    <w:rsid w:val="00040D3C"/>
    <w:rsid w:val="00042C84"/>
    <w:rsid w:val="00043739"/>
    <w:rsid w:val="00043A89"/>
    <w:rsid w:val="000441DB"/>
    <w:rsid w:val="00045739"/>
    <w:rsid w:val="00045D0E"/>
    <w:rsid w:val="00046D30"/>
    <w:rsid w:val="000472F6"/>
    <w:rsid w:val="000510B6"/>
    <w:rsid w:val="00051133"/>
    <w:rsid w:val="00051F3F"/>
    <w:rsid w:val="000521D8"/>
    <w:rsid w:val="00052BC1"/>
    <w:rsid w:val="00053A89"/>
    <w:rsid w:val="0005582B"/>
    <w:rsid w:val="00055F5C"/>
    <w:rsid w:val="00056247"/>
    <w:rsid w:val="00056292"/>
    <w:rsid w:val="00056C11"/>
    <w:rsid w:val="00057302"/>
    <w:rsid w:val="00057332"/>
    <w:rsid w:val="00057D00"/>
    <w:rsid w:val="0006267A"/>
    <w:rsid w:val="00062F59"/>
    <w:rsid w:val="0006335B"/>
    <w:rsid w:val="00063BF7"/>
    <w:rsid w:val="00063C25"/>
    <w:rsid w:val="00064892"/>
    <w:rsid w:val="00066026"/>
    <w:rsid w:val="0006660A"/>
    <w:rsid w:val="0006670C"/>
    <w:rsid w:val="00067960"/>
    <w:rsid w:val="0007003A"/>
    <w:rsid w:val="00070210"/>
    <w:rsid w:val="000707BF"/>
    <w:rsid w:val="00070C63"/>
    <w:rsid w:val="00071ACB"/>
    <w:rsid w:val="00072637"/>
    <w:rsid w:val="00072862"/>
    <w:rsid w:val="000734CD"/>
    <w:rsid w:val="00074403"/>
    <w:rsid w:val="00074CEC"/>
    <w:rsid w:val="000750DC"/>
    <w:rsid w:val="0007583C"/>
    <w:rsid w:val="00075B2D"/>
    <w:rsid w:val="00076057"/>
    <w:rsid w:val="00076F36"/>
    <w:rsid w:val="000770EC"/>
    <w:rsid w:val="00081292"/>
    <w:rsid w:val="00082667"/>
    <w:rsid w:val="00082907"/>
    <w:rsid w:val="00082AD2"/>
    <w:rsid w:val="00083DC6"/>
    <w:rsid w:val="00084857"/>
    <w:rsid w:val="00084E41"/>
    <w:rsid w:val="000850AF"/>
    <w:rsid w:val="000852EB"/>
    <w:rsid w:val="000869D8"/>
    <w:rsid w:val="00086CA6"/>
    <w:rsid w:val="00090213"/>
    <w:rsid w:val="00091200"/>
    <w:rsid w:val="0009198C"/>
    <w:rsid w:val="00091D63"/>
    <w:rsid w:val="00092FC7"/>
    <w:rsid w:val="00093133"/>
    <w:rsid w:val="0009395E"/>
    <w:rsid w:val="000954D5"/>
    <w:rsid w:val="00095723"/>
    <w:rsid w:val="0009618D"/>
    <w:rsid w:val="0009709B"/>
    <w:rsid w:val="000975E3"/>
    <w:rsid w:val="000A00E8"/>
    <w:rsid w:val="000A0CEE"/>
    <w:rsid w:val="000A1DD1"/>
    <w:rsid w:val="000A21A5"/>
    <w:rsid w:val="000A3025"/>
    <w:rsid w:val="000A3863"/>
    <w:rsid w:val="000A3908"/>
    <w:rsid w:val="000A4B44"/>
    <w:rsid w:val="000A4C29"/>
    <w:rsid w:val="000A5621"/>
    <w:rsid w:val="000A5E29"/>
    <w:rsid w:val="000A6E2B"/>
    <w:rsid w:val="000A6F71"/>
    <w:rsid w:val="000A79D3"/>
    <w:rsid w:val="000B05B8"/>
    <w:rsid w:val="000B05E2"/>
    <w:rsid w:val="000B2568"/>
    <w:rsid w:val="000B41BB"/>
    <w:rsid w:val="000B5357"/>
    <w:rsid w:val="000B597F"/>
    <w:rsid w:val="000B634D"/>
    <w:rsid w:val="000B7465"/>
    <w:rsid w:val="000C14CB"/>
    <w:rsid w:val="000C18BC"/>
    <w:rsid w:val="000C1EE4"/>
    <w:rsid w:val="000C1FF9"/>
    <w:rsid w:val="000C269B"/>
    <w:rsid w:val="000C4151"/>
    <w:rsid w:val="000C4425"/>
    <w:rsid w:val="000C4469"/>
    <w:rsid w:val="000C4B12"/>
    <w:rsid w:val="000C4BF6"/>
    <w:rsid w:val="000C522E"/>
    <w:rsid w:val="000C5FA7"/>
    <w:rsid w:val="000C68BE"/>
    <w:rsid w:val="000C6D4A"/>
    <w:rsid w:val="000C6E11"/>
    <w:rsid w:val="000C76DD"/>
    <w:rsid w:val="000C7E71"/>
    <w:rsid w:val="000D036E"/>
    <w:rsid w:val="000D16AA"/>
    <w:rsid w:val="000D1A7D"/>
    <w:rsid w:val="000D2309"/>
    <w:rsid w:val="000D2CCA"/>
    <w:rsid w:val="000D2CFA"/>
    <w:rsid w:val="000D2DFE"/>
    <w:rsid w:val="000D34A7"/>
    <w:rsid w:val="000D366B"/>
    <w:rsid w:val="000D38F9"/>
    <w:rsid w:val="000D3F93"/>
    <w:rsid w:val="000D46DF"/>
    <w:rsid w:val="000D4C15"/>
    <w:rsid w:val="000D4FE9"/>
    <w:rsid w:val="000D5D6B"/>
    <w:rsid w:val="000D6B6E"/>
    <w:rsid w:val="000D7304"/>
    <w:rsid w:val="000D7A20"/>
    <w:rsid w:val="000D7DD7"/>
    <w:rsid w:val="000E161C"/>
    <w:rsid w:val="000E231C"/>
    <w:rsid w:val="000E4390"/>
    <w:rsid w:val="000E470B"/>
    <w:rsid w:val="000E4DE8"/>
    <w:rsid w:val="000E50F5"/>
    <w:rsid w:val="000E5E99"/>
    <w:rsid w:val="000E6B31"/>
    <w:rsid w:val="000F0C3B"/>
    <w:rsid w:val="000F0E9F"/>
    <w:rsid w:val="000F1540"/>
    <w:rsid w:val="000F2065"/>
    <w:rsid w:val="000F2A88"/>
    <w:rsid w:val="000F2C23"/>
    <w:rsid w:val="000F2D1B"/>
    <w:rsid w:val="000F3658"/>
    <w:rsid w:val="000F3B37"/>
    <w:rsid w:val="000F3F12"/>
    <w:rsid w:val="000F4B68"/>
    <w:rsid w:val="000F4F2E"/>
    <w:rsid w:val="000F565B"/>
    <w:rsid w:val="000F5C6C"/>
    <w:rsid w:val="000F5F3F"/>
    <w:rsid w:val="000F6ADB"/>
    <w:rsid w:val="00100570"/>
    <w:rsid w:val="00100E26"/>
    <w:rsid w:val="00101CE5"/>
    <w:rsid w:val="00101DD0"/>
    <w:rsid w:val="001022AB"/>
    <w:rsid w:val="00102555"/>
    <w:rsid w:val="00102903"/>
    <w:rsid w:val="00102B4B"/>
    <w:rsid w:val="00102BA2"/>
    <w:rsid w:val="00103AB9"/>
    <w:rsid w:val="00103E80"/>
    <w:rsid w:val="00103EEF"/>
    <w:rsid w:val="0010532D"/>
    <w:rsid w:val="00106357"/>
    <w:rsid w:val="00107187"/>
    <w:rsid w:val="00107272"/>
    <w:rsid w:val="00107315"/>
    <w:rsid w:val="00107D54"/>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2142"/>
    <w:rsid w:val="00122FF8"/>
    <w:rsid w:val="00123C40"/>
    <w:rsid w:val="00123CC6"/>
    <w:rsid w:val="00125689"/>
    <w:rsid w:val="00125C8A"/>
    <w:rsid w:val="001261FC"/>
    <w:rsid w:val="001306FE"/>
    <w:rsid w:val="00130827"/>
    <w:rsid w:val="001308A2"/>
    <w:rsid w:val="00130FC8"/>
    <w:rsid w:val="00131140"/>
    <w:rsid w:val="00131211"/>
    <w:rsid w:val="00131C9F"/>
    <w:rsid w:val="00132E86"/>
    <w:rsid w:val="00132FD3"/>
    <w:rsid w:val="00133A53"/>
    <w:rsid w:val="00133ADE"/>
    <w:rsid w:val="00133C39"/>
    <w:rsid w:val="00135008"/>
    <w:rsid w:val="00135EEA"/>
    <w:rsid w:val="001365A8"/>
    <w:rsid w:val="00136706"/>
    <w:rsid w:val="0013673A"/>
    <w:rsid w:val="001407F2"/>
    <w:rsid w:val="001410EB"/>
    <w:rsid w:val="00141B62"/>
    <w:rsid w:val="00141C12"/>
    <w:rsid w:val="00143554"/>
    <w:rsid w:val="00143653"/>
    <w:rsid w:val="00143934"/>
    <w:rsid w:val="00143B3A"/>
    <w:rsid w:val="00143E43"/>
    <w:rsid w:val="00143FFC"/>
    <w:rsid w:val="00145760"/>
    <w:rsid w:val="001463D4"/>
    <w:rsid w:val="00146ABB"/>
    <w:rsid w:val="00147338"/>
    <w:rsid w:val="00147A48"/>
    <w:rsid w:val="00150143"/>
    <w:rsid w:val="001509AB"/>
    <w:rsid w:val="00152E91"/>
    <w:rsid w:val="0015460B"/>
    <w:rsid w:val="00155ADD"/>
    <w:rsid w:val="00156CA9"/>
    <w:rsid w:val="00157465"/>
    <w:rsid w:val="001579DC"/>
    <w:rsid w:val="00157E23"/>
    <w:rsid w:val="00157FC3"/>
    <w:rsid w:val="00160ACE"/>
    <w:rsid w:val="001618E3"/>
    <w:rsid w:val="00161C4F"/>
    <w:rsid w:val="00161C84"/>
    <w:rsid w:val="00161F2A"/>
    <w:rsid w:val="00161FDF"/>
    <w:rsid w:val="001626BD"/>
    <w:rsid w:val="00162849"/>
    <w:rsid w:val="00162C33"/>
    <w:rsid w:val="00162E3E"/>
    <w:rsid w:val="0016340E"/>
    <w:rsid w:val="00164C06"/>
    <w:rsid w:val="00164C82"/>
    <w:rsid w:val="00164E23"/>
    <w:rsid w:val="001656B5"/>
    <w:rsid w:val="0016595F"/>
    <w:rsid w:val="0016633D"/>
    <w:rsid w:val="00166A2C"/>
    <w:rsid w:val="00166BF2"/>
    <w:rsid w:val="00166CC3"/>
    <w:rsid w:val="00170A9E"/>
    <w:rsid w:val="0017121A"/>
    <w:rsid w:val="00171401"/>
    <w:rsid w:val="00171777"/>
    <w:rsid w:val="001719FB"/>
    <w:rsid w:val="001722F6"/>
    <w:rsid w:val="00172B65"/>
    <w:rsid w:val="00172EF5"/>
    <w:rsid w:val="001732E1"/>
    <w:rsid w:val="001735B6"/>
    <w:rsid w:val="00173A44"/>
    <w:rsid w:val="0017613E"/>
    <w:rsid w:val="00177167"/>
    <w:rsid w:val="001776AC"/>
    <w:rsid w:val="0018121C"/>
    <w:rsid w:val="00181607"/>
    <w:rsid w:val="00181A71"/>
    <w:rsid w:val="0018261B"/>
    <w:rsid w:val="001834A7"/>
    <w:rsid w:val="0018373B"/>
    <w:rsid w:val="00183761"/>
    <w:rsid w:val="00183C79"/>
    <w:rsid w:val="00183C8B"/>
    <w:rsid w:val="00183E75"/>
    <w:rsid w:val="00184122"/>
    <w:rsid w:val="001845CF"/>
    <w:rsid w:val="00185727"/>
    <w:rsid w:val="001865BB"/>
    <w:rsid w:val="001871DD"/>
    <w:rsid w:val="001873C5"/>
    <w:rsid w:val="00187518"/>
    <w:rsid w:val="00187743"/>
    <w:rsid w:val="0019096C"/>
    <w:rsid w:val="00191EA7"/>
    <w:rsid w:val="00192164"/>
    <w:rsid w:val="00194C98"/>
    <w:rsid w:val="00194FB7"/>
    <w:rsid w:val="00196B4E"/>
    <w:rsid w:val="001975A1"/>
    <w:rsid w:val="001A027A"/>
    <w:rsid w:val="001A08E4"/>
    <w:rsid w:val="001A0D2C"/>
    <w:rsid w:val="001A0EBC"/>
    <w:rsid w:val="001A12B5"/>
    <w:rsid w:val="001A1C72"/>
    <w:rsid w:val="001A34BD"/>
    <w:rsid w:val="001A3980"/>
    <w:rsid w:val="001A422B"/>
    <w:rsid w:val="001A440A"/>
    <w:rsid w:val="001A4985"/>
    <w:rsid w:val="001A4A55"/>
    <w:rsid w:val="001A5C6F"/>
    <w:rsid w:val="001A6A4F"/>
    <w:rsid w:val="001A6BB9"/>
    <w:rsid w:val="001A76B7"/>
    <w:rsid w:val="001B015C"/>
    <w:rsid w:val="001B1339"/>
    <w:rsid w:val="001B1B58"/>
    <w:rsid w:val="001B1F55"/>
    <w:rsid w:val="001B2049"/>
    <w:rsid w:val="001B2369"/>
    <w:rsid w:val="001B2934"/>
    <w:rsid w:val="001B4265"/>
    <w:rsid w:val="001B4A37"/>
    <w:rsid w:val="001B6FAD"/>
    <w:rsid w:val="001B77FD"/>
    <w:rsid w:val="001C04B2"/>
    <w:rsid w:val="001C076C"/>
    <w:rsid w:val="001C14C1"/>
    <w:rsid w:val="001C168A"/>
    <w:rsid w:val="001C1FDE"/>
    <w:rsid w:val="001C2063"/>
    <w:rsid w:val="001C21E1"/>
    <w:rsid w:val="001C3426"/>
    <w:rsid w:val="001C3F07"/>
    <w:rsid w:val="001C4768"/>
    <w:rsid w:val="001C4BEF"/>
    <w:rsid w:val="001C4DF4"/>
    <w:rsid w:val="001C5839"/>
    <w:rsid w:val="001C5E6F"/>
    <w:rsid w:val="001C6696"/>
    <w:rsid w:val="001C6AF6"/>
    <w:rsid w:val="001C7129"/>
    <w:rsid w:val="001C77E1"/>
    <w:rsid w:val="001C7ADA"/>
    <w:rsid w:val="001D121D"/>
    <w:rsid w:val="001D2D11"/>
    <w:rsid w:val="001D310E"/>
    <w:rsid w:val="001D33C8"/>
    <w:rsid w:val="001D3543"/>
    <w:rsid w:val="001D3CA5"/>
    <w:rsid w:val="001D4151"/>
    <w:rsid w:val="001D41A9"/>
    <w:rsid w:val="001D58E5"/>
    <w:rsid w:val="001E0FAB"/>
    <w:rsid w:val="001E1A7D"/>
    <w:rsid w:val="001E2502"/>
    <w:rsid w:val="001E292F"/>
    <w:rsid w:val="001E351C"/>
    <w:rsid w:val="001E4464"/>
    <w:rsid w:val="001E474D"/>
    <w:rsid w:val="001E5194"/>
    <w:rsid w:val="001E5A81"/>
    <w:rsid w:val="001E62FB"/>
    <w:rsid w:val="001E69D0"/>
    <w:rsid w:val="001E6A0B"/>
    <w:rsid w:val="001E77DA"/>
    <w:rsid w:val="001E7A2F"/>
    <w:rsid w:val="001E7AB0"/>
    <w:rsid w:val="001E7DD0"/>
    <w:rsid w:val="001F0349"/>
    <w:rsid w:val="001F077B"/>
    <w:rsid w:val="001F0B74"/>
    <w:rsid w:val="001F0EFB"/>
    <w:rsid w:val="001F2558"/>
    <w:rsid w:val="001F2648"/>
    <w:rsid w:val="001F41B9"/>
    <w:rsid w:val="001F4509"/>
    <w:rsid w:val="001F4BE8"/>
    <w:rsid w:val="001F4EB8"/>
    <w:rsid w:val="001F560A"/>
    <w:rsid w:val="001F6318"/>
    <w:rsid w:val="001F65B1"/>
    <w:rsid w:val="001F6B83"/>
    <w:rsid w:val="001F6BCA"/>
    <w:rsid w:val="001F6F6A"/>
    <w:rsid w:val="001F7595"/>
    <w:rsid w:val="001F7658"/>
    <w:rsid w:val="001F7B40"/>
    <w:rsid w:val="002000B8"/>
    <w:rsid w:val="00200B4C"/>
    <w:rsid w:val="00203267"/>
    <w:rsid w:val="00203897"/>
    <w:rsid w:val="0020391D"/>
    <w:rsid w:val="00205904"/>
    <w:rsid w:val="00205F9C"/>
    <w:rsid w:val="002060F7"/>
    <w:rsid w:val="00207BC6"/>
    <w:rsid w:val="00210771"/>
    <w:rsid w:val="00210EE2"/>
    <w:rsid w:val="00211885"/>
    <w:rsid w:val="00211AEC"/>
    <w:rsid w:val="00212ADF"/>
    <w:rsid w:val="002134CF"/>
    <w:rsid w:val="00213A60"/>
    <w:rsid w:val="0021429B"/>
    <w:rsid w:val="0021461C"/>
    <w:rsid w:val="00215699"/>
    <w:rsid w:val="00215834"/>
    <w:rsid w:val="002159DE"/>
    <w:rsid w:val="00215E99"/>
    <w:rsid w:val="0021667D"/>
    <w:rsid w:val="002166A1"/>
    <w:rsid w:val="002166A6"/>
    <w:rsid w:val="00216BB6"/>
    <w:rsid w:val="00216E0A"/>
    <w:rsid w:val="0022048B"/>
    <w:rsid w:val="0022175C"/>
    <w:rsid w:val="002221B5"/>
    <w:rsid w:val="00222261"/>
    <w:rsid w:val="00223584"/>
    <w:rsid w:val="00223AC8"/>
    <w:rsid w:val="00223C96"/>
    <w:rsid w:val="0022453F"/>
    <w:rsid w:val="00224852"/>
    <w:rsid w:val="002261AD"/>
    <w:rsid w:val="0022634D"/>
    <w:rsid w:val="00226FF0"/>
    <w:rsid w:val="00227512"/>
    <w:rsid w:val="0022766E"/>
    <w:rsid w:val="002277E8"/>
    <w:rsid w:val="00227834"/>
    <w:rsid w:val="002278D5"/>
    <w:rsid w:val="00227C13"/>
    <w:rsid w:val="00227D49"/>
    <w:rsid w:val="00227FC7"/>
    <w:rsid w:val="00232F95"/>
    <w:rsid w:val="002339D1"/>
    <w:rsid w:val="00233A54"/>
    <w:rsid w:val="00234239"/>
    <w:rsid w:val="00234440"/>
    <w:rsid w:val="002347C9"/>
    <w:rsid w:val="0023482F"/>
    <w:rsid w:val="00235B36"/>
    <w:rsid w:val="00236E72"/>
    <w:rsid w:val="00237B6B"/>
    <w:rsid w:val="002411BD"/>
    <w:rsid w:val="00242177"/>
    <w:rsid w:val="00242D3A"/>
    <w:rsid w:val="00244131"/>
    <w:rsid w:val="00244711"/>
    <w:rsid w:val="00244AE4"/>
    <w:rsid w:val="00244FCF"/>
    <w:rsid w:val="00245EBE"/>
    <w:rsid w:val="002472C1"/>
    <w:rsid w:val="002473F4"/>
    <w:rsid w:val="00247687"/>
    <w:rsid w:val="00250F42"/>
    <w:rsid w:val="002528A1"/>
    <w:rsid w:val="00252EBA"/>
    <w:rsid w:val="0025361A"/>
    <w:rsid w:val="002545EF"/>
    <w:rsid w:val="00254B44"/>
    <w:rsid w:val="00254CA7"/>
    <w:rsid w:val="00254E99"/>
    <w:rsid w:val="00255B9B"/>
    <w:rsid w:val="0025610A"/>
    <w:rsid w:val="00256596"/>
    <w:rsid w:val="002568F8"/>
    <w:rsid w:val="0026027A"/>
    <w:rsid w:val="00260533"/>
    <w:rsid w:val="002605CE"/>
    <w:rsid w:val="00261357"/>
    <w:rsid w:val="00261367"/>
    <w:rsid w:val="00261A54"/>
    <w:rsid w:val="00261C21"/>
    <w:rsid w:val="00261D37"/>
    <w:rsid w:val="00262746"/>
    <w:rsid w:val="00262D6B"/>
    <w:rsid w:val="00262ED0"/>
    <w:rsid w:val="00263607"/>
    <w:rsid w:val="002638EE"/>
    <w:rsid w:val="00264965"/>
    <w:rsid w:val="00264AA9"/>
    <w:rsid w:val="002656E1"/>
    <w:rsid w:val="00265CFF"/>
    <w:rsid w:val="00270B4E"/>
    <w:rsid w:val="00271500"/>
    <w:rsid w:val="00271E13"/>
    <w:rsid w:val="00272E57"/>
    <w:rsid w:val="00273308"/>
    <w:rsid w:val="00274663"/>
    <w:rsid w:val="00275641"/>
    <w:rsid w:val="0027569A"/>
    <w:rsid w:val="002767D9"/>
    <w:rsid w:val="00277214"/>
    <w:rsid w:val="0028018B"/>
    <w:rsid w:val="00280F4B"/>
    <w:rsid w:val="0028183A"/>
    <w:rsid w:val="002821E9"/>
    <w:rsid w:val="002827D2"/>
    <w:rsid w:val="002835B7"/>
    <w:rsid w:val="002843E8"/>
    <w:rsid w:val="00284662"/>
    <w:rsid w:val="00284C1F"/>
    <w:rsid w:val="00285195"/>
    <w:rsid w:val="002851AF"/>
    <w:rsid w:val="0028610F"/>
    <w:rsid w:val="00286129"/>
    <w:rsid w:val="00287259"/>
    <w:rsid w:val="0028787B"/>
    <w:rsid w:val="00287D84"/>
    <w:rsid w:val="00290263"/>
    <w:rsid w:val="002908A7"/>
    <w:rsid w:val="0029127C"/>
    <w:rsid w:val="002914FA"/>
    <w:rsid w:val="00291768"/>
    <w:rsid w:val="00291777"/>
    <w:rsid w:val="00291796"/>
    <w:rsid w:val="002925CC"/>
    <w:rsid w:val="00292F66"/>
    <w:rsid w:val="0029315D"/>
    <w:rsid w:val="00293226"/>
    <w:rsid w:val="00293A33"/>
    <w:rsid w:val="00294094"/>
    <w:rsid w:val="0029449E"/>
    <w:rsid w:val="0029488D"/>
    <w:rsid w:val="0029530C"/>
    <w:rsid w:val="00296020"/>
    <w:rsid w:val="002963DA"/>
    <w:rsid w:val="0029693F"/>
    <w:rsid w:val="002969C6"/>
    <w:rsid w:val="00296BE2"/>
    <w:rsid w:val="00296F46"/>
    <w:rsid w:val="00296F8A"/>
    <w:rsid w:val="002A04A0"/>
    <w:rsid w:val="002A11CE"/>
    <w:rsid w:val="002A13E2"/>
    <w:rsid w:val="002A142B"/>
    <w:rsid w:val="002A180F"/>
    <w:rsid w:val="002A1B36"/>
    <w:rsid w:val="002A37E6"/>
    <w:rsid w:val="002A4DFC"/>
    <w:rsid w:val="002A5A90"/>
    <w:rsid w:val="002B087A"/>
    <w:rsid w:val="002B0B0E"/>
    <w:rsid w:val="002B18D6"/>
    <w:rsid w:val="002B22D4"/>
    <w:rsid w:val="002B3984"/>
    <w:rsid w:val="002B45C1"/>
    <w:rsid w:val="002B4BF3"/>
    <w:rsid w:val="002B55C8"/>
    <w:rsid w:val="002B5E4B"/>
    <w:rsid w:val="002B642F"/>
    <w:rsid w:val="002B660D"/>
    <w:rsid w:val="002B6935"/>
    <w:rsid w:val="002B7969"/>
    <w:rsid w:val="002C0031"/>
    <w:rsid w:val="002C0485"/>
    <w:rsid w:val="002C0762"/>
    <w:rsid w:val="002C257A"/>
    <w:rsid w:val="002C28DC"/>
    <w:rsid w:val="002C2BEC"/>
    <w:rsid w:val="002C30C0"/>
    <w:rsid w:val="002C456D"/>
    <w:rsid w:val="002C4F4B"/>
    <w:rsid w:val="002C6EC0"/>
    <w:rsid w:val="002C7C4E"/>
    <w:rsid w:val="002D0356"/>
    <w:rsid w:val="002D07C0"/>
    <w:rsid w:val="002D0F98"/>
    <w:rsid w:val="002D18A9"/>
    <w:rsid w:val="002D1B96"/>
    <w:rsid w:val="002D1DFB"/>
    <w:rsid w:val="002D2565"/>
    <w:rsid w:val="002D45BF"/>
    <w:rsid w:val="002D460D"/>
    <w:rsid w:val="002D4A85"/>
    <w:rsid w:val="002D6162"/>
    <w:rsid w:val="002D64DF"/>
    <w:rsid w:val="002D663C"/>
    <w:rsid w:val="002E242E"/>
    <w:rsid w:val="002E2FEC"/>
    <w:rsid w:val="002E38DB"/>
    <w:rsid w:val="002E4AB1"/>
    <w:rsid w:val="002E4E90"/>
    <w:rsid w:val="002E4F8A"/>
    <w:rsid w:val="002E505D"/>
    <w:rsid w:val="002E57A4"/>
    <w:rsid w:val="002E73B8"/>
    <w:rsid w:val="002F0823"/>
    <w:rsid w:val="002F1391"/>
    <w:rsid w:val="002F2471"/>
    <w:rsid w:val="002F2B7A"/>
    <w:rsid w:val="002F3105"/>
    <w:rsid w:val="002F4251"/>
    <w:rsid w:val="002F5E6C"/>
    <w:rsid w:val="002F72FF"/>
    <w:rsid w:val="00300BF3"/>
    <w:rsid w:val="0030143F"/>
    <w:rsid w:val="00301BCD"/>
    <w:rsid w:val="00303920"/>
    <w:rsid w:val="00303ACF"/>
    <w:rsid w:val="00303F33"/>
    <w:rsid w:val="0030463E"/>
    <w:rsid w:val="00304ED6"/>
    <w:rsid w:val="00306D5D"/>
    <w:rsid w:val="00306FF4"/>
    <w:rsid w:val="00310EE1"/>
    <w:rsid w:val="00311784"/>
    <w:rsid w:val="0031210B"/>
    <w:rsid w:val="003122B0"/>
    <w:rsid w:val="00312390"/>
    <w:rsid w:val="003137B1"/>
    <w:rsid w:val="003138EB"/>
    <w:rsid w:val="00313A51"/>
    <w:rsid w:val="00314EF7"/>
    <w:rsid w:val="00315880"/>
    <w:rsid w:val="00315A06"/>
    <w:rsid w:val="003163E0"/>
    <w:rsid w:val="0031678B"/>
    <w:rsid w:val="0031683C"/>
    <w:rsid w:val="00316C08"/>
    <w:rsid w:val="00317146"/>
    <w:rsid w:val="003176EA"/>
    <w:rsid w:val="00317928"/>
    <w:rsid w:val="00317D36"/>
    <w:rsid w:val="00321473"/>
    <w:rsid w:val="003225FB"/>
    <w:rsid w:val="003232D8"/>
    <w:rsid w:val="00323A7C"/>
    <w:rsid w:val="00323BE9"/>
    <w:rsid w:val="00323C32"/>
    <w:rsid w:val="00323CC7"/>
    <w:rsid w:val="003249E9"/>
    <w:rsid w:val="00324A1D"/>
    <w:rsid w:val="00324C55"/>
    <w:rsid w:val="003250B4"/>
    <w:rsid w:val="003256EC"/>
    <w:rsid w:val="00325742"/>
    <w:rsid w:val="00325CB5"/>
    <w:rsid w:val="003262C7"/>
    <w:rsid w:val="00327AB3"/>
    <w:rsid w:val="00327D1B"/>
    <w:rsid w:val="00327F9E"/>
    <w:rsid w:val="00330527"/>
    <w:rsid w:val="00331829"/>
    <w:rsid w:val="003318A6"/>
    <w:rsid w:val="003321A8"/>
    <w:rsid w:val="00332EB1"/>
    <w:rsid w:val="00333E63"/>
    <w:rsid w:val="00334044"/>
    <w:rsid w:val="00335188"/>
    <w:rsid w:val="00335234"/>
    <w:rsid w:val="00335F22"/>
    <w:rsid w:val="00336B63"/>
    <w:rsid w:val="003373B8"/>
    <w:rsid w:val="00340552"/>
    <w:rsid w:val="00341099"/>
    <w:rsid w:val="003413F4"/>
    <w:rsid w:val="00342690"/>
    <w:rsid w:val="00342DC1"/>
    <w:rsid w:val="00342EF7"/>
    <w:rsid w:val="003432B6"/>
    <w:rsid w:val="00343F41"/>
    <w:rsid w:val="00344877"/>
    <w:rsid w:val="00344BF3"/>
    <w:rsid w:val="00345AE6"/>
    <w:rsid w:val="00345CC1"/>
    <w:rsid w:val="00345EA7"/>
    <w:rsid w:val="0034652C"/>
    <w:rsid w:val="00346606"/>
    <w:rsid w:val="00346E73"/>
    <w:rsid w:val="00347090"/>
    <w:rsid w:val="0035067B"/>
    <w:rsid w:val="00350B6E"/>
    <w:rsid w:val="00351A4A"/>
    <w:rsid w:val="00351D3F"/>
    <w:rsid w:val="00351D95"/>
    <w:rsid w:val="00351FB4"/>
    <w:rsid w:val="00353860"/>
    <w:rsid w:val="00353B86"/>
    <w:rsid w:val="00353CE5"/>
    <w:rsid w:val="003546DF"/>
    <w:rsid w:val="00354CD9"/>
    <w:rsid w:val="003556C1"/>
    <w:rsid w:val="00355CE3"/>
    <w:rsid w:val="00355EEE"/>
    <w:rsid w:val="00357883"/>
    <w:rsid w:val="00357B14"/>
    <w:rsid w:val="00360322"/>
    <w:rsid w:val="00360494"/>
    <w:rsid w:val="003608F0"/>
    <w:rsid w:val="00360C00"/>
    <w:rsid w:val="00361935"/>
    <w:rsid w:val="003626AE"/>
    <w:rsid w:val="003638EC"/>
    <w:rsid w:val="003648EE"/>
    <w:rsid w:val="00364BEE"/>
    <w:rsid w:val="0036508D"/>
    <w:rsid w:val="003651C8"/>
    <w:rsid w:val="00366321"/>
    <w:rsid w:val="003669F1"/>
    <w:rsid w:val="00366F10"/>
    <w:rsid w:val="003700A3"/>
    <w:rsid w:val="00370B40"/>
    <w:rsid w:val="00370D6B"/>
    <w:rsid w:val="00371C15"/>
    <w:rsid w:val="00371C44"/>
    <w:rsid w:val="00372CDF"/>
    <w:rsid w:val="00373411"/>
    <w:rsid w:val="00373D40"/>
    <w:rsid w:val="003741F6"/>
    <w:rsid w:val="00374938"/>
    <w:rsid w:val="00374A29"/>
    <w:rsid w:val="00374FA4"/>
    <w:rsid w:val="003756C6"/>
    <w:rsid w:val="00375D65"/>
    <w:rsid w:val="0037624E"/>
    <w:rsid w:val="00376E35"/>
    <w:rsid w:val="00377F6C"/>
    <w:rsid w:val="00377F89"/>
    <w:rsid w:val="00380094"/>
    <w:rsid w:val="00380256"/>
    <w:rsid w:val="0038165D"/>
    <w:rsid w:val="00381F3A"/>
    <w:rsid w:val="00382AE3"/>
    <w:rsid w:val="00383071"/>
    <w:rsid w:val="00385444"/>
    <w:rsid w:val="00385F39"/>
    <w:rsid w:val="00386070"/>
    <w:rsid w:val="003900A5"/>
    <w:rsid w:val="003917AD"/>
    <w:rsid w:val="00391FAB"/>
    <w:rsid w:val="00392539"/>
    <w:rsid w:val="00392677"/>
    <w:rsid w:val="003931BC"/>
    <w:rsid w:val="00393431"/>
    <w:rsid w:val="00393633"/>
    <w:rsid w:val="003945E2"/>
    <w:rsid w:val="00394981"/>
    <w:rsid w:val="003953A8"/>
    <w:rsid w:val="0039578E"/>
    <w:rsid w:val="003958E6"/>
    <w:rsid w:val="00395D76"/>
    <w:rsid w:val="003967DC"/>
    <w:rsid w:val="00396F7B"/>
    <w:rsid w:val="00396FA3"/>
    <w:rsid w:val="0039788E"/>
    <w:rsid w:val="00397F0D"/>
    <w:rsid w:val="00397F4C"/>
    <w:rsid w:val="003A0418"/>
    <w:rsid w:val="003A0DC3"/>
    <w:rsid w:val="003A1CF5"/>
    <w:rsid w:val="003A2812"/>
    <w:rsid w:val="003A2D0C"/>
    <w:rsid w:val="003A2FDE"/>
    <w:rsid w:val="003A3304"/>
    <w:rsid w:val="003A3551"/>
    <w:rsid w:val="003A38F0"/>
    <w:rsid w:val="003A443D"/>
    <w:rsid w:val="003A5983"/>
    <w:rsid w:val="003A6A5A"/>
    <w:rsid w:val="003A6D8C"/>
    <w:rsid w:val="003A72AA"/>
    <w:rsid w:val="003A72E9"/>
    <w:rsid w:val="003A7B0F"/>
    <w:rsid w:val="003B175A"/>
    <w:rsid w:val="003B3231"/>
    <w:rsid w:val="003B357A"/>
    <w:rsid w:val="003B47A4"/>
    <w:rsid w:val="003B499C"/>
    <w:rsid w:val="003B4CCD"/>
    <w:rsid w:val="003B53D4"/>
    <w:rsid w:val="003B6C32"/>
    <w:rsid w:val="003B7109"/>
    <w:rsid w:val="003B7298"/>
    <w:rsid w:val="003C061A"/>
    <w:rsid w:val="003C0FF8"/>
    <w:rsid w:val="003C1D0C"/>
    <w:rsid w:val="003C4FD5"/>
    <w:rsid w:val="003C582B"/>
    <w:rsid w:val="003C5A79"/>
    <w:rsid w:val="003C5DAF"/>
    <w:rsid w:val="003C612D"/>
    <w:rsid w:val="003C6532"/>
    <w:rsid w:val="003D2333"/>
    <w:rsid w:val="003D29B0"/>
    <w:rsid w:val="003D3241"/>
    <w:rsid w:val="003D3BEF"/>
    <w:rsid w:val="003D4804"/>
    <w:rsid w:val="003D524A"/>
    <w:rsid w:val="003D5413"/>
    <w:rsid w:val="003D6169"/>
    <w:rsid w:val="003D62B9"/>
    <w:rsid w:val="003D7685"/>
    <w:rsid w:val="003D7E9A"/>
    <w:rsid w:val="003D7F0C"/>
    <w:rsid w:val="003E0366"/>
    <w:rsid w:val="003E077B"/>
    <w:rsid w:val="003E100C"/>
    <w:rsid w:val="003E2FFE"/>
    <w:rsid w:val="003E37AA"/>
    <w:rsid w:val="003E4310"/>
    <w:rsid w:val="003E47DE"/>
    <w:rsid w:val="003E4FFA"/>
    <w:rsid w:val="003E5A3E"/>
    <w:rsid w:val="003E5BD8"/>
    <w:rsid w:val="003E6C1E"/>
    <w:rsid w:val="003E6DDE"/>
    <w:rsid w:val="003E6E11"/>
    <w:rsid w:val="003E721A"/>
    <w:rsid w:val="003E7B88"/>
    <w:rsid w:val="003F0536"/>
    <w:rsid w:val="003F10D3"/>
    <w:rsid w:val="003F1548"/>
    <w:rsid w:val="003F2B3D"/>
    <w:rsid w:val="003F3105"/>
    <w:rsid w:val="003F3C44"/>
    <w:rsid w:val="003F4172"/>
    <w:rsid w:val="003F4249"/>
    <w:rsid w:val="003F4E3B"/>
    <w:rsid w:val="003F5086"/>
    <w:rsid w:val="003F5108"/>
    <w:rsid w:val="003F5D2C"/>
    <w:rsid w:val="003F7679"/>
    <w:rsid w:val="003F7E55"/>
    <w:rsid w:val="0040085F"/>
    <w:rsid w:val="00400B65"/>
    <w:rsid w:val="00400C13"/>
    <w:rsid w:val="00402311"/>
    <w:rsid w:val="0040239F"/>
    <w:rsid w:val="00402C97"/>
    <w:rsid w:val="00403364"/>
    <w:rsid w:val="0040415C"/>
    <w:rsid w:val="00404AA4"/>
    <w:rsid w:val="00404C61"/>
    <w:rsid w:val="00404FE9"/>
    <w:rsid w:val="004050C9"/>
    <w:rsid w:val="004051F0"/>
    <w:rsid w:val="00405956"/>
    <w:rsid w:val="00405F34"/>
    <w:rsid w:val="00406314"/>
    <w:rsid w:val="00406376"/>
    <w:rsid w:val="00406896"/>
    <w:rsid w:val="00411749"/>
    <w:rsid w:val="00411B37"/>
    <w:rsid w:val="004125ED"/>
    <w:rsid w:val="00413B39"/>
    <w:rsid w:val="0041450E"/>
    <w:rsid w:val="0041456E"/>
    <w:rsid w:val="00415370"/>
    <w:rsid w:val="00415781"/>
    <w:rsid w:val="00416485"/>
    <w:rsid w:val="00416C86"/>
    <w:rsid w:val="00416E1E"/>
    <w:rsid w:val="00416F40"/>
    <w:rsid w:val="00417769"/>
    <w:rsid w:val="00417F0D"/>
    <w:rsid w:val="00420A9A"/>
    <w:rsid w:val="004218BA"/>
    <w:rsid w:val="00421EF2"/>
    <w:rsid w:val="00422668"/>
    <w:rsid w:val="00423296"/>
    <w:rsid w:val="0042602D"/>
    <w:rsid w:val="004260B2"/>
    <w:rsid w:val="004260BA"/>
    <w:rsid w:val="00427004"/>
    <w:rsid w:val="00427B03"/>
    <w:rsid w:val="0043134E"/>
    <w:rsid w:val="00431AC1"/>
    <w:rsid w:val="00431DE1"/>
    <w:rsid w:val="004329C9"/>
    <w:rsid w:val="00432CD5"/>
    <w:rsid w:val="00433CDB"/>
    <w:rsid w:val="00434BB4"/>
    <w:rsid w:val="00435A96"/>
    <w:rsid w:val="00435D29"/>
    <w:rsid w:val="004363FA"/>
    <w:rsid w:val="004364CC"/>
    <w:rsid w:val="00437141"/>
    <w:rsid w:val="004405B0"/>
    <w:rsid w:val="00440A27"/>
    <w:rsid w:val="00441905"/>
    <w:rsid w:val="00441FF9"/>
    <w:rsid w:val="0044233C"/>
    <w:rsid w:val="0044382F"/>
    <w:rsid w:val="00443B96"/>
    <w:rsid w:val="00443E1D"/>
    <w:rsid w:val="004442EB"/>
    <w:rsid w:val="00444FA3"/>
    <w:rsid w:val="00446553"/>
    <w:rsid w:val="004467A0"/>
    <w:rsid w:val="00446A92"/>
    <w:rsid w:val="004501B4"/>
    <w:rsid w:val="0045082F"/>
    <w:rsid w:val="00450C00"/>
    <w:rsid w:val="0045135E"/>
    <w:rsid w:val="00451571"/>
    <w:rsid w:val="00451800"/>
    <w:rsid w:val="00452434"/>
    <w:rsid w:val="00452B5F"/>
    <w:rsid w:val="00452C53"/>
    <w:rsid w:val="00453565"/>
    <w:rsid w:val="004539C7"/>
    <w:rsid w:val="00453E96"/>
    <w:rsid w:val="00454004"/>
    <w:rsid w:val="00454597"/>
    <w:rsid w:val="004548E6"/>
    <w:rsid w:val="0045543A"/>
    <w:rsid w:val="004556FB"/>
    <w:rsid w:val="00455880"/>
    <w:rsid w:val="00455DA6"/>
    <w:rsid w:val="004561F9"/>
    <w:rsid w:val="0045637C"/>
    <w:rsid w:val="0045665A"/>
    <w:rsid w:val="004569A3"/>
    <w:rsid w:val="004578ED"/>
    <w:rsid w:val="00460B22"/>
    <w:rsid w:val="00460B73"/>
    <w:rsid w:val="004611B6"/>
    <w:rsid w:val="00461997"/>
    <w:rsid w:val="00463F8B"/>
    <w:rsid w:val="00464928"/>
    <w:rsid w:val="004649AD"/>
    <w:rsid w:val="00464D5F"/>
    <w:rsid w:val="004650E7"/>
    <w:rsid w:val="0046687B"/>
    <w:rsid w:val="00470418"/>
    <w:rsid w:val="004704EA"/>
    <w:rsid w:val="00470624"/>
    <w:rsid w:val="0047071D"/>
    <w:rsid w:val="004727C4"/>
    <w:rsid w:val="00473579"/>
    <w:rsid w:val="00474E5A"/>
    <w:rsid w:val="0047558F"/>
    <w:rsid w:val="00475ED8"/>
    <w:rsid w:val="00475FD5"/>
    <w:rsid w:val="0047700D"/>
    <w:rsid w:val="004779A3"/>
    <w:rsid w:val="004803CF"/>
    <w:rsid w:val="00480612"/>
    <w:rsid w:val="004812F4"/>
    <w:rsid w:val="00481719"/>
    <w:rsid w:val="0048231B"/>
    <w:rsid w:val="004838D4"/>
    <w:rsid w:val="004845AC"/>
    <w:rsid w:val="00484C31"/>
    <w:rsid w:val="00485E3C"/>
    <w:rsid w:val="00486F09"/>
    <w:rsid w:val="004877FB"/>
    <w:rsid w:val="00490350"/>
    <w:rsid w:val="004906DB"/>
    <w:rsid w:val="00490C0F"/>
    <w:rsid w:val="00491FF2"/>
    <w:rsid w:val="004925EE"/>
    <w:rsid w:val="00492735"/>
    <w:rsid w:val="00493609"/>
    <w:rsid w:val="004945E8"/>
    <w:rsid w:val="00494FC9"/>
    <w:rsid w:val="00495228"/>
    <w:rsid w:val="004963B6"/>
    <w:rsid w:val="00496E3C"/>
    <w:rsid w:val="004972DB"/>
    <w:rsid w:val="004A1B75"/>
    <w:rsid w:val="004A2013"/>
    <w:rsid w:val="004A201B"/>
    <w:rsid w:val="004A23B9"/>
    <w:rsid w:val="004A2B7A"/>
    <w:rsid w:val="004A3368"/>
    <w:rsid w:val="004A3D20"/>
    <w:rsid w:val="004A3EB3"/>
    <w:rsid w:val="004A4377"/>
    <w:rsid w:val="004A57EB"/>
    <w:rsid w:val="004A5824"/>
    <w:rsid w:val="004A59D3"/>
    <w:rsid w:val="004A6D7C"/>
    <w:rsid w:val="004A6F11"/>
    <w:rsid w:val="004A74DD"/>
    <w:rsid w:val="004A7556"/>
    <w:rsid w:val="004A7C4D"/>
    <w:rsid w:val="004B00D1"/>
    <w:rsid w:val="004B02C8"/>
    <w:rsid w:val="004B0B57"/>
    <w:rsid w:val="004B0E3F"/>
    <w:rsid w:val="004B1CAB"/>
    <w:rsid w:val="004B2501"/>
    <w:rsid w:val="004B2DEA"/>
    <w:rsid w:val="004B2FF9"/>
    <w:rsid w:val="004B3506"/>
    <w:rsid w:val="004B36ED"/>
    <w:rsid w:val="004B3730"/>
    <w:rsid w:val="004B40DB"/>
    <w:rsid w:val="004B4EF6"/>
    <w:rsid w:val="004B612E"/>
    <w:rsid w:val="004B623B"/>
    <w:rsid w:val="004B6554"/>
    <w:rsid w:val="004B6B22"/>
    <w:rsid w:val="004B6C50"/>
    <w:rsid w:val="004B7D22"/>
    <w:rsid w:val="004C04CA"/>
    <w:rsid w:val="004C0DA0"/>
    <w:rsid w:val="004C18AC"/>
    <w:rsid w:val="004C3E02"/>
    <w:rsid w:val="004C422D"/>
    <w:rsid w:val="004C4CEB"/>
    <w:rsid w:val="004C5CBA"/>
    <w:rsid w:val="004C630D"/>
    <w:rsid w:val="004C6C09"/>
    <w:rsid w:val="004C6EA3"/>
    <w:rsid w:val="004D000F"/>
    <w:rsid w:val="004D055D"/>
    <w:rsid w:val="004D1240"/>
    <w:rsid w:val="004D16DC"/>
    <w:rsid w:val="004D489F"/>
    <w:rsid w:val="004D49EE"/>
    <w:rsid w:val="004D4AE0"/>
    <w:rsid w:val="004D4C0B"/>
    <w:rsid w:val="004D53BD"/>
    <w:rsid w:val="004D69FC"/>
    <w:rsid w:val="004D77BD"/>
    <w:rsid w:val="004D77DE"/>
    <w:rsid w:val="004D7BF4"/>
    <w:rsid w:val="004D7C92"/>
    <w:rsid w:val="004E0213"/>
    <w:rsid w:val="004E295C"/>
    <w:rsid w:val="004E34AD"/>
    <w:rsid w:val="004E38B2"/>
    <w:rsid w:val="004E3936"/>
    <w:rsid w:val="004E490B"/>
    <w:rsid w:val="004E57F7"/>
    <w:rsid w:val="004E5D9C"/>
    <w:rsid w:val="004E6707"/>
    <w:rsid w:val="004E6B8E"/>
    <w:rsid w:val="004E78F2"/>
    <w:rsid w:val="004F0543"/>
    <w:rsid w:val="004F0D33"/>
    <w:rsid w:val="004F2385"/>
    <w:rsid w:val="004F3A97"/>
    <w:rsid w:val="004F4991"/>
    <w:rsid w:val="004F5591"/>
    <w:rsid w:val="004F5D14"/>
    <w:rsid w:val="004F68DC"/>
    <w:rsid w:val="0050014F"/>
    <w:rsid w:val="00500F7A"/>
    <w:rsid w:val="005012AD"/>
    <w:rsid w:val="005016E5"/>
    <w:rsid w:val="00501A56"/>
    <w:rsid w:val="00502317"/>
    <w:rsid w:val="005026BF"/>
    <w:rsid w:val="005027BB"/>
    <w:rsid w:val="00502DAD"/>
    <w:rsid w:val="00502FA1"/>
    <w:rsid w:val="005031A4"/>
    <w:rsid w:val="00503415"/>
    <w:rsid w:val="005037E1"/>
    <w:rsid w:val="00503B5C"/>
    <w:rsid w:val="0050456A"/>
    <w:rsid w:val="005046AC"/>
    <w:rsid w:val="005057AE"/>
    <w:rsid w:val="005068E1"/>
    <w:rsid w:val="00506C91"/>
    <w:rsid w:val="005077C5"/>
    <w:rsid w:val="00507A4F"/>
    <w:rsid w:val="00510B80"/>
    <w:rsid w:val="0051168A"/>
    <w:rsid w:val="005117D2"/>
    <w:rsid w:val="005118A6"/>
    <w:rsid w:val="005122F4"/>
    <w:rsid w:val="0051405F"/>
    <w:rsid w:val="0051444F"/>
    <w:rsid w:val="005156A6"/>
    <w:rsid w:val="0051613B"/>
    <w:rsid w:val="00516393"/>
    <w:rsid w:val="005165A7"/>
    <w:rsid w:val="00517449"/>
    <w:rsid w:val="005179A5"/>
    <w:rsid w:val="00520B4F"/>
    <w:rsid w:val="0052175A"/>
    <w:rsid w:val="00524AD7"/>
    <w:rsid w:val="005254FD"/>
    <w:rsid w:val="00525D42"/>
    <w:rsid w:val="005268A9"/>
    <w:rsid w:val="0052703D"/>
    <w:rsid w:val="0052720F"/>
    <w:rsid w:val="00527421"/>
    <w:rsid w:val="005275C4"/>
    <w:rsid w:val="00527D36"/>
    <w:rsid w:val="00531076"/>
    <w:rsid w:val="005315BD"/>
    <w:rsid w:val="00531D28"/>
    <w:rsid w:val="005328A8"/>
    <w:rsid w:val="00532B8B"/>
    <w:rsid w:val="00533920"/>
    <w:rsid w:val="00535141"/>
    <w:rsid w:val="00535324"/>
    <w:rsid w:val="00535504"/>
    <w:rsid w:val="00535D2C"/>
    <w:rsid w:val="005362EA"/>
    <w:rsid w:val="005363B4"/>
    <w:rsid w:val="0053712D"/>
    <w:rsid w:val="00537210"/>
    <w:rsid w:val="005403F4"/>
    <w:rsid w:val="005407FE"/>
    <w:rsid w:val="00541136"/>
    <w:rsid w:val="005414CE"/>
    <w:rsid w:val="00541D5A"/>
    <w:rsid w:val="0054213D"/>
    <w:rsid w:val="0054216F"/>
    <w:rsid w:val="00542F18"/>
    <w:rsid w:val="00544853"/>
    <w:rsid w:val="00544CA5"/>
    <w:rsid w:val="005450E2"/>
    <w:rsid w:val="00545284"/>
    <w:rsid w:val="00545B19"/>
    <w:rsid w:val="0055035F"/>
    <w:rsid w:val="005507F7"/>
    <w:rsid w:val="005507FD"/>
    <w:rsid w:val="005511C0"/>
    <w:rsid w:val="0055232C"/>
    <w:rsid w:val="0055278E"/>
    <w:rsid w:val="005528D5"/>
    <w:rsid w:val="00553F07"/>
    <w:rsid w:val="00555488"/>
    <w:rsid w:val="0055549A"/>
    <w:rsid w:val="00555B18"/>
    <w:rsid w:val="00555C9C"/>
    <w:rsid w:val="00556A4D"/>
    <w:rsid w:val="00557319"/>
    <w:rsid w:val="0055762E"/>
    <w:rsid w:val="0055764E"/>
    <w:rsid w:val="00557EC1"/>
    <w:rsid w:val="00560528"/>
    <w:rsid w:val="00561923"/>
    <w:rsid w:val="005622F8"/>
    <w:rsid w:val="0056310A"/>
    <w:rsid w:val="0056336F"/>
    <w:rsid w:val="00565AF7"/>
    <w:rsid w:val="00567398"/>
    <w:rsid w:val="005674B5"/>
    <w:rsid w:val="0057009D"/>
    <w:rsid w:val="00570AB3"/>
    <w:rsid w:val="0057189C"/>
    <w:rsid w:val="00571BD2"/>
    <w:rsid w:val="00571CD7"/>
    <w:rsid w:val="00571D59"/>
    <w:rsid w:val="00572CB1"/>
    <w:rsid w:val="00572E3E"/>
    <w:rsid w:val="0057420B"/>
    <w:rsid w:val="0057593B"/>
    <w:rsid w:val="0057615A"/>
    <w:rsid w:val="0057632C"/>
    <w:rsid w:val="00577610"/>
    <w:rsid w:val="0057766B"/>
    <w:rsid w:val="00580280"/>
    <w:rsid w:val="00580B9E"/>
    <w:rsid w:val="00580DE4"/>
    <w:rsid w:val="0058135A"/>
    <w:rsid w:val="00581F7C"/>
    <w:rsid w:val="00582B32"/>
    <w:rsid w:val="00583358"/>
    <w:rsid w:val="00583363"/>
    <w:rsid w:val="005839BF"/>
    <w:rsid w:val="00584058"/>
    <w:rsid w:val="005844A5"/>
    <w:rsid w:val="005846B4"/>
    <w:rsid w:val="00584D05"/>
    <w:rsid w:val="005850E5"/>
    <w:rsid w:val="005851E0"/>
    <w:rsid w:val="00585571"/>
    <w:rsid w:val="005856F9"/>
    <w:rsid w:val="00585B91"/>
    <w:rsid w:val="00586BF1"/>
    <w:rsid w:val="00587510"/>
    <w:rsid w:val="005876C2"/>
    <w:rsid w:val="00587DC4"/>
    <w:rsid w:val="005902FB"/>
    <w:rsid w:val="005903E4"/>
    <w:rsid w:val="005907D5"/>
    <w:rsid w:val="005913EE"/>
    <w:rsid w:val="00592461"/>
    <w:rsid w:val="00592764"/>
    <w:rsid w:val="00593CC3"/>
    <w:rsid w:val="005940A0"/>
    <w:rsid w:val="0059449B"/>
    <w:rsid w:val="005950D6"/>
    <w:rsid w:val="0059519C"/>
    <w:rsid w:val="00595319"/>
    <w:rsid w:val="00595524"/>
    <w:rsid w:val="00596513"/>
    <w:rsid w:val="005974F3"/>
    <w:rsid w:val="0059751C"/>
    <w:rsid w:val="00597919"/>
    <w:rsid w:val="00597BBD"/>
    <w:rsid w:val="005A0B9F"/>
    <w:rsid w:val="005A0EFC"/>
    <w:rsid w:val="005A302B"/>
    <w:rsid w:val="005A44E7"/>
    <w:rsid w:val="005A5D8E"/>
    <w:rsid w:val="005A63D8"/>
    <w:rsid w:val="005A7C14"/>
    <w:rsid w:val="005A7DBE"/>
    <w:rsid w:val="005B0560"/>
    <w:rsid w:val="005B152C"/>
    <w:rsid w:val="005B1C64"/>
    <w:rsid w:val="005B1DE8"/>
    <w:rsid w:val="005B2807"/>
    <w:rsid w:val="005B3606"/>
    <w:rsid w:val="005B3E08"/>
    <w:rsid w:val="005B492C"/>
    <w:rsid w:val="005B49B6"/>
    <w:rsid w:val="005B56EE"/>
    <w:rsid w:val="005B672C"/>
    <w:rsid w:val="005B6C6E"/>
    <w:rsid w:val="005B7048"/>
    <w:rsid w:val="005B747D"/>
    <w:rsid w:val="005B7733"/>
    <w:rsid w:val="005B7A22"/>
    <w:rsid w:val="005C0602"/>
    <w:rsid w:val="005C0D5D"/>
    <w:rsid w:val="005C152B"/>
    <w:rsid w:val="005C191A"/>
    <w:rsid w:val="005C2AA9"/>
    <w:rsid w:val="005C2FAD"/>
    <w:rsid w:val="005C330D"/>
    <w:rsid w:val="005C40C7"/>
    <w:rsid w:val="005C4114"/>
    <w:rsid w:val="005C4583"/>
    <w:rsid w:val="005C4EFF"/>
    <w:rsid w:val="005C4F43"/>
    <w:rsid w:val="005C77E0"/>
    <w:rsid w:val="005D070E"/>
    <w:rsid w:val="005D0B55"/>
    <w:rsid w:val="005D23CE"/>
    <w:rsid w:val="005D4A04"/>
    <w:rsid w:val="005D4CF7"/>
    <w:rsid w:val="005D4E04"/>
    <w:rsid w:val="005D5347"/>
    <w:rsid w:val="005D5CC5"/>
    <w:rsid w:val="005D5FE6"/>
    <w:rsid w:val="005D61EA"/>
    <w:rsid w:val="005D6922"/>
    <w:rsid w:val="005D76DF"/>
    <w:rsid w:val="005D787B"/>
    <w:rsid w:val="005E031D"/>
    <w:rsid w:val="005E03AC"/>
    <w:rsid w:val="005E04B5"/>
    <w:rsid w:val="005E12BE"/>
    <w:rsid w:val="005E1ABE"/>
    <w:rsid w:val="005E2694"/>
    <w:rsid w:val="005E2C81"/>
    <w:rsid w:val="005E38A2"/>
    <w:rsid w:val="005E3DCC"/>
    <w:rsid w:val="005E4D3C"/>
    <w:rsid w:val="005E7158"/>
    <w:rsid w:val="005E7DC5"/>
    <w:rsid w:val="005E7ECB"/>
    <w:rsid w:val="005F0C00"/>
    <w:rsid w:val="005F1037"/>
    <w:rsid w:val="005F10B9"/>
    <w:rsid w:val="005F1713"/>
    <w:rsid w:val="005F2BF8"/>
    <w:rsid w:val="005F2EA8"/>
    <w:rsid w:val="005F5D1D"/>
    <w:rsid w:val="005F60C9"/>
    <w:rsid w:val="005F64C6"/>
    <w:rsid w:val="005F6877"/>
    <w:rsid w:val="005F7871"/>
    <w:rsid w:val="006008F1"/>
    <w:rsid w:val="0060114D"/>
    <w:rsid w:val="00601714"/>
    <w:rsid w:val="00601735"/>
    <w:rsid w:val="00602BD2"/>
    <w:rsid w:val="0060351D"/>
    <w:rsid w:val="00604980"/>
    <w:rsid w:val="00604A6F"/>
    <w:rsid w:val="0060614D"/>
    <w:rsid w:val="00606367"/>
    <w:rsid w:val="0060681A"/>
    <w:rsid w:val="006075C7"/>
    <w:rsid w:val="00610871"/>
    <w:rsid w:val="00610C0C"/>
    <w:rsid w:val="00610E48"/>
    <w:rsid w:val="00611A9E"/>
    <w:rsid w:val="00612C5C"/>
    <w:rsid w:val="00613C47"/>
    <w:rsid w:val="006142D4"/>
    <w:rsid w:val="00614B34"/>
    <w:rsid w:val="00615086"/>
    <w:rsid w:val="00615963"/>
    <w:rsid w:val="0061604A"/>
    <w:rsid w:val="00616161"/>
    <w:rsid w:val="00616201"/>
    <w:rsid w:val="00616225"/>
    <w:rsid w:val="0061705E"/>
    <w:rsid w:val="00617A8B"/>
    <w:rsid w:val="0062051E"/>
    <w:rsid w:val="00620F11"/>
    <w:rsid w:val="00621904"/>
    <w:rsid w:val="00622248"/>
    <w:rsid w:val="00622FEA"/>
    <w:rsid w:val="00623131"/>
    <w:rsid w:val="00623CDF"/>
    <w:rsid w:val="00623DB1"/>
    <w:rsid w:val="006245F3"/>
    <w:rsid w:val="00624DBE"/>
    <w:rsid w:val="00625450"/>
    <w:rsid w:val="006258FC"/>
    <w:rsid w:val="00625B5A"/>
    <w:rsid w:val="0062624F"/>
    <w:rsid w:val="0062767F"/>
    <w:rsid w:val="006279A4"/>
    <w:rsid w:val="00630055"/>
    <w:rsid w:val="0063008A"/>
    <w:rsid w:val="006319CA"/>
    <w:rsid w:val="006339D6"/>
    <w:rsid w:val="00633B3E"/>
    <w:rsid w:val="00634AAE"/>
    <w:rsid w:val="00634EC0"/>
    <w:rsid w:val="0063627F"/>
    <w:rsid w:val="006368EF"/>
    <w:rsid w:val="006376C4"/>
    <w:rsid w:val="0063773C"/>
    <w:rsid w:val="006403E7"/>
    <w:rsid w:val="00641844"/>
    <w:rsid w:val="00642D72"/>
    <w:rsid w:val="006440D9"/>
    <w:rsid w:val="006443CB"/>
    <w:rsid w:val="006448B8"/>
    <w:rsid w:val="00644A8C"/>
    <w:rsid w:val="00644F80"/>
    <w:rsid w:val="00645874"/>
    <w:rsid w:val="0064633E"/>
    <w:rsid w:val="00647380"/>
    <w:rsid w:val="00650F81"/>
    <w:rsid w:val="00650FC7"/>
    <w:rsid w:val="006515E9"/>
    <w:rsid w:val="00652A6C"/>
    <w:rsid w:val="00653C24"/>
    <w:rsid w:val="00653D68"/>
    <w:rsid w:val="00653E4E"/>
    <w:rsid w:val="00654275"/>
    <w:rsid w:val="0065433F"/>
    <w:rsid w:val="006543A0"/>
    <w:rsid w:val="0065446D"/>
    <w:rsid w:val="00654891"/>
    <w:rsid w:val="00654894"/>
    <w:rsid w:val="00655104"/>
    <w:rsid w:val="00655B0C"/>
    <w:rsid w:val="00656067"/>
    <w:rsid w:val="00656FDE"/>
    <w:rsid w:val="0065765F"/>
    <w:rsid w:val="00660693"/>
    <w:rsid w:val="00660BE3"/>
    <w:rsid w:val="006611D6"/>
    <w:rsid w:val="00661918"/>
    <w:rsid w:val="00662A5A"/>
    <w:rsid w:val="006636D0"/>
    <w:rsid w:val="00663834"/>
    <w:rsid w:val="006647D7"/>
    <w:rsid w:val="00664F1B"/>
    <w:rsid w:val="006653D7"/>
    <w:rsid w:val="00665BFF"/>
    <w:rsid w:val="006665BA"/>
    <w:rsid w:val="00666A4F"/>
    <w:rsid w:val="00666E8E"/>
    <w:rsid w:val="00667477"/>
    <w:rsid w:val="006703D9"/>
    <w:rsid w:val="00672DFC"/>
    <w:rsid w:val="00672F5B"/>
    <w:rsid w:val="00673DEE"/>
    <w:rsid w:val="00674E69"/>
    <w:rsid w:val="00675FAD"/>
    <w:rsid w:val="00676883"/>
    <w:rsid w:val="0067738E"/>
    <w:rsid w:val="006778FD"/>
    <w:rsid w:val="00677F23"/>
    <w:rsid w:val="00680936"/>
    <w:rsid w:val="00680D8C"/>
    <w:rsid w:val="00680D99"/>
    <w:rsid w:val="006821B2"/>
    <w:rsid w:val="00682725"/>
    <w:rsid w:val="00682A1B"/>
    <w:rsid w:val="00682D73"/>
    <w:rsid w:val="00682ED3"/>
    <w:rsid w:val="006838C7"/>
    <w:rsid w:val="006846E8"/>
    <w:rsid w:val="00685C4D"/>
    <w:rsid w:val="00685EBD"/>
    <w:rsid w:val="006861C3"/>
    <w:rsid w:val="00686AF3"/>
    <w:rsid w:val="00686CCF"/>
    <w:rsid w:val="006878FA"/>
    <w:rsid w:val="00687A17"/>
    <w:rsid w:val="00690976"/>
    <w:rsid w:val="00690F1F"/>
    <w:rsid w:val="006915BD"/>
    <w:rsid w:val="00691FD1"/>
    <w:rsid w:val="00692582"/>
    <w:rsid w:val="00692592"/>
    <w:rsid w:val="006929B8"/>
    <w:rsid w:val="00692A2F"/>
    <w:rsid w:val="0069322C"/>
    <w:rsid w:val="00693652"/>
    <w:rsid w:val="006939E7"/>
    <w:rsid w:val="00693D3E"/>
    <w:rsid w:val="006942F7"/>
    <w:rsid w:val="006956FB"/>
    <w:rsid w:val="00695C63"/>
    <w:rsid w:val="006A147E"/>
    <w:rsid w:val="006A1D3D"/>
    <w:rsid w:val="006A2150"/>
    <w:rsid w:val="006A2216"/>
    <w:rsid w:val="006A241D"/>
    <w:rsid w:val="006A3288"/>
    <w:rsid w:val="006A43E6"/>
    <w:rsid w:val="006A4AEE"/>
    <w:rsid w:val="006A621F"/>
    <w:rsid w:val="006A62D9"/>
    <w:rsid w:val="006A70BE"/>
    <w:rsid w:val="006A7934"/>
    <w:rsid w:val="006B0001"/>
    <w:rsid w:val="006B059F"/>
    <w:rsid w:val="006B06F3"/>
    <w:rsid w:val="006B1062"/>
    <w:rsid w:val="006B2048"/>
    <w:rsid w:val="006B2A7F"/>
    <w:rsid w:val="006B311E"/>
    <w:rsid w:val="006B342E"/>
    <w:rsid w:val="006B3812"/>
    <w:rsid w:val="006B3B80"/>
    <w:rsid w:val="006B6F32"/>
    <w:rsid w:val="006B7130"/>
    <w:rsid w:val="006B73CC"/>
    <w:rsid w:val="006B7695"/>
    <w:rsid w:val="006C0176"/>
    <w:rsid w:val="006C2994"/>
    <w:rsid w:val="006C34AF"/>
    <w:rsid w:val="006C35EC"/>
    <w:rsid w:val="006C4150"/>
    <w:rsid w:val="006C4382"/>
    <w:rsid w:val="006C4CE8"/>
    <w:rsid w:val="006C5683"/>
    <w:rsid w:val="006C5E33"/>
    <w:rsid w:val="006C5E48"/>
    <w:rsid w:val="006C6434"/>
    <w:rsid w:val="006C69EF"/>
    <w:rsid w:val="006C6CD8"/>
    <w:rsid w:val="006C70BB"/>
    <w:rsid w:val="006C7EB1"/>
    <w:rsid w:val="006D013F"/>
    <w:rsid w:val="006D017F"/>
    <w:rsid w:val="006D08BD"/>
    <w:rsid w:val="006D0C7B"/>
    <w:rsid w:val="006D0F8E"/>
    <w:rsid w:val="006D1416"/>
    <w:rsid w:val="006D1D3F"/>
    <w:rsid w:val="006D1E87"/>
    <w:rsid w:val="006D253B"/>
    <w:rsid w:val="006D325A"/>
    <w:rsid w:val="006D327D"/>
    <w:rsid w:val="006D3BBA"/>
    <w:rsid w:val="006D4242"/>
    <w:rsid w:val="006D4297"/>
    <w:rsid w:val="006D45D5"/>
    <w:rsid w:val="006D45F0"/>
    <w:rsid w:val="006D4C8F"/>
    <w:rsid w:val="006D52A0"/>
    <w:rsid w:val="006D54ED"/>
    <w:rsid w:val="006D57CB"/>
    <w:rsid w:val="006D5819"/>
    <w:rsid w:val="006D5E6F"/>
    <w:rsid w:val="006D67FE"/>
    <w:rsid w:val="006D693F"/>
    <w:rsid w:val="006D6CDD"/>
    <w:rsid w:val="006D7604"/>
    <w:rsid w:val="006D765E"/>
    <w:rsid w:val="006E0455"/>
    <w:rsid w:val="006E0FD0"/>
    <w:rsid w:val="006E36E9"/>
    <w:rsid w:val="006E381D"/>
    <w:rsid w:val="006E3D13"/>
    <w:rsid w:val="006E4238"/>
    <w:rsid w:val="006E461F"/>
    <w:rsid w:val="006E5F01"/>
    <w:rsid w:val="006E7404"/>
    <w:rsid w:val="006E74D0"/>
    <w:rsid w:val="006E7B97"/>
    <w:rsid w:val="006F0068"/>
    <w:rsid w:val="006F1EA3"/>
    <w:rsid w:val="006F2627"/>
    <w:rsid w:val="006F3568"/>
    <w:rsid w:val="006F40AD"/>
    <w:rsid w:val="006F4165"/>
    <w:rsid w:val="006F5CA0"/>
    <w:rsid w:val="006F6360"/>
    <w:rsid w:val="006F6436"/>
    <w:rsid w:val="006F65C5"/>
    <w:rsid w:val="006F687A"/>
    <w:rsid w:val="006F68EF"/>
    <w:rsid w:val="006F6D4C"/>
    <w:rsid w:val="006F6E67"/>
    <w:rsid w:val="006F7157"/>
    <w:rsid w:val="006F78E0"/>
    <w:rsid w:val="00702B1B"/>
    <w:rsid w:val="00703191"/>
    <w:rsid w:val="007032B3"/>
    <w:rsid w:val="007034FC"/>
    <w:rsid w:val="00704164"/>
    <w:rsid w:val="00705ADA"/>
    <w:rsid w:val="007063BD"/>
    <w:rsid w:val="00706A58"/>
    <w:rsid w:val="00707517"/>
    <w:rsid w:val="007078ED"/>
    <w:rsid w:val="00710187"/>
    <w:rsid w:val="007110E1"/>
    <w:rsid w:val="00711B18"/>
    <w:rsid w:val="00711BC4"/>
    <w:rsid w:val="00711FF2"/>
    <w:rsid w:val="007136A8"/>
    <w:rsid w:val="00714394"/>
    <w:rsid w:val="00714ED6"/>
    <w:rsid w:val="00715E8D"/>
    <w:rsid w:val="00721C26"/>
    <w:rsid w:val="00721F7E"/>
    <w:rsid w:val="0072262B"/>
    <w:rsid w:val="00722E29"/>
    <w:rsid w:val="00723ECB"/>
    <w:rsid w:val="0072419D"/>
    <w:rsid w:val="00724606"/>
    <w:rsid w:val="00724A36"/>
    <w:rsid w:val="00724A60"/>
    <w:rsid w:val="00724E85"/>
    <w:rsid w:val="0072525D"/>
    <w:rsid w:val="00726C2F"/>
    <w:rsid w:val="00726E8A"/>
    <w:rsid w:val="00727047"/>
    <w:rsid w:val="007310F4"/>
    <w:rsid w:val="007330A1"/>
    <w:rsid w:val="00734510"/>
    <w:rsid w:val="00734887"/>
    <w:rsid w:val="00734DDC"/>
    <w:rsid w:val="00734F37"/>
    <w:rsid w:val="0073508F"/>
    <w:rsid w:val="00735684"/>
    <w:rsid w:val="007365B6"/>
    <w:rsid w:val="007401E2"/>
    <w:rsid w:val="00740205"/>
    <w:rsid w:val="007411E5"/>
    <w:rsid w:val="00741605"/>
    <w:rsid w:val="007432B9"/>
    <w:rsid w:val="007436F2"/>
    <w:rsid w:val="0074436D"/>
    <w:rsid w:val="00746951"/>
    <w:rsid w:val="00746F65"/>
    <w:rsid w:val="007472C3"/>
    <w:rsid w:val="0074791E"/>
    <w:rsid w:val="00750948"/>
    <w:rsid w:val="00750998"/>
    <w:rsid w:val="0075115D"/>
    <w:rsid w:val="007519BE"/>
    <w:rsid w:val="00751A33"/>
    <w:rsid w:val="00752568"/>
    <w:rsid w:val="00753890"/>
    <w:rsid w:val="007555DF"/>
    <w:rsid w:val="0075651C"/>
    <w:rsid w:val="007569DC"/>
    <w:rsid w:val="0075711E"/>
    <w:rsid w:val="007579F2"/>
    <w:rsid w:val="00761434"/>
    <w:rsid w:val="00761763"/>
    <w:rsid w:val="00761FD5"/>
    <w:rsid w:val="00762B39"/>
    <w:rsid w:val="00762BB6"/>
    <w:rsid w:val="0076341D"/>
    <w:rsid w:val="0076446D"/>
    <w:rsid w:val="007647EF"/>
    <w:rsid w:val="00765006"/>
    <w:rsid w:val="00765D8F"/>
    <w:rsid w:val="00765DD8"/>
    <w:rsid w:val="00766B33"/>
    <w:rsid w:val="00766D36"/>
    <w:rsid w:val="00767607"/>
    <w:rsid w:val="00767ACD"/>
    <w:rsid w:val="007705B5"/>
    <w:rsid w:val="00771C6E"/>
    <w:rsid w:val="0077270D"/>
    <w:rsid w:val="00773874"/>
    <w:rsid w:val="00774637"/>
    <w:rsid w:val="00775D3B"/>
    <w:rsid w:val="0077615A"/>
    <w:rsid w:val="0077746A"/>
    <w:rsid w:val="007803BB"/>
    <w:rsid w:val="007806A0"/>
    <w:rsid w:val="00781FF6"/>
    <w:rsid w:val="00782346"/>
    <w:rsid w:val="007838CD"/>
    <w:rsid w:val="007840F3"/>
    <w:rsid w:val="007849C9"/>
    <w:rsid w:val="00785491"/>
    <w:rsid w:val="007858C0"/>
    <w:rsid w:val="0078679A"/>
    <w:rsid w:val="00786B58"/>
    <w:rsid w:val="007871FE"/>
    <w:rsid w:val="00787C89"/>
    <w:rsid w:val="00787C95"/>
    <w:rsid w:val="007908ED"/>
    <w:rsid w:val="00790F74"/>
    <w:rsid w:val="00791ECE"/>
    <w:rsid w:val="00792288"/>
    <w:rsid w:val="00792447"/>
    <w:rsid w:val="007928C6"/>
    <w:rsid w:val="00793193"/>
    <w:rsid w:val="00793318"/>
    <w:rsid w:val="0079694C"/>
    <w:rsid w:val="00796A60"/>
    <w:rsid w:val="007A0187"/>
    <w:rsid w:val="007A19AC"/>
    <w:rsid w:val="007A268F"/>
    <w:rsid w:val="007A29EC"/>
    <w:rsid w:val="007A3304"/>
    <w:rsid w:val="007A3439"/>
    <w:rsid w:val="007A4A53"/>
    <w:rsid w:val="007A4C93"/>
    <w:rsid w:val="007A4E17"/>
    <w:rsid w:val="007A6555"/>
    <w:rsid w:val="007A7F6D"/>
    <w:rsid w:val="007B0FBD"/>
    <w:rsid w:val="007B1BAF"/>
    <w:rsid w:val="007B2FE8"/>
    <w:rsid w:val="007B35F7"/>
    <w:rsid w:val="007B3B8D"/>
    <w:rsid w:val="007B4DD5"/>
    <w:rsid w:val="007B4F72"/>
    <w:rsid w:val="007B5148"/>
    <w:rsid w:val="007B5A16"/>
    <w:rsid w:val="007B605E"/>
    <w:rsid w:val="007B6121"/>
    <w:rsid w:val="007B66AE"/>
    <w:rsid w:val="007B7BF3"/>
    <w:rsid w:val="007C03FE"/>
    <w:rsid w:val="007C0E04"/>
    <w:rsid w:val="007C1423"/>
    <w:rsid w:val="007C17D3"/>
    <w:rsid w:val="007C1FA2"/>
    <w:rsid w:val="007C2827"/>
    <w:rsid w:val="007C3A26"/>
    <w:rsid w:val="007C3F64"/>
    <w:rsid w:val="007C4032"/>
    <w:rsid w:val="007C4CE1"/>
    <w:rsid w:val="007C537A"/>
    <w:rsid w:val="007C57D1"/>
    <w:rsid w:val="007C6B3E"/>
    <w:rsid w:val="007C7130"/>
    <w:rsid w:val="007C74E5"/>
    <w:rsid w:val="007C7823"/>
    <w:rsid w:val="007C7F57"/>
    <w:rsid w:val="007D0348"/>
    <w:rsid w:val="007D092A"/>
    <w:rsid w:val="007D0CA1"/>
    <w:rsid w:val="007D0E43"/>
    <w:rsid w:val="007D0ED4"/>
    <w:rsid w:val="007D13E7"/>
    <w:rsid w:val="007D1E37"/>
    <w:rsid w:val="007D358B"/>
    <w:rsid w:val="007D385C"/>
    <w:rsid w:val="007D4624"/>
    <w:rsid w:val="007D4C31"/>
    <w:rsid w:val="007D563E"/>
    <w:rsid w:val="007D5A49"/>
    <w:rsid w:val="007D5E6D"/>
    <w:rsid w:val="007D5FC1"/>
    <w:rsid w:val="007D6EB6"/>
    <w:rsid w:val="007D715A"/>
    <w:rsid w:val="007E08DB"/>
    <w:rsid w:val="007E0B17"/>
    <w:rsid w:val="007E0C90"/>
    <w:rsid w:val="007E0D90"/>
    <w:rsid w:val="007E0E9E"/>
    <w:rsid w:val="007E12DC"/>
    <w:rsid w:val="007E1760"/>
    <w:rsid w:val="007E21FB"/>
    <w:rsid w:val="007E3B9D"/>
    <w:rsid w:val="007E3C8B"/>
    <w:rsid w:val="007E3DB3"/>
    <w:rsid w:val="007E420B"/>
    <w:rsid w:val="007E474E"/>
    <w:rsid w:val="007E4932"/>
    <w:rsid w:val="007E4CAD"/>
    <w:rsid w:val="007E502C"/>
    <w:rsid w:val="007E516A"/>
    <w:rsid w:val="007E5BD7"/>
    <w:rsid w:val="007E6761"/>
    <w:rsid w:val="007E6E5D"/>
    <w:rsid w:val="007E75F0"/>
    <w:rsid w:val="007E7968"/>
    <w:rsid w:val="007E79AC"/>
    <w:rsid w:val="007E79C4"/>
    <w:rsid w:val="007E7CA6"/>
    <w:rsid w:val="007F00A2"/>
    <w:rsid w:val="007F013A"/>
    <w:rsid w:val="007F016A"/>
    <w:rsid w:val="007F0730"/>
    <w:rsid w:val="007F0ABC"/>
    <w:rsid w:val="007F1490"/>
    <w:rsid w:val="007F18B3"/>
    <w:rsid w:val="007F1D54"/>
    <w:rsid w:val="007F2078"/>
    <w:rsid w:val="007F2D90"/>
    <w:rsid w:val="007F346E"/>
    <w:rsid w:val="007F3F6F"/>
    <w:rsid w:val="007F48A9"/>
    <w:rsid w:val="007F4D4C"/>
    <w:rsid w:val="007F4E28"/>
    <w:rsid w:val="007F4F82"/>
    <w:rsid w:val="007F5A20"/>
    <w:rsid w:val="007F6D96"/>
    <w:rsid w:val="00800563"/>
    <w:rsid w:val="00801D7A"/>
    <w:rsid w:val="008020F2"/>
    <w:rsid w:val="00803F74"/>
    <w:rsid w:val="00804653"/>
    <w:rsid w:val="00804C48"/>
    <w:rsid w:val="0080505A"/>
    <w:rsid w:val="00806639"/>
    <w:rsid w:val="00806A84"/>
    <w:rsid w:val="00806F29"/>
    <w:rsid w:val="008073A4"/>
    <w:rsid w:val="008073F1"/>
    <w:rsid w:val="00807C6C"/>
    <w:rsid w:val="00807DD0"/>
    <w:rsid w:val="00810F93"/>
    <w:rsid w:val="008115ED"/>
    <w:rsid w:val="0081254B"/>
    <w:rsid w:val="0081340B"/>
    <w:rsid w:val="00815822"/>
    <w:rsid w:val="00815B93"/>
    <w:rsid w:val="00816585"/>
    <w:rsid w:val="00816C91"/>
    <w:rsid w:val="0081716E"/>
    <w:rsid w:val="0081760E"/>
    <w:rsid w:val="00817BB4"/>
    <w:rsid w:val="00817E4F"/>
    <w:rsid w:val="0082053B"/>
    <w:rsid w:val="00820F5B"/>
    <w:rsid w:val="00821021"/>
    <w:rsid w:val="008214BB"/>
    <w:rsid w:val="00821715"/>
    <w:rsid w:val="00821B58"/>
    <w:rsid w:val="00821F91"/>
    <w:rsid w:val="00822087"/>
    <w:rsid w:val="00822D4E"/>
    <w:rsid w:val="00822FBA"/>
    <w:rsid w:val="0082398C"/>
    <w:rsid w:val="00824CE7"/>
    <w:rsid w:val="00824FF1"/>
    <w:rsid w:val="00825196"/>
    <w:rsid w:val="00826F4C"/>
    <w:rsid w:val="00827772"/>
    <w:rsid w:val="00831388"/>
    <w:rsid w:val="00831573"/>
    <w:rsid w:val="008324C6"/>
    <w:rsid w:val="00833C51"/>
    <w:rsid w:val="00834550"/>
    <w:rsid w:val="008349A6"/>
    <w:rsid w:val="00835271"/>
    <w:rsid w:val="00835679"/>
    <w:rsid w:val="008377DA"/>
    <w:rsid w:val="008379C5"/>
    <w:rsid w:val="00837E81"/>
    <w:rsid w:val="00840953"/>
    <w:rsid w:val="00841F21"/>
    <w:rsid w:val="00842991"/>
    <w:rsid w:val="008429B0"/>
    <w:rsid w:val="00842DC4"/>
    <w:rsid w:val="00843900"/>
    <w:rsid w:val="008442FB"/>
    <w:rsid w:val="00844565"/>
    <w:rsid w:val="00844C5B"/>
    <w:rsid w:val="00845A15"/>
    <w:rsid w:val="0084632F"/>
    <w:rsid w:val="00846924"/>
    <w:rsid w:val="00852528"/>
    <w:rsid w:val="00852A1C"/>
    <w:rsid w:val="00852EBE"/>
    <w:rsid w:val="008543F7"/>
    <w:rsid w:val="008545DC"/>
    <w:rsid w:val="00854A7E"/>
    <w:rsid w:val="00855B06"/>
    <w:rsid w:val="00855F01"/>
    <w:rsid w:val="008563CE"/>
    <w:rsid w:val="00856B95"/>
    <w:rsid w:val="00856D1A"/>
    <w:rsid w:val="00857D29"/>
    <w:rsid w:val="008608CF"/>
    <w:rsid w:val="0086161C"/>
    <w:rsid w:val="00861DB0"/>
    <w:rsid w:val="0086225C"/>
    <w:rsid w:val="008629A8"/>
    <w:rsid w:val="00863225"/>
    <w:rsid w:val="00863ADA"/>
    <w:rsid w:val="008655FD"/>
    <w:rsid w:val="00865BAA"/>
    <w:rsid w:val="00865EC9"/>
    <w:rsid w:val="008671B1"/>
    <w:rsid w:val="008671FC"/>
    <w:rsid w:val="008677CB"/>
    <w:rsid w:val="0087056E"/>
    <w:rsid w:val="00870AF2"/>
    <w:rsid w:val="00870CB6"/>
    <w:rsid w:val="00871877"/>
    <w:rsid w:val="008737AE"/>
    <w:rsid w:val="00873AB5"/>
    <w:rsid w:val="00873FEA"/>
    <w:rsid w:val="0087419B"/>
    <w:rsid w:val="008744CC"/>
    <w:rsid w:val="00874592"/>
    <w:rsid w:val="008751C1"/>
    <w:rsid w:val="00875D37"/>
    <w:rsid w:val="00876C1B"/>
    <w:rsid w:val="00876E70"/>
    <w:rsid w:val="008804E1"/>
    <w:rsid w:val="008815B6"/>
    <w:rsid w:val="008818F6"/>
    <w:rsid w:val="00881D45"/>
    <w:rsid w:val="0088398E"/>
    <w:rsid w:val="00885182"/>
    <w:rsid w:val="0088647E"/>
    <w:rsid w:val="00886A97"/>
    <w:rsid w:val="00887E02"/>
    <w:rsid w:val="00890250"/>
    <w:rsid w:val="00890382"/>
    <w:rsid w:val="0089046A"/>
    <w:rsid w:val="00890B0A"/>
    <w:rsid w:val="00891106"/>
    <w:rsid w:val="00892833"/>
    <w:rsid w:val="008933A5"/>
    <w:rsid w:val="00893479"/>
    <w:rsid w:val="0089375D"/>
    <w:rsid w:val="008943CB"/>
    <w:rsid w:val="008946B9"/>
    <w:rsid w:val="008956DE"/>
    <w:rsid w:val="00896FCF"/>
    <w:rsid w:val="00897467"/>
    <w:rsid w:val="008A0882"/>
    <w:rsid w:val="008A10C1"/>
    <w:rsid w:val="008A114B"/>
    <w:rsid w:val="008A181A"/>
    <w:rsid w:val="008A1C47"/>
    <w:rsid w:val="008A2289"/>
    <w:rsid w:val="008A3346"/>
    <w:rsid w:val="008A3529"/>
    <w:rsid w:val="008A3766"/>
    <w:rsid w:val="008A4F66"/>
    <w:rsid w:val="008A5290"/>
    <w:rsid w:val="008A593A"/>
    <w:rsid w:val="008A69F1"/>
    <w:rsid w:val="008A6A60"/>
    <w:rsid w:val="008A6C5A"/>
    <w:rsid w:val="008A6CCA"/>
    <w:rsid w:val="008B1B8C"/>
    <w:rsid w:val="008B2C59"/>
    <w:rsid w:val="008B2DF3"/>
    <w:rsid w:val="008B376A"/>
    <w:rsid w:val="008B391C"/>
    <w:rsid w:val="008B444E"/>
    <w:rsid w:val="008B569F"/>
    <w:rsid w:val="008B6D75"/>
    <w:rsid w:val="008B7220"/>
    <w:rsid w:val="008C0669"/>
    <w:rsid w:val="008C08A5"/>
    <w:rsid w:val="008C1DD7"/>
    <w:rsid w:val="008C26FA"/>
    <w:rsid w:val="008C31D8"/>
    <w:rsid w:val="008C4566"/>
    <w:rsid w:val="008C46B6"/>
    <w:rsid w:val="008C4D40"/>
    <w:rsid w:val="008C522A"/>
    <w:rsid w:val="008C5A77"/>
    <w:rsid w:val="008C5C6A"/>
    <w:rsid w:val="008C5E71"/>
    <w:rsid w:val="008C64E3"/>
    <w:rsid w:val="008C6A8B"/>
    <w:rsid w:val="008C77F7"/>
    <w:rsid w:val="008D00EA"/>
    <w:rsid w:val="008D0D1E"/>
    <w:rsid w:val="008D1175"/>
    <w:rsid w:val="008D1627"/>
    <w:rsid w:val="008D1DA0"/>
    <w:rsid w:val="008D284E"/>
    <w:rsid w:val="008D4BB4"/>
    <w:rsid w:val="008D4ED3"/>
    <w:rsid w:val="008D54BF"/>
    <w:rsid w:val="008D56FA"/>
    <w:rsid w:val="008D5DC6"/>
    <w:rsid w:val="008D6182"/>
    <w:rsid w:val="008D6A11"/>
    <w:rsid w:val="008D6A2D"/>
    <w:rsid w:val="008D7270"/>
    <w:rsid w:val="008E0D4B"/>
    <w:rsid w:val="008E1C27"/>
    <w:rsid w:val="008E1E54"/>
    <w:rsid w:val="008E2057"/>
    <w:rsid w:val="008E31EC"/>
    <w:rsid w:val="008E3C88"/>
    <w:rsid w:val="008E4313"/>
    <w:rsid w:val="008E453C"/>
    <w:rsid w:val="008E4E17"/>
    <w:rsid w:val="008E5337"/>
    <w:rsid w:val="008E610D"/>
    <w:rsid w:val="008E6E90"/>
    <w:rsid w:val="008E75C6"/>
    <w:rsid w:val="008E78F2"/>
    <w:rsid w:val="008E7B12"/>
    <w:rsid w:val="008F022C"/>
    <w:rsid w:val="008F10AC"/>
    <w:rsid w:val="008F19A4"/>
    <w:rsid w:val="008F2A60"/>
    <w:rsid w:val="008F310D"/>
    <w:rsid w:val="008F3888"/>
    <w:rsid w:val="008F3B22"/>
    <w:rsid w:val="008F43C7"/>
    <w:rsid w:val="008F4823"/>
    <w:rsid w:val="008F4958"/>
    <w:rsid w:val="008F5431"/>
    <w:rsid w:val="008F606D"/>
    <w:rsid w:val="008F7150"/>
    <w:rsid w:val="008F71CC"/>
    <w:rsid w:val="008F721C"/>
    <w:rsid w:val="008F7712"/>
    <w:rsid w:val="00900662"/>
    <w:rsid w:val="00900728"/>
    <w:rsid w:val="009017C5"/>
    <w:rsid w:val="00901953"/>
    <w:rsid w:val="00901E55"/>
    <w:rsid w:val="00902166"/>
    <w:rsid w:val="00902CD8"/>
    <w:rsid w:val="009040A1"/>
    <w:rsid w:val="0090473B"/>
    <w:rsid w:val="0090487F"/>
    <w:rsid w:val="00905282"/>
    <w:rsid w:val="00905908"/>
    <w:rsid w:val="009075A4"/>
    <w:rsid w:val="00907957"/>
    <w:rsid w:val="00907E2A"/>
    <w:rsid w:val="009101AF"/>
    <w:rsid w:val="0091104F"/>
    <w:rsid w:val="00911808"/>
    <w:rsid w:val="00912EC6"/>
    <w:rsid w:val="009145FB"/>
    <w:rsid w:val="00914B1C"/>
    <w:rsid w:val="00914ED0"/>
    <w:rsid w:val="00915786"/>
    <w:rsid w:val="00916250"/>
    <w:rsid w:val="0091746C"/>
    <w:rsid w:val="009179C2"/>
    <w:rsid w:val="00917D06"/>
    <w:rsid w:val="009207DB"/>
    <w:rsid w:val="00920BD8"/>
    <w:rsid w:val="0092107A"/>
    <w:rsid w:val="00921FD8"/>
    <w:rsid w:val="00922024"/>
    <w:rsid w:val="00924853"/>
    <w:rsid w:val="009252E0"/>
    <w:rsid w:val="00925501"/>
    <w:rsid w:val="00926352"/>
    <w:rsid w:val="009265B2"/>
    <w:rsid w:val="00926982"/>
    <w:rsid w:val="00926D4C"/>
    <w:rsid w:val="009270C4"/>
    <w:rsid w:val="009314A6"/>
    <w:rsid w:val="00931D46"/>
    <w:rsid w:val="009325F7"/>
    <w:rsid w:val="00932AA5"/>
    <w:rsid w:val="00932BCF"/>
    <w:rsid w:val="00933396"/>
    <w:rsid w:val="0093471A"/>
    <w:rsid w:val="00934D73"/>
    <w:rsid w:val="00935042"/>
    <w:rsid w:val="0093740F"/>
    <w:rsid w:val="00937B4A"/>
    <w:rsid w:val="00937BE9"/>
    <w:rsid w:val="00937C1D"/>
    <w:rsid w:val="00940804"/>
    <w:rsid w:val="00940E9B"/>
    <w:rsid w:val="00940FC3"/>
    <w:rsid w:val="009410B3"/>
    <w:rsid w:val="0094131D"/>
    <w:rsid w:val="0094166C"/>
    <w:rsid w:val="00942120"/>
    <w:rsid w:val="0094245E"/>
    <w:rsid w:val="009425F7"/>
    <w:rsid w:val="0094303A"/>
    <w:rsid w:val="0094336D"/>
    <w:rsid w:val="00943BC0"/>
    <w:rsid w:val="00944BF0"/>
    <w:rsid w:val="009459DB"/>
    <w:rsid w:val="00946136"/>
    <w:rsid w:val="00946644"/>
    <w:rsid w:val="00946CD9"/>
    <w:rsid w:val="00947046"/>
    <w:rsid w:val="009505F4"/>
    <w:rsid w:val="00951216"/>
    <w:rsid w:val="0095279B"/>
    <w:rsid w:val="00952CFC"/>
    <w:rsid w:val="00954282"/>
    <w:rsid w:val="00954427"/>
    <w:rsid w:val="009564ED"/>
    <w:rsid w:val="00956CA2"/>
    <w:rsid w:val="0096079B"/>
    <w:rsid w:val="00961892"/>
    <w:rsid w:val="0096218D"/>
    <w:rsid w:val="00962832"/>
    <w:rsid w:val="00964509"/>
    <w:rsid w:val="00964D7B"/>
    <w:rsid w:val="0096501B"/>
    <w:rsid w:val="009653E0"/>
    <w:rsid w:val="00966567"/>
    <w:rsid w:val="0096662B"/>
    <w:rsid w:val="009666AF"/>
    <w:rsid w:val="00967180"/>
    <w:rsid w:val="0096797D"/>
    <w:rsid w:val="00970362"/>
    <w:rsid w:val="00970704"/>
    <w:rsid w:val="0097090E"/>
    <w:rsid w:val="00970B65"/>
    <w:rsid w:val="00971127"/>
    <w:rsid w:val="0097119E"/>
    <w:rsid w:val="009726DD"/>
    <w:rsid w:val="00972B2C"/>
    <w:rsid w:val="009734B8"/>
    <w:rsid w:val="00973514"/>
    <w:rsid w:val="009741E7"/>
    <w:rsid w:val="00974599"/>
    <w:rsid w:val="00975152"/>
    <w:rsid w:val="00975C75"/>
    <w:rsid w:val="00977506"/>
    <w:rsid w:val="0098177A"/>
    <w:rsid w:val="009822C0"/>
    <w:rsid w:val="00982C3C"/>
    <w:rsid w:val="009834F4"/>
    <w:rsid w:val="00983583"/>
    <w:rsid w:val="00983EFD"/>
    <w:rsid w:val="009841A0"/>
    <w:rsid w:val="009855B0"/>
    <w:rsid w:val="009858BD"/>
    <w:rsid w:val="009859A8"/>
    <w:rsid w:val="00985CB7"/>
    <w:rsid w:val="00986257"/>
    <w:rsid w:val="0098658A"/>
    <w:rsid w:val="00986861"/>
    <w:rsid w:val="00987CBC"/>
    <w:rsid w:val="00991EB0"/>
    <w:rsid w:val="0099212B"/>
    <w:rsid w:val="0099245F"/>
    <w:rsid w:val="00993410"/>
    <w:rsid w:val="00993B69"/>
    <w:rsid w:val="009951BB"/>
    <w:rsid w:val="00995768"/>
    <w:rsid w:val="00995837"/>
    <w:rsid w:val="00996326"/>
    <w:rsid w:val="00996714"/>
    <w:rsid w:val="00996F95"/>
    <w:rsid w:val="00997451"/>
    <w:rsid w:val="00997DDD"/>
    <w:rsid w:val="00997EA5"/>
    <w:rsid w:val="009A07D5"/>
    <w:rsid w:val="009A170D"/>
    <w:rsid w:val="009A1FE7"/>
    <w:rsid w:val="009A2967"/>
    <w:rsid w:val="009A36B7"/>
    <w:rsid w:val="009A3720"/>
    <w:rsid w:val="009A3990"/>
    <w:rsid w:val="009A3EB6"/>
    <w:rsid w:val="009A42CF"/>
    <w:rsid w:val="009A44E8"/>
    <w:rsid w:val="009A4613"/>
    <w:rsid w:val="009A581E"/>
    <w:rsid w:val="009B1989"/>
    <w:rsid w:val="009B1DA5"/>
    <w:rsid w:val="009B1DB2"/>
    <w:rsid w:val="009B1E1D"/>
    <w:rsid w:val="009B1E39"/>
    <w:rsid w:val="009B2567"/>
    <w:rsid w:val="009B28FD"/>
    <w:rsid w:val="009B2AD6"/>
    <w:rsid w:val="009B3172"/>
    <w:rsid w:val="009B31EB"/>
    <w:rsid w:val="009B461D"/>
    <w:rsid w:val="009B5594"/>
    <w:rsid w:val="009B59ED"/>
    <w:rsid w:val="009B6405"/>
    <w:rsid w:val="009B729E"/>
    <w:rsid w:val="009B7498"/>
    <w:rsid w:val="009C06AD"/>
    <w:rsid w:val="009C264B"/>
    <w:rsid w:val="009C34F1"/>
    <w:rsid w:val="009C3B80"/>
    <w:rsid w:val="009C3D84"/>
    <w:rsid w:val="009C48C6"/>
    <w:rsid w:val="009C5565"/>
    <w:rsid w:val="009C59CB"/>
    <w:rsid w:val="009C5D76"/>
    <w:rsid w:val="009C5DFB"/>
    <w:rsid w:val="009C5FDE"/>
    <w:rsid w:val="009C63B8"/>
    <w:rsid w:val="009C69B3"/>
    <w:rsid w:val="009C7B1D"/>
    <w:rsid w:val="009C7F10"/>
    <w:rsid w:val="009C7FF8"/>
    <w:rsid w:val="009D03F1"/>
    <w:rsid w:val="009D0921"/>
    <w:rsid w:val="009D0EEE"/>
    <w:rsid w:val="009D101B"/>
    <w:rsid w:val="009D118E"/>
    <w:rsid w:val="009D1CF4"/>
    <w:rsid w:val="009D1E4E"/>
    <w:rsid w:val="009D380F"/>
    <w:rsid w:val="009D3997"/>
    <w:rsid w:val="009D57A7"/>
    <w:rsid w:val="009D605C"/>
    <w:rsid w:val="009D65EE"/>
    <w:rsid w:val="009D707F"/>
    <w:rsid w:val="009E0525"/>
    <w:rsid w:val="009E0C53"/>
    <w:rsid w:val="009E1D1C"/>
    <w:rsid w:val="009E20A6"/>
    <w:rsid w:val="009E233F"/>
    <w:rsid w:val="009E323A"/>
    <w:rsid w:val="009E328B"/>
    <w:rsid w:val="009E459B"/>
    <w:rsid w:val="009E514C"/>
    <w:rsid w:val="009E67C1"/>
    <w:rsid w:val="009E67C3"/>
    <w:rsid w:val="009E6ACC"/>
    <w:rsid w:val="009E6DD0"/>
    <w:rsid w:val="009E6DEE"/>
    <w:rsid w:val="009E700C"/>
    <w:rsid w:val="009F05E4"/>
    <w:rsid w:val="009F082A"/>
    <w:rsid w:val="009F0BD9"/>
    <w:rsid w:val="009F0E6D"/>
    <w:rsid w:val="009F12B4"/>
    <w:rsid w:val="009F1F30"/>
    <w:rsid w:val="009F28E6"/>
    <w:rsid w:val="009F2E7B"/>
    <w:rsid w:val="009F33FA"/>
    <w:rsid w:val="009F347C"/>
    <w:rsid w:val="009F54D7"/>
    <w:rsid w:val="009F557F"/>
    <w:rsid w:val="009F6619"/>
    <w:rsid w:val="009F68FF"/>
    <w:rsid w:val="00A00E77"/>
    <w:rsid w:val="00A01A4C"/>
    <w:rsid w:val="00A01C1F"/>
    <w:rsid w:val="00A01C98"/>
    <w:rsid w:val="00A020F7"/>
    <w:rsid w:val="00A03C2C"/>
    <w:rsid w:val="00A054CB"/>
    <w:rsid w:val="00A05979"/>
    <w:rsid w:val="00A05E62"/>
    <w:rsid w:val="00A05E8F"/>
    <w:rsid w:val="00A05FEA"/>
    <w:rsid w:val="00A06A54"/>
    <w:rsid w:val="00A06B90"/>
    <w:rsid w:val="00A10423"/>
    <w:rsid w:val="00A10A6F"/>
    <w:rsid w:val="00A11126"/>
    <w:rsid w:val="00A115B1"/>
    <w:rsid w:val="00A118B4"/>
    <w:rsid w:val="00A129C6"/>
    <w:rsid w:val="00A14BDD"/>
    <w:rsid w:val="00A14EF8"/>
    <w:rsid w:val="00A15A52"/>
    <w:rsid w:val="00A1706F"/>
    <w:rsid w:val="00A1721D"/>
    <w:rsid w:val="00A173F8"/>
    <w:rsid w:val="00A210DB"/>
    <w:rsid w:val="00A21667"/>
    <w:rsid w:val="00A21C7B"/>
    <w:rsid w:val="00A220FB"/>
    <w:rsid w:val="00A223A5"/>
    <w:rsid w:val="00A23437"/>
    <w:rsid w:val="00A24A39"/>
    <w:rsid w:val="00A24BC5"/>
    <w:rsid w:val="00A2504C"/>
    <w:rsid w:val="00A253D5"/>
    <w:rsid w:val="00A25AA1"/>
    <w:rsid w:val="00A25DC9"/>
    <w:rsid w:val="00A266EC"/>
    <w:rsid w:val="00A26E5D"/>
    <w:rsid w:val="00A276A6"/>
    <w:rsid w:val="00A276FF"/>
    <w:rsid w:val="00A30C82"/>
    <w:rsid w:val="00A316CA"/>
    <w:rsid w:val="00A31A01"/>
    <w:rsid w:val="00A32211"/>
    <w:rsid w:val="00A338FB"/>
    <w:rsid w:val="00A33DEE"/>
    <w:rsid w:val="00A33FDC"/>
    <w:rsid w:val="00A34114"/>
    <w:rsid w:val="00A34C81"/>
    <w:rsid w:val="00A34E19"/>
    <w:rsid w:val="00A35448"/>
    <w:rsid w:val="00A35C90"/>
    <w:rsid w:val="00A362F9"/>
    <w:rsid w:val="00A36AE6"/>
    <w:rsid w:val="00A36F35"/>
    <w:rsid w:val="00A373CC"/>
    <w:rsid w:val="00A3760C"/>
    <w:rsid w:val="00A37704"/>
    <w:rsid w:val="00A37E59"/>
    <w:rsid w:val="00A40108"/>
    <w:rsid w:val="00A40A49"/>
    <w:rsid w:val="00A40D0C"/>
    <w:rsid w:val="00A41302"/>
    <w:rsid w:val="00A41C59"/>
    <w:rsid w:val="00A4291F"/>
    <w:rsid w:val="00A431B6"/>
    <w:rsid w:val="00A4350C"/>
    <w:rsid w:val="00A43644"/>
    <w:rsid w:val="00A4383B"/>
    <w:rsid w:val="00A44BB6"/>
    <w:rsid w:val="00A45734"/>
    <w:rsid w:val="00A45B90"/>
    <w:rsid w:val="00A462F7"/>
    <w:rsid w:val="00A46659"/>
    <w:rsid w:val="00A46F1A"/>
    <w:rsid w:val="00A47029"/>
    <w:rsid w:val="00A477C3"/>
    <w:rsid w:val="00A50299"/>
    <w:rsid w:val="00A5067A"/>
    <w:rsid w:val="00A533D5"/>
    <w:rsid w:val="00A5344D"/>
    <w:rsid w:val="00A5347B"/>
    <w:rsid w:val="00A54DE7"/>
    <w:rsid w:val="00A5510E"/>
    <w:rsid w:val="00A559F4"/>
    <w:rsid w:val="00A56547"/>
    <w:rsid w:val="00A57079"/>
    <w:rsid w:val="00A570E0"/>
    <w:rsid w:val="00A606A0"/>
    <w:rsid w:val="00A60A60"/>
    <w:rsid w:val="00A61263"/>
    <w:rsid w:val="00A614AD"/>
    <w:rsid w:val="00A61886"/>
    <w:rsid w:val="00A61E92"/>
    <w:rsid w:val="00A6296A"/>
    <w:rsid w:val="00A632CB"/>
    <w:rsid w:val="00A63D89"/>
    <w:rsid w:val="00A650F1"/>
    <w:rsid w:val="00A6526E"/>
    <w:rsid w:val="00A655AC"/>
    <w:rsid w:val="00A65DA4"/>
    <w:rsid w:val="00A66E04"/>
    <w:rsid w:val="00A67194"/>
    <w:rsid w:val="00A671B3"/>
    <w:rsid w:val="00A7040E"/>
    <w:rsid w:val="00A722EA"/>
    <w:rsid w:val="00A725AF"/>
    <w:rsid w:val="00A72686"/>
    <w:rsid w:val="00A72764"/>
    <w:rsid w:val="00A734F2"/>
    <w:rsid w:val="00A73DEE"/>
    <w:rsid w:val="00A74678"/>
    <w:rsid w:val="00A74FAD"/>
    <w:rsid w:val="00A75AEA"/>
    <w:rsid w:val="00A76063"/>
    <w:rsid w:val="00A767EB"/>
    <w:rsid w:val="00A771BF"/>
    <w:rsid w:val="00A77299"/>
    <w:rsid w:val="00A7744E"/>
    <w:rsid w:val="00A803C1"/>
    <w:rsid w:val="00A80A09"/>
    <w:rsid w:val="00A815B6"/>
    <w:rsid w:val="00A81953"/>
    <w:rsid w:val="00A81BBB"/>
    <w:rsid w:val="00A81BFD"/>
    <w:rsid w:val="00A827C9"/>
    <w:rsid w:val="00A82A03"/>
    <w:rsid w:val="00A83911"/>
    <w:rsid w:val="00A841F4"/>
    <w:rsid w:val="00A859F0"/>
    <w:rsid w:val="00A85B31"/>
    <w:rsid w:val="00A861F3"/>
    <w:rsid w:val="00A86B02"/>
    <w:rsid w:val="00A86C48"/>
    <w:rsid w:val="00A872D2"/>
    <w:rsid w:val="00A90065"/>
    <w:rsid w:val="00A902FB"/>
    <w:rsid w:val="00A90DB1"/>
    <w:rsid w:val="00A9147B"/>
    <w:rsid w:val="00A91BA8"/>
    <w:rsid w:val="00A91C6A"/>
    <w:rsid w:val="00A91EF1"/>
    <w:rsid w:val="00A91EF2"/>
    <w:rsid w:val="00A92509"/>
    <w:rsid w:val="00A92780"/>
    <w:rsid w:val="00A92C68"/>
    <w:rsid w:val="00A9325C"/>
    <w:rsid w:val="00A93419"/>
    <w:rsid w:val="00A93680"/>
    <w:rsid w:val="00A93999"/>
    <w:rsid w:val="00A9430B"/>
    <w:rsid w:val="00A94483"/>
    <w:rsid w:val="00A959CA"/>
    <w:rsid w:val="00A95FC0"/>
    <w:rsid w:val="00A961B6"/>
    <w:rsid w:val="00A96B12"/>
    <w:rsid w:val="00A96FC6"/>
    <w:rsid w:val="00A97A16"/>
    <w:rsid w:val="00A97B61"/>
    <w:rsid w:val="00A97C2E"/>
    <w:rsid w:val="00A97CE3"/>
    <w:rsid w:val="00A97E0C"/>
    <w:rsid w:val="00AA00F7"/>
    <w:rsid w:val="00AA01DA"/>
    <w:rsid w:val="00AA0F2F"/>
    <w:rsid w:val="00AA11BA"/>
    <w:rsid w:val="00AA128C"/>
    <w:rsid w:val="00AA2D62"/>
    <w:rsid w:val="00AA2E2C"/>
    <w:rsid w:val="00AA2E90"/>
    <w:rsid w:val="00AA3077"/>
    <w:rsid w:val="00AA375B"/>
    <w:rsid w:val="00AA38AF"/>
    <w:rsid w:val="00AA450C"/>
    <w:rsid w:val="00AA4B62"/>
    <w:rsid w:val="00AA4D5B"/>
    <w:rsid w:val="00AA50FC"/>
    <w:rsid w:val="00AA5EB3"/>
    <w:rsid w:val="00AA62B1"/>
    <w:rsid w:val="00AA6916"/>
    <w:rsid w:val="00AA6CB3"/>
    <w:rsid w:val="00AA79EF"/>
    <w:rsid w:val="00AA7E89"/>
    <w:rsid w:val="00AB110E"/>
    <w:rsid w:val="00AB11CF"/>
    <w:rsid w:val="00AB1287"/>
    <w:rsid w:val="00AB1CE8"/>
    <w:rsid w:val="00AB2D8B"/>
    <w:rsid w:val="00AB3307"/>
    <w:rsid w:val="00AB4E71"/>
    <w:rsid w:val="00AB4F72"/>
    <w:rsid w:val="00AB5190"/>
    <w:rsid w:val="00AB5513"/>
    <w:rsid w:val="00AB6DFC"/>
    <w:rsid w:val="00AB7354"/>
    <w:rsid w:val="00AB7C46"/>
    <w:rsid w:val="00AC317E"/>
    <w:rsid w:val="00AC3637"/>
    <w:rsid w:val="00AC3D4F"/>
    <w:rsid w:val="00AC3DB7"/>
    <w:rsid w:val="00AC4699"/>
    <w:rsid w:val="00AC4A30"/>
    <w:rsid w:val="00AC59DF"/>
    <w:rsid w:val="00AC72C7"/>
    <w:rsid w:val="00AC7899"/>
    <w:rsid w:val="00AD0617"/>
    <w:rsid w:val="00AD0D92"/>
    <w:rsid w:val="00AD13D6"/>
    <w:rsid w:val="00AD4087"/>
    <w:rsid w:val="00AD4242"/>
    <w:rsid w:val="00AD6A21"/>
    <w:rsid w:val="00AD6A9D"/>
    <w:rsid w:val="00AD6BE0"/>
    <w:rsid w:val="00AD6C14"/>
    <w:rsid w:val="00AD752F"/>
    <w:rsid w:val="00AD78AB"/>
    <w:rsid w:val="00AE0953"/>
    <w:rsid w:val="00AE0C8D"/>
    <w:rsid w:val="00AE0E2A"/>
    <w:rsid w:val="00AE1411"/>
    <w:rsid w:val="00AE2330"/>
    <w:rsid w:val="00AE45BF"/>
    <w:rsid w:val="00AE51FC"/>
    <w:rsid w:val="00AE55BC"/>
    <w:rsid w:val="00AE5BFC"/>
    <w:rsid w:val="00AE5E51"/>
    <w:rsid w:val="00AE62E7"/>
    <w:rsid w:val="00AE686D"/>
    <w:rsid w:val="00AE6B27"/>
    <w:rsid w:val="00AE6C42"/>
    <w:rsid w:val="00AF0289"/>
    <w:rsid w:val="00AF0DC0"/>
    <w:rsid w:val="00AF0F96"/>
    <w:rsid w:val="00AF21D7"/>
    <w:rsid w:val="00AF28EB"/>
    <w:rsid w:val="00AF2961"/>
    <w:rsid w:val="00AF31BA"/>
    <w:rsid w:val="00AF36B6"/>
    <w:rsid w:val="00AF4803"/>
    <w:rsid w:val="00AF4847"/>
    <w:rsid w:val="00AF4D10"/>
    <w:rsid w:val="00AF58CB"/>
    <w:rsid w:val="00AF726F"/>
    <w:rsid w:val="00B00506"/>
    <w:rsid w:val="00B00ED5"/>
    <w:rsid w:val="00B020A3"/>
    <w:rsid w:val="00B02315"/>
    <w:rsid w:val="00B0272F"/>
    <w:rsid w:val="00B02B21"/>
    <w:rsid w:val="00B02BF0"/>
    <w:rsid w:val="00B034DD"/>
    <w:rsid w:val="00B034FF"/>
    <w:rsid w:val="00B03AB4"/>
    <w:rsid w:val="00B05B91"/>
    <w:rsid w:val="00B06ED4"/>
    <w:rsid w:val="00B07639"/>
    <w:rsid w:val="00B077CC"/>
    <w:rsid w:val="00B079B3"/>
    <w:rsid w:val="00B07A28"/>
    <w:rsid w:val="00B12A7A"/>
    <w:rsid w:val="00B13397"/>
    <w:rsid w:val="00B1400D"/>
    <w:rsid w:val="00B147C9"/>
    <w:rsid w:val="00B14880"/>
    <w:rsid w:val="00B1531E"/>
    <w:rsid w:val="00B15BB2"/>
    <w:rsid w:val="00B15C46"/>
    <w:rsid w:val="00B166D7"/>
    <w:rsid w:val="00B16EBE"/>
    <w:rsid w:val="00B21085"/>
    <w:rsid w:val="00B21D0E"/>
    <w:rsid w:val="00B2231A"/>
    <w:rsid w:val="00B22C57"/>
    <w:rsid w:val="00B23C76"/>
    <w:rsid w:val="00B23EEE"/>
    <w:rsid w:val="00B25FC8"/>
    <w:rsid w:val="00B26C04"/>
    <w:rsid w:val="00B27298"/>
    <w:rsid w:val="00B27384"/>
    <w:rsid w:val="00B276E4"/>
    <w:rsid w:val="00B27A6D"/>
    <w:rsid w:val="00B309F9"/>
    <w:rsid w:val="00B30DAD"/>
    <w:rsid w:val="00B31782"/>
    <w:rsid w:val="00B332D7"/>
    <w:rsid w:val="00B347F6"/>
    <w:rsid w:val="00B34940"/>
    <w:rsid w:val="00B36928"/>
    <w:rsid w:val="00B37293"/>
    <w:rsid w:val="00B4076A"/>
    <w:rsid w:val="00B413EB"/>
    <w:rsid w:val="00B4224A"/>
    <w:rsid w:val="00B42C20"/>
    <w:rsid w:val="00B433FF"/>
    <w:rsid w:val="00B43AD9"/>
    <w:rsid w:val="00B43BE2"/>
    <w:rsid w:val="00B443D5"/>
    <w:rsid w:val="00B44482"/>
    <w:rsid w:val="00B450D9"/>
    <w:rsid w:val="00B465AF"/>
    <w:rsid w:val="00B46FF2"/>
    <w:rsid w:val="00B50AB8"/>
    <w:rsid w:val="00B539EB"/>
    <w:rsid w:val="00B53CB7"/>
    <w:rsid w:val="00B547E9"/>
    <w:rsid w:val="00B54B76"/>
    <w:rsid w:val="00B55ECC"/>
    <w:rsid w:val="00B560E5"/>
    <w:rsid w:val="00B576E1"/>
    <w:rsid w:val="00B6088D"/>
    <w:rsid w:val="00B608F1"/>
    <w:rsid w:val="00B60D5D"/>
    <w:rsid w:val="00B60F79"/>
    <w:rsid w:val="00B61EFF"/>
    <w:rsid w:val="00B6252C"/>
    <w:rsid w:val="00B62CBE"/>
    <w:rsid w:val="00B62EFD"/>
    <w:rsid w:val="00B63999"/>
    <w:rsid w:val="00B63B4A"/>
    <w:rsid w:val="00B64F8D"/>
    <w:rsid w:val="00B6533C"/>
    <w:rsid w:val="00B6731A"/>
    <w:rsid w:val="00B673CA"/>
    <w:rsid w:val="00B6763D"/>
    <w:rsid w:val="00B705BF"/>
    <w:rsid w:val="00B70903"/>
    <w:rsid w:val="00B7108D"/>
    <w:rsid w:val="00B7117A"/>
    <w:rsid w:val="00B7126A"/>
    <w:rsid w:val="00B712B0"/>
    <w:rsid w:val="00B713F0"/>
    <w:rsid w:val="00B71CCD"/>
    <w:rsid w:val="00B72053"/>
    <w:rsid w:val="00B7245A"/>
    <w:rsid w:val="00B7269D"/>
    <w:rsid w:val="00B74530"/>
    <w:rsid w:val="00B74E4D"/>
    <w:rsid w:val="00B74EAA"/>
    <w:rsid w:val="00B75D3F"/>
    <w:rsid w:val="00B75D4C"/>
    <w:rsid w:val="00B76494"/>
    <w:rsid w:val="00B765D6"/>
    <w:rsid w:val="00B76F2C"/>
    <w:rsid w:val="00B77723"/>
    <w:rsid w:val="00B77863"/>
    <w:rsid w:val="00B801AC"/>
    <w:rsid w:val="00B815D3"/>
    <w:rsid w:val="00B8270D"/>
    <w:rsid w:val="00B82B33"/>
    <w:rsid w:val="00B83014"/>
    <w:rsid w:val="00B8384C"/>
    <w:rsid w:val="00B843A1"/>
    <w:rsid w:val="00B854BE"/>
    <w:rsid w:val="00B85704"/>
    <w:rsid w:val="00B865D5"/>
    <w:rsid w:val="00B868D6"/>
    <w:rsid w:val="00B86D0A"/>
    <w:rsid w:val="00B8748B"/>
    <w:rsid w:val="00B87B3F"/>
    <w:rsid w:val="00B90864"/>
    <w:rsid w:val="00B91818"/>
    <w:rsid w:val="00B922D6"/>
    <w:rsid w:val="00B937C9"/>
    <w:rsid w:val="00B93E18"/>
    <w:rsid w:val="00B93E2C"/>
    <w:rsid w:val="00B94BE5"/>
    <w:rsid w:val="00B956D6"/>
    <w:rsid w:val="00B96069"/>
    <w:rsid w:val="00BA07EB"/>
    <w:rsid w:val="00BA0A76"/>
    <w:rsid w:val="00BA0C0C"/>
    <w:rsid w:val="00BA11A9"/>
    <w:rsid w:val="00BA22D5"/>
    <w:rsid w:val="00BA30C2"/>
    <w:rsid w:val="00BA31C6"/>
    <w:rsid w:val="00BA3896"/>
    <w:rsid w:val="00BA398B"/>
    <w:rsid w:val="00BA3FA0"/>
    <w:rsid w:val="00BA4B0A"/>
    <w:rsid w:val="00BA4E23"/>
    <w:rsid w:val="00BA5FC3"/>
    <w:rsid w:val="00BA699B"/>
    <w:rsid w:val="00BA76AB"/>
    <w:rsid w:val="00BB0225"/>
    <w:rsid w:val="00BB0423"/>
    <w:rsid w:val="00BB1D73"/>
    <w:rsid w:val="00BB2CE4"/>
    <w:rsid w:val="00BB3A53"/>
    <w:rsid w:val="00BB42D2"/>
    <w:rsid w:val="00BB6ECF"/>
    <w:rsid w:val="00BB74B3"/>
    <w:rsid w:val="00BB777A"/>
    <w:rsid w:val="00BC01C0"/>
    <w:rsid w:val="00BC06FE"/>
    <w:rsid w:val="00BC1765"/>
    <w:rsid w:val="00BC1FD6"/>
    <w:rsid w:val="00BC25D7"/>
    <w:rsid w:val="00BC320C"/>
    <w:rsid w:val="00BC3AAC"/>
    <w:rsid w:val="00BC416A"/>
    <w:rsid w:val="00BC4883"/>
    <w:rsid w:val="00BC5454"/>
    <w:rsid w:val="00BC5C82"/>
    <w:rsid w:val="00BC5F7F"/>
    <w:rsid w:val="00BC6ED6"/>
    <w:rsid w:val="00BC74EE"/>
    <w:rsid w:val="00BC777E"/>
    <w:rsid w:val="00BC7851"/>
    <w:rsid w:val="00BC7C1A"/>
    <w:rsid w:val="00BC7DFA"/>
    <w:rsid w:val="00BD1A86"/>
    <w:rsid w:val="00BD219A"/>
    <w:rsid w:val="00BD2864"/>
    <w:rsid w:val="00BD2C42"/>
    <w:rsid w:val="00BD2EF9"/>
    <w:rsid w:val="00BD2F1D"/>
    <w:rsid w:val="00BD3193"/>
    <w:rsid w:val="00BD3997"/>
    <w:rsid w:val="00BD4CD3"/>
    <w:rsid w:val="00BD503A"/>
    <w:rsid w:val="00BD5D7E"/>
    <w:rsid w:val="00BD633B"/>
    <w:rsid w:val="00BD6EF9"/>
    <w:rsid w:val="00BD754C"/>
    <w:rsid w:val="00BD78C6"/>
    <w:rsid w:val="00BE01E1"/>
    <w:rsid w:val="00BE0B17"/>
    <w:rsid w:val="00BE1308"/>
    <w:rsid w:val="00BE13BD"/>
    <w:rsid w:val="00BE14BF"/>
    <w:rsid w:val="00BE15DA"/>
    <w:rsid w:val="00BE19AD"/>
    <w:rsid w:val="00BE33B9"/>
    <w:rsid w:val="00BE369C"/>
    <w:rsid w:val="00BE3E84"/>
    <w:rsid w:val="00BE468E"/>
    <w:rsid w:val="00BE4FBC"/>
    <w:rsid w:val="00BE5B7C"/>
    <w:rsid w:val="00BE72FD"/>
    <w:rsid w:val="00BE733C"/>
    <w:rsid w:val="00BE73D4"/>
    <w:rsid w:val="00BE7AF2"/>
    <w:rsid w:val="00BF0EA2"/>
    <w:rsid w:val="00BF1B1F"/>
    <w:rsid w:val="00BF1EF8"/>
    <w:rsid w:val="00BF25A9"/>
    <w:rsid w:val="00BF2DE5"/>
    <w:rsid w:val="00BF4132"/>
    <w:rsid w:val="00BF4C49"/>
    <w:rsid w:val="00BF4D1A"/>
    <w:rsid w:val="00BF5168"/>
    <w:rsid w:val="00BF5A5B"/>
    <w:rsid w:val="00BF6338"/>
    <w:rsid w:val="00BF6C4B"/>
    <w:rsid w:val="00BF6D56"/>
    <w:rsid w:val="00BF71A4"/>
    <w:rsid w:val="00BF7866"/>
    <w:rsid w:val="00C00D03"/>
    <w:rsid w:val="00C00D9C"/>
    <w:rsid w:val="00C01DFC"/>
    <w:rsid w:val="00C0270E"/>
    <w:rsid w:val="00C0282B"/>
    <w:rsid w:val="00C047A4"/>
    <w:rsid w:val="00C05013"/>
    <w:rsid w:val="00C056F4"/>
    <w:rsid w:val="00C067E0"/>
    <w:rsid w:val="00C0773D"/>
    <w:rsid w:val="00C07AF1"/>
    <w:rsid w:val="00C07F7C"/>
    <w:rsid w:val="00C1025D"/>
    <w:rsid w:val="00C11733"/>
    <w:rsid w:val="00C125B1"/>
    <w:rsid w:val="00C12CC1"/>
    <w:rsid w:val="00C12D93"/>
    <w:rsid w:val="00C12EE2"/>
    <w:rsid w:val="00C139DE"/>
    <w:rsid w:val="00C13B55"/>
    <w:rsid w:val="00C13CB8"/>
    <w:rsid w:val="00C14152"/>
    <w:rsid w:val="00C14EED"/>
    <w:rsid w:val="00C151CE"/>
    <w:rsid w:val="00C151E6"/>
    <w:rsid w:val="00C15BBB"/>
    <w:rsid w:val="00C17201"/>
    <w:rsid w:val="00C17487"/>
    <w:rsid w:val="00C205A4"/>
    <w:rsid w:val="00C208A7"/>
    <w:rsid w:val="00C2092E"/>
    <w:rsid w:val="00C20F37"/>
    <w:rsid w:val="00C213FD"/>
    <w:rsid w:val="00C21C42"/>
    <w:rsid w:val="00C23520"/>
    <w:rsid w:val="00C243D8"/>
    <w:rsid w:val="00C24AE3"/>
    <w:rsid w:val="00C25082"/>
    <w:rsid w:val="00C2570A"/>
    <w:rsid w:val="00C261DE"/>
    <w:rsid w:val="00C265D4"/>
    <w:rsid w:val="00C26859"/>
    <w:rsid w:val="00C26DC6"/>
    <w:rsid w:val="00C27447"/>
    <w:rsid w:val="00C275FC"/>
    <w:rsid w:val="00C27ADE"/>
    <w:rsid w:val="00C30615"/>
    <w:rsid w:val="00C30715"/>
    <w:rsid w:val="00C30D84"/>
    <w:rsid w:val="00C3131B"/>
    <w:rsid w:val="00C317A7"/>
    <w:rsid w:val="00C31BDF"/>
    <w:rsid w:val="00C321CD"/>
    <w:rsid w:val="00C33614"/>
    <w:rsid w:val="00C33AEC"/>
    <w:rsid w:val="00C34FA1"/>
    <w:rsid w:val="00C351F9"/>
    <w:rsid w:val="00C35BB1"/>
    <w:rsid w:val="00C35C8E"/>
    <w:rsid w:val="00C3691B"/>
    <w:rsid w:val="00C36B1D"/>
    <w:rsid w:val="00C3742C"/>
    <w:rsid w:val="00C410D2"/>
    <w:rsid w:val="00C41363"/>
    <w:rsid w:val="00C42A78"/>
    <w:rsid w:val="00C437D6"/>
    <w:rsid w:val="00C43C85"/>
    <w:rsid w:val="00C45DAE"/>
    <w:rsid w:val="00C4601D"/>
    <w:rsid w:val="00C509D2"/>
    <w:rsid w:val="00C5115B"/>
    <w:rsid w:val="00C51CCA"/>
    <w:rsid w:val="00C52718"/>
    <w:rsid w:val="00C53131"/>
    <w:rsid w:val="00C54473"/>
    <w:rsid w:val="00C552D3"/>
    <w:rsid w:val="00C55945"/>
    <w:rsid w:val="00C55D94"/>
    <w:rsid w:val="00C55DCB"/>
    <w:rsid w:val="00C55FBB"/>
    <w:rsid w:val="00C56C35"/>
    <w:rsid w:val="00C56DC4"/>
    <w:rsid w:val="00C57582"/>
    <w:rsid w:val="00C57DE8"/>
    <w:rsid w:val="00C608EF"/>
    <w:rsid w:val="00C60BA6"/>
    <w:rsid w:val="00C612BB"/>
    <w:rsid w:val="00C612BF"/>
    <w:rsid w:val="00C61338"/>
    <w:rsid w:val="00C6207E"/>
    <w:rsid w:val="00C62848"/>
    <w:rsid w:val="00C62971"/>
    <w:rsid w:val="00C6324D"/>
    <w:rsid w:val="00C6350E"/>
    <w:rsid w:val="00C637A7"/>
    <w:rsid w:val="00C64FAE"/>
    <w:rsid w:val="00C64FD6"/>
    <w:rsid w:val="00C66344"/>
    <w:rsid w:val="00C66EDC"/>
    <w:rsid w:val="00C674F7"/>
    <w:rsid w:val="00C67C0F"/>
    <w:rsid w:val="00C67D05"/>
    <w:rsid w:val="00C7020A"/>
    <w:rsid w:val="00C70C70"/>
    <w:rsid w:val="00C71148"/>
    <w:rsid w:val="00C714EE"/>
    <w:rsid w:val="00C71C24"/>
    <w:rsid w:val="00C731E1"/>
    <w:rsid w:val="00C73259"/>
    <w:rsid w:val="00C74021"/>
    <w:rsid w:val="00C745D7"/>
    <w:rsid w:val="00C768B7"/>
    <w:rsid w:val="00C7702A"/>
    <w:rsid w:val="00C773C8"/>
    <w:rsid w:val="00C776E6"/>
    <w:rsid w:val="00C80A25"/>
    <w:rsid w:val="00C80E5E"/>
    <w:rsid w:val="00C82930"/>
    <w:rsid w:val="00C82C9E"/>
    <w:rsid w:val="00C83471"/>
    <w:rsid w:val="00C83538"/>
    <w:rsid w:val="00C841BF"/>
    <w:rsid w:val="00C84695"/>
    <w:rsid w:val="00C8531E"/>
    <w:rsid w:val="00C85560"/>
    <w:rsid w:val="00C85A50"/>
    <w:rsid w:val="00C85B6C"/>
    <w:rsid w:val="00C85ECE"/>
    <w:rsid w:val="00C86870"/>
    <w:rsid w:val="00C86BFE"/>
    <w:rsid w:val="00C86D8A"/>
    <w:rsid w:val="00C86FF3"/>
    <w:rsid w:val="00C87E2F"/>
    <w:rsid w:val="00C900B0"/>
    <w:rsid w:val="00C9080B"/>
    <w:rsid w:val="00C90EA7"/>
    <w:rsid w:val="00C90EF9"/>
    <w:rsid w:val="00C9146C"/>
    <w:rsid w:val="00C92931"/>
    <w:rsid w:val="00C92949"/>
    <w:rsid w:val="00C9312F"/>
    <w:rsid w:val="00C94499"/>
    <w:rsid w:val="00C9491A"/>
    <w:rsid w:val="00C94BE9"/>
    <w:rsid w:val="00C9595B"/>
    <w:rsid w:val="00C95DD7"/>
    <w:rsid w:val="00C95DDD"/>
    <w:rsid w:val="00C95ED6"/>
    <w:rsid w:val="00C96BBB"/>
    <w:rsid w:val="00CA04D5"/>
    <w:rsid w:val="00CA1908"/>
    <w:rsid w:val="00CA1AC8"/>
    <w:rsid w:val="00CA1FB0"/>
    <w:rsid w:val="00CA24D1"/>
    <w:rsid w:val="00CA29EC"/>
    <w:rsid w:val="00CA39CC"/>
    <w:rsid w:val="00CA403D"/>
    <w:rsid w:val="00CA4743"/>
    <w:rsid w:val="00CA57FE"/>
    <w:rsid w:val="00CA584F"/>
    <w:rsid w:val="00CA5FF6"/>
    <w:rsid w:val="00CA6F32"/>
    <w:rsid w:val="00CA735E"/>
    <w:rsid w:val="00CA7C9B"/>
    <w:rsid w:val="00CB01B1"/>
    <w:rsid w:val="00CB138F"/>
    <w:rsid w:val="00CB13CF"/>
    <w:rsid w:val="00CB13E0"/>
    <w:rsid w:val="00CB1444"/>
    <w:rsid w:val="00CB2BFB"/>
    <w:rsid w:val="00CB2F02"/>
    <w:rsid w:val="00CB44CC"/>
    <w:rsid w:val="00CB4522"/>
    <w:rsid w:val="00CB568E"/>
    <w:rsid w:val="00CB6A17"/>
    <w:rsid w:val="00CB76B8"/>
    <w:rsid w:val="00CB7703"/>
    <w:rsid w:val="00CB77EE"/>
    <w:rsid w:val="00CB783B"/>
    <w:rsid w:val="00CB7AE2"/>
    <w:rsid w:val="00CC1C1E"/>
    <w:rsid w:val="00CC2611"/>
    <w:rsid w:val="00CC2803"/>
    <w:rsid w:val="00CC295E"/>
    <w:rsid w:val="00CC48D6"/>
    <w:rsid w:val="00CC544C"/>
    <w:rsid w:val="00CC559E"/>
    <w:rsid w:val="00CC707F"/>
    <w:rsid w:val="00CC708A"/>
    <w:rsid w:val="00CC79CD"/>
    <w:rsid w:val="00CC7A97"/>
    <w:rsid w:val="00CD0037"/>
    <w:rsid w:val="00CD1841"/>
    <w:rsid w:val="00CD1BF1"/>
    <w:rsid w:val="00CD27CD"/>
    <w:rsid w:val="00CD376E"/>
    <w:rsid w:val="00CD3F10"/>
    <w:rsid w:val="00CD4BF8"/>
    <w:rsid w:val="00CD52CD"/>
    <w:rsid w:val="00CD5617"/>
    <w:rsid w:val="00CD652E"/>
    <w:rsid w:val="00CD68DD"/>
    <w:rsid w:val="00CD7B8B"/>
    <w:rsid w:val="00CE01F8"/>
    <w:rsid w:val="00CE0A4D"/>
    <w:rsid w:val="00CE24B9"/>
    <w:rsid w:val="00CE271E"/>
    <w:rsid w:val="00CE2B04"/>
    <w:rsid w:val="00CE332F"/>
    <w:rsid w:val="00CE3E8B"/>
    <w:rsid w:val="00CE3EAC"/>
    <w:rsid w:val="00CE47DC"/>
    <w:rsid w:val="00CE5298"/>
    <w:rsid w:val="00CE5322"/>
    <w:rsid w:val="00CE58EB"/>
    <w:rsid w:val="00CE5F14"/>
    <w:rsid w:val="00CE66DA"/>
    <w:rsid w:val="00CE7BB6"/>
    <w:rsid w:val="00CF0041"/>
    <w:rsid w:val="00CF029F"/>
    <w:rsid w:val="00CF0D4B"/>
    <w:rsid w:val="00CF2605"/>
    <w:rsid w:val="00CF2804"/>
    <w:rsid w:val="00CF35B2"/>
    <w:rsid w:val="00CF37DF"/>
    <w:rsid w:val="00CF38D4"/>
    <w:rsid w:val="00CF51D7"/>
    <w:rsid w:val="00CF5C07"/>
    <w:rsid w:val="00CF5CFC"/>
    <w:rsid w:val="00CF7B1C"/>
    <w:rsid w:val="00CF7C63"/>
    <w:rsid w:val="00D000FD"/>
    <w:rsid w:val="00D00AF5"/>
    <w:rsid w:val="00D00D67"/>
    <w:rsid w:val="00D00E75"/>
    <w:rsid w:val="00D01917"/>
    <w:rsid w:val="00D01EBC"/>
    <w:rsid w:val="00D02BCB"/>
    <w:rsid w:val="00D037B2"/>
    <w:rsid w:val="00D03DE1"/>
    <w:rsid w:val="00D03EDD"/>
    <w:rsid w:val="00D03EEF"/>
    <w:rsid w:val="00D04A0C"/>
    <w:rsid w:val="00D04EFA"/>
    <w:rsid w:val="00D04F08"/>
    <w:rsid w:val="00D050BB"/>
    <w:rsid w:val="00D05C89"/>
    <w:rsid w:val="00D06CE9"/>
    <w:rsid w:val="00D07087"/>
    <w:rsid w:val="00D07A1B"/>
    <w:rsid w:val="00D07E2A"/>
    <w:rsid w:val="00D10C92"/>
    <w:rsid w:val="00D10F08"/>
    <w:rsid w:val="00D11666"/>
    <w:rsid w:val="00D11D07"/>
    <w:rsid w:val="00D12384"/>
    <w:rsid w:val="00D1311E"/>
    <w:rsid w:val="00D138F2"/>
    <w:rsid w:val="00D1489F"/>
    <w:rsid w:val="00D151DE"/>
    <w:rsid w:val="00D159F8"/>
    <w:rsid w:val="00D15DD2"/>
    <w:rsid w:val="00D16887"/>
    <w:rsid w:val="00D16E55"/>
    <w:rsid w:val="00D16ECF"/>
    <w:rsid w:val="00D174AC"/>
    <w:rsid w:val="00D17C04"/>
    <w:rsid w:val="00D17CFB"/>
    <w:rsid w:val="00D17E3E"/>
    <w:rsid w:val="00D17F0E"/>
    <w:rsid w:val="00D2046D"/>
    <w:rsid w:val="00D212EA"/>
    <w:rsid w:val="00D21820"/>
    <w:rsid w:val="00D21E07"/>
    <w:rsid w:val="00D2255E"/>
    <w:rsid w:val="00D226B9"/>
    <w:rsid w:val="00D228E0"/>
    <w:rsid w:val="00D22BD4"/>
    <w:rsid w:val="00D23437"/>
    <w:rsid w:val="00D2372E"/>
    <w:rsid w:val="00D2373E"/>
    <w:rsid w:val="00D239F4"/>
    <w:rsid w:val="00D2459A"/>
    <w:rsid w:val="00D248D9"/>
    <w:rsid w:val="00D24CD7"/>
    <w:rsid w:val="00D25286"/>
    <w:rsid w:val="00D27131"/>
    <w:rsid w:val="00D27250"/>
    <w:rsid w:val="00D315B5"/>
    <w:rsid w:val="00D31AD0"/>
    <w:rsid w:val="00D31BBD"/>
    <w:rsid w:val="00D3237B"/>
    <w:rsid w:val="00D32A61"/>
    <w:rsid w:val="00D32D6E"/>
    <w:rsid w:val="00D332D7"/>
    <w:rsid w:val="00D34A58"/>
    <w:rsid w:val="00D34E83"/>
    <w:rsid w:val="00D35189"/>
    <w:rsid w:val="00D352D0"/>
    <w:rsid w:val="00D35D01"/>
    <w:rsid w:val="00D3725D"/>
    <w:rsid w:val="00D37354"/>
    <w:rsid w:val="00D404B1"/>
    <w:rsid w:val="00D4104F"/>
    <w:rsid w:val="00D41A27"/>
    <w:rsid w:val="00D43626"/>
    <w:rsid w:val="00D43988"/>
    <w:rsid w:val="00D441B6"/>
    <w:rsid w:val="00D458B7"/>
    <w:rsid w:val="00D46189"/>
    <w:rsid w:val="00D4707E"/>
    <w:rsid w:val="00D47238"/>
    <w:rsid w:val="00D4762C"/>
    <w:rsid w:val="00D47867"/>
    <w:rsid w:val="00D47EAF"/>
    <w:rsid w:val="00D50663"/>
    <w:rsid w:val="00D50B2A"/>
    <w:rsid w:val="00D51517"/>
    <w:rsid w:val="00D52D7F"/>
    <w:rsid w:val="00D53034"/>
    <w:rsid w:val="00D541A8"/>
    <w:rsid w:val="00D551EE"/>
    <w:rsid w:val="00D5549B"/>
    <w:rsid w:val="00D55573"/>
    <w:rsid w:val="00D55A05"/>
    <w:rsid w:val="00D562A8"/>
    <w:rsid w:val="00D61A9F"/>
    <w:rsid w:val="00D61EDD"/>
    <w:rsid w:val="00D628AF"/>
    <w:rsid w:val="00D6294B"/>
    <w:rsid w:val="00D639D3"/>
    <w:rsid w:val="00D654F8"/>
    <w:rsid w:val="00D66697"/>
    <w:rsid w:val="00D676B3"/>
    <w:rsid w:val="00D6787A"/>
    <w:rsid w:val="00D67ACA"/>
    <w:rsid w:val="00D67F69"/>
    <w:rsid w:val="00D70FB0"/>
    <w:rsid w:val="00D71103"/>
    <w:rsid w:val="00D71213"/>
    <w:rsid w:val="00D713E4"/>
    <w:rsid w:val="00D7152B"/>
    <w:rsid w:val="00D72980"/>
    <w:rsid w:val="00D72FAD"/>
    <w:rsid w:val="00D7314F"/>
    <w:rsid w:val="00D73259"/>
    <w:rsid w:val="00D73AF1"/>
    <w:rsid w:val="00D73E64"/>
    <w:rsid w:val="00D74504"/>
    <w:rsid w:val="00D74639"/>
    <w:rsid w:val="00D74926"/>
    <w:rsid w:val="00D752F1"/>
    <w:rsid w:val="00D75449"/>
    <w:rsid w:val="00D76848"/>
    <w:rsid w:val="00D770D5"/>
    <w:rsid w:val="00D806A9"/>
    <w:rsid w:val="00D809B7"/>
    <w:rsid w:val="00D812A9"/>
    <w:rsid w:val="00D813B0"/>
    <w:rsid w:val="00D8141C"/>
    <w:rsid w:val="00D81A57"/>
    <w:rsid w:val="00D8269A"/>
    <w:rsid w:val="00D82962"/>
    <w:rsid w:val="00D82A4C"/>
    <w:rsid w:val="00D83A65"/>
    <w:rsid w:val="00D846CF"/>
    <w:rsid w:val="00D84999"/>
    <w:rsid w:val="00D84BFF"/>
    <w:rsid w:val="00D85683"/>
    <w:rsid w:val="00D860B3"/>
    <w:rsid w:val="00D86D21"/>
    <w:rsid w:val="00D8772B"/>
    <w:rsid w:val="00D906FF"/>
    <w:rsid w:val="00D90F8A"/>
    <w:rsid w:val="00D91621"/>
    <w:rsid w:val="00D9180B"/>
    <w:rsid w:val="00D922A9"/>
    <w:rsid w:val="00D925BC"/>
    <w:rsid w:val="00D92982"/>
    <w:rsid w:val="00D94EB6"/>
    <w:rsid w:val="00D95111"/>
    <w:rsid w:val="00D954B6"/>
    <w:rsid w:val="00D9553A"/>
    <w:rsid w:val="00D958D2"/>
    <w:rsid w:val="00D95C5C"/>
    <w:rsid w:val="00D96B91"/>
    <w:rsid w:val="00D9740F"/>
    <w:rsid w:val="00D97545"/>
    <w:rsid w:val="00D9787B"/>
    <w:rsid w:val="00D97BA1"/>
    <w:rsid w:val="00D97EA0"/>
    <w:rsid w:val="00DA09FC"/>
    <w:rsid w:val="00DA28A7"/>
    <w:rsid w:val="00DA2BB0"/>
    <w:rsid w:val="00DA2FCA"/>
    <w:rsid w:val="00DA348E"/>
    <w:rsid w:val="00DA373A"/>
    <w:rsid w:val="00DA5476"/>
    <w:rsid w:val="00DA59D2"/>
    <w:rsid w:val="00DA5A9C"/>
    <w:rsid w:val="00DA5F60"/>
    <w:rsid w:val="00DA6E9D"/>
    <w:rsid w:val="00DA6FF3"/>
    <w:rsid w:val="00DA7A50"/>
    <w:rsid w:val="00DB0A97"/>
    <w:rsid w:val="00DB1595"/>
    <w:rsid w:val="00DB19B3"/>
    <w:rsid w:val="00DB1E00"/>
    <w:rsid w:val="00DB297D"/>
    <w:rsid w:val="00DB29CD"/>
    <w:rsid w:val="00DB2B7E"/>
    <w:rsid w:val="00DB2BA7"/>
    <w:rsid w:val="00DB2F39"/>
    <w:rsid w:val="00DB2F6C"/>
    <w:rsid w:val="00DB3388"/>
    <w:rsid w:val="00DB345D"/>
    <w:rsid w:val="00DB392E"/>
    <w:rsid w:val="00DB5719"/>
    <w:rsid w:val="00DB624E"/>
    <w:rsid w:val="00DB65AD"/>
    <w:rsid w:val="00DB7C6B"/>
    <w:rsid w:val="00DC022D"/>
    <w:rsid w:val="00DC02EA"/>
    <w:rsid w:val="00DC1309"/>
    <w:rsid w:val="00DC16F9"/>
    <w:rsid w:val="00DC1C79"/>
    <w:rsid w:val="00DC1CA6"/>
    <w:rsid w:val="00DC20CF"/>
    <w:rsid w:val="00DC32CB"/>
    <w:rsid w:val="00DC3472"/>
    <w:rsid w:val="00DC40B6"/>
    <w:rsid w:val="00DC4B44"/>
    <w:rsid w:val="00DC5C38"/>
    <w:rsid w:val="00DC61A3"/>
    <w:rsid w:val="00DC62A6"/>
    <w:rsid w:val="00DC7E69"/>
    <w:rsid w:val="00DD0467"/>
    <w:rsid w:val="00DD15EF"/>
    <w:rsid w:val="00DD1738"/>
    <w:rsid w:val="00DD190E"/>
    <w:rsid w:val="00DD1BEF"/>
    <w:rsid w:val="00DD2A0C"/>
    <w:rsid w:val="00DD3316"/>
    <w:rsid w:val="00DD3E02"/>
    <w:rsid w:val="00DD3F4D"/>
    <w:rsid w:val="00DD5654"/>
    <w:rsid w:val="00DD5E57"/>
    <w:rsid w:val="00DD60E3"/>
    <w:rsid w:val="00DD7C55"/>
    <w:rsid w:val="00DD7F9B"/>
    <w:rsid w:val="00DE0F68"/>
    <w:rsid w:val="00DE28B6"/>
    <w:rsid w:val="00DE2B74"/>
    <w:rsid w:val="00DE3385"/>
    <w:rsid w:val="00DE3CA1"/>
    <w:rsid w:val="00DE4007"/>
    <w:rsid w:val="00DE4638"/>
    <w:rsid w:val="00DE4651"/>
    <w:rsid w:val="00DE534A"/>
    <w:rsid w:val="00DE55FD"/>
    <w:rsid w:val="00DE674A"/>
    <w:rsid w:val="00DE7265"/>
    <w:rsid w:val="00DE74EC"/>
    <w:rsid w:val="00DE7525"/>
    <w:rsid w:val="00DE7596"/>
    <w:rsid w:val="00DF00B4"/>
    <w:rsid w:val="00DF061B"/>
    <w:rsid w:val="00DF09EC"/>
    <w:rsid w:val="00DF19EE"/>
    <w:rsid w:val="00DF2247"/>
    <w:rsid w:val="00DF2353"/>
    <w:rsid w:val="00DF2820"/>
    <w:rsid w:val="00DF3A03"/>
    <w:rsid w:val="00DF3AB2"/>
    <w:rsid w:val="00DF4AD5"/>
    <w:rsid w:val="00DF4CE6"/>
    <w:rsid w:val="00DF5784"/>
    <w:rsid w:val="00DF58B8"/>
    <w:rsid w:val="00DF5FF8"/>
    <w:rsid w:val="00DF6CF1"/>
    <w:rsid w:val="00DF6EE5"/>
    <w:rsid w:val="00DF6F0A"/>
    <w:rsid w:val="00E0077B"/>
    <w:rsid w:val="00E00898"/>
    <w:rsid w:val="00E02E5B"/>
    <w:rsid w:val="00E03634"/>
    <w:rsid w:val="00E042BB"/>
    <w:rsid w:val="00E04C59"/>
    <w:rsid w:val="00E05067"/>
    <w:rsid w:val="00E050B6"/>
    <w:rsid w:val="00E0557E"/>
    <w:rsid w:val="00E05D14"/>
    <w:rsid w:val="00E0628E"/>
    <w:rsid w:val="00E06460"/>
    <w:rsid w:val="00E06C84"/>
    <w:rsid w:val="00E06E01"/>
    <w:rsid w:val="00E073CF"/>
    <w:rsid w:val="00E07997"/>
    <w:rsid w:val="00E07A6A"/>
    <w:rsid w:val="00E07EB8"/>
    <w:rsid w:val="00E107B2"/>
    <w:rsid w:val="00E10EB1"/>
    <w:rsid w:val="00E1144D"/>
    <w:rsid w:val="00E114CF"/>
    <w:rsid w:val="00E120E4"/>
    <w:rsid w:val="00E12519"/>
    <w:rsid w:val="00E13460"/>
    <w:rsid w:val="00E13636"/>
    <w:rsid w:val="00E149F4"/>
    <w:rsid w:val="00E14A78"/>
    <w:rsid w:val="00E16ED5"/>
    <w:rsid w:val="00E177A2"/>
    <w:rsid w:val="00E179B9"/>
    <w:rsid w:val="00E17F53"/>
    <w:rsid w:val="00E20354"/>
    <w:rsid w:val="00E207DB"/>
    <w:rsid w:val="00E21F5A"/>
    <w:rsid w:val="00E2302F"/>
    <w:rsid w:val="00E25124"/>
    <w:rsid w:val="00E25F45"/>
    <w:rsid w:val="00E261F8"/>
    <w:rsid w:val="00E26E25"/>
    <w:rsid w:val="00E2789B"/>
    <w:rsid w:val="00E27BAD"/>
    <w:rsid w:val="00E27DF3"/>
    <w:rsid w:val="00E3110A"/>
    <w:rsid w:val="00E3121A"/>
    <w:rsid w:val="00E31611"/>
    <w:rsid w:val="00E319A9"/>
    <w:rsid w:val="00E319DC"/>
    <w:rsid w:val="00E324AD"/>
    <w:rsid w:val="00E3342D"/>
    <w:rsid w:val="00E33683"/>
    <w:rsid w:val="00E336AF"/>
    <w:rsid w:val="00E33734"/>
    <w:rsid w:val="00E34AA9"/>
    <w:rsid w:val="00E35CBD"/>
    <w:rsid w:val="00E36A4F"/>
    <w:rsid w:val="00E37D5F"/>
    <w:rsid w:val="00E41C51"/>
    <w:rsid w:val="00E429A0"/>
    <w:rsid w:val="00E42D39"/>
    <w:rsid w:val="00E43C6F"/>
    <w:rsid w:val="00E44CD4"/>
    <w:rsid w:val="00E45B91"/>
    <w:rsid w:val="00E45D89"/>
    <w:rsid w:val="00E46804"/>
    <w:rsid w:val="00E46C57"/>
    <w:rsid w:val="00E513EE"/>
    <w:rsid w:val="00E5176B"/>
    <w:rsid w:val="00E527C9"/>
    <w:rsid w:val="00E528BA"/>
    <w:rsid w:val="00E52CDB"/>
    <w:rsid w:val="00E53497"/>
    <w:rsid w:val="00E534DF"/>
    <w:rsid w:val="00E54893"/>
    <w:rsid w:val="00E54F12"/>
    <w:rsid w:val="00E55A50"/>
    <w:rsid w:val="00E561B5"/>
    <w:rsid w:val="00E56467"/>
    <w:rsid w:val="00E565C2"/>
    <w:rsid w:val="00E60269"/>
    <w:rsid w:val="00E605AF"/>
    <w:rsid w:val="00E60887"/>
    <w:rsid w:val="00E60C32"/>
    <w:rsid w:val="00E61619"/>
    <w:rsid w:val="00E61B95"/>
    <w:rsid w:val="00E61E25"/>
    <w:rsid w:val="00E6272B"/>
    <w:rsid w:val="00E627F6"/>
    <w:rsid w:val="00E629C7"/>
    <w:rsid w:val="00E62F1A"/>
    <w:rsid w:val="00E62FD2"/>
    <w:rsid w:val="00E631E3"/>
    <w:rsid w:val="00E63DD3"/>
    <w:rsid w:val="00E63F1D"/>
    <w:rsid w:val="00E646D5"/>
    <w:rsid w:val="00E64EEE"/>
    <w:rsid w:val="00E661AA"/>
    <w:rsid w:val="00E66F49"/>
    <w:rsid w:val="00E67537"/>
    <w:rsid w:val="00E716CE"/>
    <w:rsid w:val="00E721A9"/>
    <w:rsid w:val="00E73549"/>
    <w:rsid w:val="00E74861"/>
    <w:rsid w:val="00E74EC9"/>
    <w:rsid w:val="00E75733"/>
    <w:rsid w:val="00E75A9D"/>
    <w:rsid w:val="00E75F08"/>
    <w:rsid w:val="00E80CF7"/>
    <w:rsid w:val="00E81B8E"/>
    <w:rsid w:val="00E81ED7"/>
    <w:rsid w:val="00E8369B"/>
    <w:rsid w:val="00E8377F"/>
    <w:rsid w:val="00E83850"/>
    <w:rsid w:val="00E85244"/>
    <w:rsid w:val="00E86159"/>
    <w:rsid w:val="00E86741"/>
    <w:rsid w:val="00E87566"/>
    <w:rsid w:val="00E87AE4"/>
    <w:rsid w:val="00E90C1F"/>
    <w:rsid w:val="00E9124A"/>
    <w:rsid w:val="00E9222C"/>
    <w:rsid w:val="00E9267F"/>
    <w:rsid w:val="00E9269C"/>
    <w:rsid w:val="00E92AA5"/>
    <w:rsid w:val="00E9558B"/>
    <w:rsid w:val="00E95D1B"/>
    <w:rsid w:val="00E9735C"/>
    <w:rsid w:val="00EA1CD0"/>
    <w:rsid w:val="00EA234B"/>
    <w:rsid w:val="00EA274B"/>
    <w:rsid w:val="00EA2EFA"/>
    <w:rsid w:val="00EA3184"/>
    <w:rsid w:val="00EA3732"/>
    <w:rsid w:val="00EA3CDD"/>
    <w:rsid w:val="00EA446E"/>
    <w:rsid w:val="00EA4719"/>
    <w:rsid w:val="00EA4BB8"/>
    <w:rsid w:val="00EA5028"/>
    <w:rsid w:val="00EA50D6"/>
    <w:rsid w:val="00EA5714"/>
    <w:rsid w:val="00EA5A27"/>
    <w:rsid w:val="00EA60EF"/>
    <w:rsid w:val="00EA6A30"/>
    <w:rsid w:val="00EA6A41"/>
    <w:rsid w:val="00EA738D"/>
    <w:rsid w:val="00EA7662"/>
    <w:rsid w:val="00EA7889"/>
    <w:rsid w:val="00EA7CC3"/>
    <w:rsid w:val="00EB016F"/>
    <w:rsid w:val="00EB04F4"/>
    <w:rsid w:val="00EB0CE3"/>
    <w:rsid w:val="00EB2216"/>
    <w:rsid w:val="00EB27D1"/>
    <w:rsid w:val="00EB33F4"/>
    <w:rsid w:val="00EB3B9C"/>
    <w:rsid w:val="00EB4C04"/>
    <w:rsid w:val="00EB523B"/>
    <w:rsid w:val="00EB6502"/>
    <w:rsid w:val="00EB676B"/>
    <w:rsid w:val="00EB6C92"/>
    <w:rsid w:val="00EB7ABA"/>
    <w:rsid w:val="00EB7D9C"/>
    <w:rsid w:val="00EC0B5F"/>
    <w:rsid w:val="00EC1406"/>
    <w:rsid w:val="00EC14BE"/>
    <w:rsid w:val="00EC1526"/>
    <w:rsid w:val="00EC23F3"/>
    <w:rsid w:val="00EC2677"/>
    <w:rsid w:val="00EC2AB5"/>
    <w:rsid w:val="00EC2C28"/>
    <w:rsid w:val="00EC36F2"/>
    <w:rsid w:val="00EC4B79"/>
    <w:rsid w:val="00EC4F33"/>
    <w:rsid w:val="00EC57D9"/>
    <w:rsid w:val="00EC62D1"/>
    <w:rsid w:val="00EC6A59"/>
    <w:rsid w:val="00EC7E82"/>
    <w:rsid w:val="00ED0B81"/>
    <w:rsid w:val="00ED1770"/>
    <w:rsid w:val="00ED1A64"/>
    <w:rsid w:val="00ED28DD"/>
    <w:rsid w:val="00ED34F1"/>
    <w:rsid w:val="00ED43A6"/>
    <w:rsid w:val="00ED4D9F"/>
    <w:rsid w:val="00ED69B3"/>
    <w:rsid w:val="00ED6A75"/>
    <w:rsid w:val="00ED6FB9"/>
    <w:rsid w:val="00ED7371"/>
    <w:rsid w:val="00ED7E2F"/>
    <w:rsid w:val="00ED7EA8"/>
    <w:rsid w:val="00EE000F"/>
    <w:rsid w:val="00EE1313"/>
    <w:rsid w:val="00EE17E9"/>
    <w:rsid w:val="00EE2126"/>
    <w:rsid w:val="00EE2DF4"/>
    <w:rsid w:val="00EE3363"/>
    <w:rsid w:val="00EE4C7E"/>
    <w:rsid w:val="00EE556D"/>
    <w:rsid w:val="00EE6184"/>
    <w:rsid w:val="00EE7852"/>
    <w:rsid w:val="00EE7A2C"/>
    <w:rsid w:val="00EF02EE"/>
    <w:rsid w:val="00EF09D3"/>
    <w:rsid w:val="00EF108A"/>
    <w:rsid w:val="00EF1240"/>
    <w:rsid w:val="00EF1F75"/>
    <w:rsid w:val="00EF2240"/>
    <w:rsid w:val="00EF3069"/>
    <w:rsid w:val="00EF31A5"/>
    <w:rsid w:val="00EF3DF0"/>
    <w:rsid w:val="00EF3EB5"/>
    <w:rsid w:val="00EF472C"/>
    <w:rsid w:val="00EF57B9"/>
    <w:rsid w:val="00EF57DF"/>
    <w:rsid w:val="00EF6092"/>
    <w:rsid w:val="00EF6303"/>
    <w:rsid w:val="00EF6556"/>
    <w:rsid w:val="00EF6E1E"/>
    <w:rsid w:val="00EF7453"/>
    <w:rsid w:val="00F02BAD"/>
    <w:rsid w:val="00F0319D"/>
    <w:rsid w:val="00F044EC"/>
    <w:rsid w:val="00F07A2D"/>
    <w:rsid w:val="00F10A9A"/>
    <w:rsid w:val="00F11635"/>
    <w:rsid w:val="00F12BD1"/>
    <w:rsid w:val="00F12D86"/>
    <w:rsid w:val="00F12FCA"/>
    <w:rsid w:val="00F131AA"/>
    <w:rsid w:val="00F131FD"/>
    <w:rsid w:val="00F1350B"/>
    <w:rsid w:val="00F13B05"/>
    <w:rsid w:val="00F13B5A"/>
    <w:rsid w:val="00F13EED"/>
    <w:rsid w:val="00F15AF2"/>
    <w:rsid w:val="00F16401"/>
    <w:rsid w:val="00F16C35"/>
    <w:rsid w:val="00F17C1E"/>
    <w:rsid w:val="00F210BC"/>
    <w:rsid w:val="00F21290"/>
    <w:rsid w:val="00F2299F"/>
    <w:rsid w:val="00F229A0"/>
    <w:rsid w:val="00F231F0"/>
    <w:rsid w:val="00F231FD"/>
    <w:rsid w:val="00F24787"/>
    <w:rsid w:val="00F24CE6"/>
    <w:rsid w:val="00F259A5"/>
    <w:rsid w:val="00F263E5"/>
    <w:rsid w:val="00F26460"/>
    <w:rsid w:val="00F301E0"/>
    <w:rsid w:val="00F307CC"/>
    <w:rsid w:val="00F30BBA"/>
    <w:rsid w:val="00F31630"/>
    <w:rsid w:val="00F31A8F"/>
    <w:rsid w:val="00F320C0"/>
    <w:rsid w:val="00F32D63"/>
    <w:rsid w:val="00F34012"/>
    <w:rsid w:val="00F343A3"/>
    <w:rsid w:val="00F34C99"/>
    <w:rsid w:val="00F3514F"/>
    <w:rsid w:val="00F3531A"/>
    <w:rsid w:val="00F40F02"/>
    <w:rsid w:val="00F41DB0"/>
    <w:rsid w:val="00F431D8"/>
    <w:rsid w:val="00F4370F"/>
    <w:rsid w:val="00F439BB"/>
    <w:rsid w:val="00F43CEB"/>
    <w:rsid w:val="00F43E0F"/>
    <w:rsid w:val="00F449D7"/>
    <w:rsid w:val="00F461AE"/>
    <w:rsid w:val="00F467F9"/>
    <w:rsid w:val="00F513A2"/>
    <w:rsid w:val="00F5184D"/>
    <w:rsid w:val="00F51B88"/>
    <w:rsid w:val="00F51CB2"/>
    <w:rsid w:val="00F534D3"/>
    <w:rsid w:val="00F5421D"/>
    <w:rsid w:val="00F55022"/>
    <w:rsid w:val="00F55184"/>
    <w:rsid w:val="00F5704A"/>
    <w:rsid w:val="00F57A8B"/>
    <w:rsid w:val="00F60DF3"/>
    <w:rsid w:val="00F61228"/>
    <w:rsid w:val="00F62057"/>
    <w:rsid w:val="00F6264B"/>
    <w:rsid w:val="00F6290C"/>
    <w:rsid w:val="00F646C8"/>
    <w:rsid w:val="00F65BD0"/>
    <w:rsid w:val="00F66E87"/>
    <w:rsid w:val="00F67988"/>
    <w:rsid w:val="00F67C01"/>
    <w:rsid w:val="00F70909"/>
    <w:rsid w:val="00F70DDF"/>
    <w:rsid w:val="00F7114B"/>
    <w:rsid w:val="00F721EF"/>
    <w:rsid w:val="00F72AC2"/>
    <w:rsid w:val="00F72F17"/>
    <w:rsid w:val="00F733C0"/>
    <w:rsid w:val="00F73CD5"/>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111A"/>
    <w:rsid w:val="00F82021"/>
    <w:rsid w:val="00F82080"/>
    <w:rsid w:val="00F824EF"/>
    <w:rsid w:val="00F82A7B"/>
    <w:rsid w:val="00F8393F"/>
    <w:rsid w:val="00F839C9"/>
    <w:rsid w:val="00F83D57"/>
    <w:rsid w:val="00F8476C"/>
    <w:rsid w:val="00F850A1"/>
    <w:rsid w:val="00F85CBD"/>
    <w:rsid w:val="00F86096"/>
    <w:rsid w:val="00F905B8"/>
    <w:rsid w:val="00F91164"/>
    <w:rsid w:val="00F91D47"/>
    <w:rsid w:val="00F92B0F"/>
    <w:rsid w:val="00F9354E"/>
    <w:rsid w:val="00F941FC"/>
    <w:rsid w:val="00F94C51"/>
    <w:rsid w:val="00F96D24"/>
    <w:rsid w:val="00F97093"/>
    <w:rsid w:val="00F97FF3"/>
    <w:rsid w:val="00FA0091"/>
    <w:rsid w:val="00FA194F"/>
    <w:rsid w:val="00FA1AA9"/>
    <w:rsid w:val="00FA2B89"/>
    <w:rsid w:val="00FA2C8B"/>
    <w:rsid w:val="00FA3E0C"/>
    <w:rsid w:val="00FA4FBA"/>
    <w:rsid w:val="00FA5580"/>
    <w:rsid w:val="00FA55C1"/>
    <w:rsid w:val="00FA621A"/>
    <w:rsid w:val="00FA655A"/>
    <w:rsid w:val="00FA69C3"/>
    <w:rsid w:val="00FA6AAC"/>
    <w:rsid w:val="00FA6CBC"/>
    <w:rsid w:val="00FA6D48"/>
    <w:rsid w:val="00FA6F29"/>
    <w:rsid w:val="00FA7027"/>
    <w:rsid w:val="00FA7EC0"/>
    <w:rsid w:val="00FB1729"/>
    <w:rsid w:val="00FB30A2"/>
    <w:rsid w:val="00FB5320"/>
    <w:rsid w:val="00FB56A8"/>
    <w:rsid w:val="00FB5B62"/>
    <w:rsid w:val="00FB5BC1"/>
    <w:rsid w:val="00FB6C88"/>
    <w:rsid w:val="00FB7C57"/>
    <w:rsid w:val="00FC072E"/>
    <w:rsid w:val="00FC2DDA"/>
    <w:rsid w:val="00FC3AF1"/>
    <w:rsid w:val="00FC3FE2"/>
    <w:rsid w:val="00FC4323"/>
    <w:rsid w:val="00FC51AE"/>
    <w:rsid w:val="00FC550A"/>
    <w:rsid w:val="00FC551E"/>
    <w:rsid w:val="00FC5790"/>
    <w:rsid w:val="00FC579D"/>
    <w:rsid w:val="00FC6275"/>
    <w:rsid w:val="00FC7AC9"/>
    <w:rsid w:val="00FC7C14"/>
    <w:rsid w:val="00FD027A"/>
    <w:rsid w:val="00FD039F"/>
    <w:rsid w:val="00FD053B"/>
    <w:rsid w:val="00FD0AF0"/>
    <w:rsid w:val="00FD1234"/>
    <w:rsid w:val="00FD1865"/>
    <w:rsid w:val="00FD18F3"/>
    <w:rsid w:val="00FD194F"/>
    <w:rsid w:val="00FD1995"/>
    <w:rsid w:val="00FD2333"/>
    <w:rsid w:val="00FD25E1"/>
    <w:rsid w:val="00FD360A"/>
    <w:rsid w:val="00FD5688"/>
    <w:rsid w:val="00FD5725"/>
    <w:rsid w:val="00FD5E1C"/>
    <w:rsid w:val="00FD5F36"/>
    <w:rsid w:val="00FD73C6"/>
    <w:rsid w:val="00FD7F6B"/>
    <w:rsid w:val="00FE05E7"/>
    <w:rsid w:val="00FE08CE"/>
    <w:rsid w:val="00FE0948"/>
    <w:rsid w:val="00FE1880"/>
    <w:rsid w:val="00FE3256"/>
    <w:rsid w:val="00FE3F36"/>
    <w:rsid w:val="00FE3F8E"/>
    <w:rsid w:val="00FE44A1"/>
    <w:rsid w:val="00FE47ED"/>
    <w:rsid w:val="00FE4CE4"/>
    <w:rsid w:val="00FE5101"/>
    <w:rsid w:val="00FE52F1"/>
    <w:rsid w:val="00FE61DC"/>
    <w:rsid w:val="00FE67D0"/>
    <w:rsid w:val="00FE689B"/>
    <w:rsid w:val="00FE79CE"/>
    <w:rsid w:val="00FF081E"/>
    <w:rsid w:val="00FF145C"/>
    <w:rsid w:val="00FF26EE"/>
    <w:rsid w:val="00FF28EC"/>
    <w:rsid w:val="00FF47A3"/>
    <w:rsid w:val="00FF4B3F"/>
    <w:rsid w:val="00FF4B43"/>
    <w:rsid w:val="00FF4D7F"/>
    <w:rsid w:val="00FF574F"/>
    <w:rsid w:val="00FF61A6"/>
    <w:rsid w:val="03D77EF9"/>
    <w:rsid w:val="03D80B70"/>
    <w:rsid w:val="05BC20CA"/>
    <w:rsid w:val="05D7102E"/>
    <w:rsid w:val="0622792F"/>
    <w:rsid w:val="072D11D3"/>
    <w:rsid w:val="07321A30"/>
    <w:rsid w:val="0A1E2200"/>
    <w:rsid w:val="0A742C74"/>
    <w:rsid w:val="0B705B32"/>
    <w:rsid w:val="0C654F6B"/>
    <w:rsid w:val="0C970E9C"/>
    <w:rsid w:val="0D066B91"/>
    <w:rsid w:val="0DE905FA"/>
    <w:rsid w:val="0E6D6359"/>
    <w:rsid w:val="0E985119"/>
    <w:rsid w:val="0EBD154D"/>
    <w:rsid w:val="122907E8"/>
    <w:rsid w:val="12FE0E52"/>
    <w:rsid w:val="136967C6"/>
    <w:rsid w:val="14BC1DE8"/>
    <w:rsid w:val="154B1EED"/>
    <w:rsid w:val="16897AA8"/>
    <w:rsid w:val="179B3DA5"/>
    <w:rsid w:val="17C36799"/>
    <w:rsid w:val="18816C26"/>
    <w:rsid w:val="197B7B7C"/>
    <w:rsid w:val="19895DE0"/>
    <w:rsid w:val="1A424B3D"/>
    <w:rsid w:val="1A7B21D2"/>
    <w:rsid w:val="1A8962C8"/>
    <w:rsid w:val="1D2D5631"/>
    <w:rsid w:val="1F29751A"/>
    <w:rsid w:val="1F7532BF"/>
    <w:rsid w:val="20A57BD4"/>
    <w:rsid w:val="20E97AC1"/>
    <w:rsid w:val="24B91EA0"/>
    <w:rsid w:val="259C77F7"/>
    <w:rsid w:val="25F80DA5"/>
    <w:rsid w:val="270C275B"/>
    <w:rsid w:val="2790513A"/>
    <w:rsid w:val="29115E06"/>
    <w:rsid w:val="295F5B00"/>
    <w:rsid w:val="29852351"/>
    <w:rsid w:val="2AFB200E"/>
    <w:rsid w:val="2EF266DA"/>
    <w:rsid w:val="2F4D32F2"/>
    <w:rsid w:val="2F684ED2"/>
    <w:rsid w:val="2FB27C17"/>
    <w:rsid w:val="30001D92"/>
    <w:rsid w:val="327613D0"/>
    <w:rsid w:val="341B4A8C"/>
    <w:rsid w:val="34B30699"/>
    <w:rsid w:val="35ED1056"/>
    <w:rsid w:val="37B125F5"/>
    <w:rsid w:val="3CC571DC"/>
    <w:rsid w:val="3D385C00"/>
    <w:rsid w:val="3E0D0E3B"/>
    <w:rsid w:val="3E611A9A"/>
    <w:rsid w:val="3FCC262F"/>
    <w:rsid w:val="404C551E"/>
    <w:rsid w:val="41B415CD"/>
    <w:rsid w:val="42170F07"/>
    <w:rsid w:val="42366187"/>
    <w:rsid w:val="44337301"/>
    <w:rsid w:val="45A1630C"/>
    <w:rsid w:val="46364CA7"/>
    <w:rsid w:val="470703F1"/>
    <w:rsid w:val="49E8450A"/>
    <w:rsid w:val="4A802994"/>
    <w:rsid w:val="4AB12B4E"/>
    <w:rsid w:val="4B7A5635"/>
    <w:rsid w:val="4CBD3A2C"/>
    <w:rsid w:val="4CF01583"/>
    <w:rsid w:val="4D706638"/>
    <w:rsid w:val="4DC50EA1"/>
    <w:rsid w:val="50334A8C"/>
    <w:rsid w:val="50406554"/>
    <w:rsid w:val="50D15CF8"/>
    <w:rsid w:val="512E35E8"/>
    <w:rsid w:val="519311FF"/>
    <w:rsid w:val="531445C2"/>
    <w:rsid w:val="54B27BEE"/>
    <w:rsid w:val="557B26D6"/>
    <w:rsid w:val="55AA2FBB"/>
    <w:rsid w:val="564C5E20"/>
    <w:rsid w:val="56DF521D"/>
    <w:rsid w:val="57D13206"/>
    <w:rsid w:val="59A93E88"/>
    <w:rsid w:val="5A76346C"/>
    <w:rsid w:val="5AF54CD9"/>
    <w:rsid w:val="5B150ED7"/>
    <w:rsid w:val="5D953FAB"/>
    <w:rsid w:val="62361E5F"/>
    <w:rsid w:val="62E721FD"/>
    <w:rsid w:val="63A41D1B"/>
    <w:rsid w:val="63DC4C88"/>
    <w:rsid w:val="64324FA2"/>
    <w:rsid w:val="64AA15F2"/>
    <w:rsid w:val="662F7591"/>
    <w:rsid w:val="66D77B8B"/>
    <w:rsid w:val="67A334A4"/>
    <w:rsid w:val="67B101D9"/>
    <w:rsid w:val="6870764B"/>
    <w:rsid w:val="68F90F06"/>
    <w:rsid w:val="693E784B"/>
    <w:rsid w:val="699B2EEF"/>
    <w:rsid w:val="6CD2071C"/>
    <w:rsid w:val="70763D6E"/>
    <w:rsid w:val="737940A3"/>
    <w:rsid w:val="738C0FEC"/>
    <w:rsid w:val="75AD538A"/>
    <w:rsid w:val="75DC55D0"/>
    <w:rsid w:val="766703E1"/>
    <w:rsid w:val="77980A6E"/>
    <w:rsid w:val="78054355"/>
    <w:rsid w:val="7840538D"/>
    <w:rsid w:val="78B716A0"/>
    <w:rsid w:val="79EB1329"/>
    <w:rsid w:val="7A1B7E60"/>
    <w:rsid w:val="7A70182E"/>
    <w:rsid w:val="7F412A04"/>
    <w:rsid w:val="7FC554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2"/>
    <w:autoRedefine/>
    <w:qFormat/>
    <w:uiPriority w:val="9"/>
    <w:pPr>
      <w:spacing w:before="340" w:after="330" w:line="360" w:lineRule="auto"/>
      <w:jc w:val="center"/>
      <w:outlineLvl w:val="0"/>
    </w:pPr>
    <w:rPr>
      <w:rFonts w:eastAsia="黑体"/>
      <w:kern w:val="44"/>
      <w:szCs w:val="44"/>
    </w:rPr>
  </w:style>
  <w:style w:type="paragraph" w:styleId="5">
    <w:name w:val="heading 2"/>
    <w:basedOn w:val="3"/>
    <w:next w:val="4"/>
    <w:link w:val="77"/>
    <w:autoRedefine/>
    <w:qFormat/>
    <w:uiPriority w:val="0"/>
    <w:pPr>
      <w:adjustRightInd w:val="0"/>
      <w:jc w:val="center"/>
      <w:textAlignment w:val="baseline"/>
      <w:outlineLvl w:val="1"/>
    </w:pPr>
    <w:rPr>
      <w:kern w:val="0"/>
      <w:sz w:val="24"/>
      <w:szCs w:val="20"/>
    </w:rPr>
  </w:style>
  <w:style w:type="paragraph" w:styleId="3">
    <w:name w:val="heading 3"/>
    <w:basedOn w:val="4"/>
    <w:next w:val="1"/>
    <w:link w:val="61"/>
    <w:autoRedefine/>
    <w:qFormat/>
    <w:uiPriority w:val="0"/>
    <w:pPr>
      <w:spacing w:before="260" w:after="260" w:line="240" w:lineRule="auto"/>
      <w:outlineLvl w:val="2"/>
    </w:pPr>
    <w:rPr>
      <w:rFonts w:ascii="宋体" w:hAnsi="宋体" w:eastAsia="宋体"/>
      <w:szCs w:val="32"/>
    </w:rPr>
  </w:style>
  <w:style w:type="paragraph" w:styleId="4">
    <w:name w:val="heading 4"/>
    <w:basedOn w:val="1"/>
    <w:next w:val="1"/>
    <w:link w:val="59"/>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86"/>
    <w:autoRedefine/>
    <w:qFormat/>
    <w:uiPriority w:val="0"/>
    <w:pPr>
      <w:keepNext/>
      <w:keepLines/>
      <w:spacing w:before="280" w:after="290" w:line="376" w:lineRule="auto"/>
      <w:outlineLvl w:val="4"/>
    </w:pPr>
    <w:rPr>
      <w:b/>
      <w:sz w:val="28"/>
      <w:szCs w:val="20"/>
    </w:rPr>
  </w:style>
  <w:style w:type="paragraph" w:styleId="8">
    <w:name w:val="heading 6"/>
    <w:basedOn w:val="1"/>
    <w:next w:val="7"/>
    <w:link w:val="89"/>
    <w:autoRedefine/>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90"/>
    <w:autoRedefine/>
    <w:qFormat/>
    <w:uiPriority w:val="0"/>
    <w:pPr>
      <w:keepNext/>
      <w:keepLines/>
      <w:spacing w:before="240" w:after="64" w:line="320" w:lineRule="auto"/>
      <w:outlineLvl w:val="6"/>
    </w:pPr>
    <w:rPr>
      <w:b/>
      <w:sz w:val="24"/>
      <w:szCs w:val="20"/>
    </w:rPr>
  </w:style>
  <w:style w:type="paragraph" w:styleId="10">
    <w:name w:val="heading 8"/>
    <w:basedOn w:val="1"/>
    <w:next w:val="7"/>
    <w:link w:val="91"/>
    <w:autoRedefine/>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92"/>
    <w:autoRedefine/>
    <w:qFormat/>
    <w:uiPriority w:val="0"/>
    <w:pPr>
      <w:keepNext/>
      <w:keepLines/>
      <w:spacing w:before="240" w:after="64" w:line="320" w:lineRule="auto"/>
      <w:outlineLvl w:val="8"/>
    </w:pPr>
    <w:rPr>
      <w:rFonts w:ascii="Arial" w:hAnsi="Arial" w:eastAsia="黑体"/>
      <w:szCs w:val="20"/>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3"/>
    <w:autoRedefine/>
    <w:qFormat/>
    <w:uiPriority w:val="0"/>
    <w:pPr>
      <w:ind w:firstLine="420"/>
    </w:pPr>
    <w:rPr>
      <w:szCs w:val="20"/>
    </w:rPr>
  </w:style>
  <w:style w:type="paragraph" w:styleId="12">
    <w:name w:val="toc 7"/>
    <w:basedOn w:val="1"/>
    <w:next w:val="1"/>
    <w:autoRedefine/>
    <w:semiHidden/>
    <w:qFormat/>
    <w:uiPriority w:val="0"/>
    <w:pPr>
      <w:ind w:left="1260"/>
      <w:jc w:val="left"/>
    </w:pPr>
    <w:rPr>
      <w:szCs w:val="21"/>
    </w:rPr>
  </w:style>
  <w:style w:type="paragraph" w:styleId="13">
    <w:name w:val="caption"/>
    <w:basedOn w:val="1"/>
    <w:next w:val="1"/>
    <w:autoRedefine/>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autoRedefine/>
    <w:qFormat/>
    <w:uiPriority w:val="0"/>
    <w:pPr>
      <w:numPr>
        <w:ilvl w:val="0"/>
        <w:numId w:val="1"/>
      </w:numPr>
    </w:pPr>
    <w:rPr>
      <w:szCs w:val="20"/>
    </w:rPr>
  </w:style>
  <w:style w:type="paragraph" w:styleId="15">
    <w:name w:val="Document Map"/>
    <w:basedOn w:val="1"/>
    <w:autoRedefine/>
    <w:semiHidden/>
    <w:qFormat/>
    <w:uiPriority w:val="0"/>
    <w:pPr>
      <w:shd w:val="clear" w:color="auto" w:fill="000080"/>
    </w:pPr>
  </w:style>
  <w:style w:type="paragraph" w:styleId="16">
    <w:name w:val="annotation text"/>
    <w:basedOn w:val="1"/>
    <w:link w:val="190"/>
    <w:autoRedefine/>
    <w:semiHidden/>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link w:val="104"/>
    <w:autoRedefine/>
    <w:qFormat/>
    <w:uiPriority w:val="0"/>
    <w:pPr>
      <w:spacing w:after="120"/>
    </w:pPr>
    <w:rPr>
      <w:sz w:val="16"/>
      <w:szCs w:val="16"/>
    </w:rPr>
  </w:style>
  <w:style w:type="paragraph" w:styleId="18">
    <w:name w:val="Body Text"/>
    <w:basedOn w:val="1"/>
    <w:next w:val="1"/>
    <w:link w:val="98"/>
    <w:autoRedefine/>
    <w:qFormat/>
    <w:uiPriority w:val="0"/>
    <w:pPr>
      <w:spacing w:line="360" w:lineRule="auto"/>
    </w:pPr>
    <w:rPr>
      <w:b/>
      <w:bCs/>
      <w:sz w:val="24"/>
    </w:rPr>
  </w:style>
  <w:style w:type="paragraph" w:styleId="19">
    <w:name w:val="Body Text Indent"/>
    <w:basedOn w:val="1"/>
    <w:link w:val="85"/>
    <w:autoRedefine/>
    <w:qFormat/>
    <w:uiPriority w:val="0"/>
    <w:pPr>
      <w:spacing w:line="360" w:lineRule="auto"/>
      <w:ind w:firstLine="420" w:firstLineChars="200"/>
    </w:pPr>
  </w:style>
  <w:style w:type="paragraph" w:styleId="20">
    <w:name w:val="toc 5"/>
    <w:basedOn w:val="1"/>
    <w:next w:val="1"/>
    <w:autoRedefine/>
    <w:semiHidden/>
    <w:qFormat/>
    <w:uiPriority w:val="0"/>
    <w:pPr>
      <w:ind w:left="840"/>
      <w:jc w:val="left"/>
    </w:pPr>
    <w:rPr>
      <w:szCs w:val="21"/>
    </w:rPr>
  </w:style>
  <w:style w:type="paragraph" w:styleId="21">
    <w:name w:val="toc 3"/>
    <w:basedOn w:val="1"/>
    <w:next w:val="1"/>
    <w:autoRedefine/>
    <w:semiHidden/>
    <w:qFormat/>
    <w:uiPriority w:val="0"/>
    <w:pPr>
      <w:ind w:left="420"/>
      <w:jc w:val="left"/>
    </w:pPr>
    <w:rPr>
      <w:i/>
      <w:iCs/>
    </w:rPr>
  </w:style>
  <w:style w:type="paragraph" w:styleId="22">
    <w:name w:val="Plain Text"/>
    <w:basedOn w:val="1"/>
    <w:link w:val="96"/>
    <w:autoRedefine/>
    <w:qFormat/>
    <w:uiPriority w:val="0"/>
    <w:rPr>
      <w:rFonts w:ascii="宋体" w:hAnsi="Courier New"/>
      <w:szCs w:val="20"/>
    </w:rPr>
  </w:style>
  <w:style w:type="paragraph" w:styleId="23">
    <w:name w:val="toc 8"/>
    <w:basedOn w:val="1"/>
    <w:next w:val="1"/>
    <w:autoRedefine/>
    <w:semiHidden/>
    <w:qFormat/>
    <w:uiPriority w:val="0"/>
    <w:pPr>
      <w:ind w:left="1470"/>
      <w:jc w:val="left"/>
    </w:pPr>
    <w:rPr>
      <w:szCs w:val="21"/>
    </w:rPr>
  </w:style>
  <w:style w:type="paragraph" w:styleId="24">
    <w:name w:val="Date"/>
    <w:basedOn w:val="1"/>
    <w:next w:val="1"/>
    <w:link w:val="94"/>
    <w:autoRedefine/>
    <w:qFormat/>
    <w:uiPriority w:val="0"/>
    <w:rPr>
      <w:rFonts w:ascii="宋体" w:hAnsi="Courier New"/>
      <w:sz w:val="32"/>
      <w:szCs w:val="20"/>
    </w:rPr>
  </w:style>
  <w:style w:type="paragraph" w:styleId="25">
    <w:name w:val="Body Text Indent 2"/>
    <w:basedOn w:val="1"/>
    <w:link w:val="99"/>
    <w:autoRedefine/>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105"/>
    <w:autoRedefine/>
    <w:semiHidden/>
    <w:qFormat/>
    <w:uiPriority w:val="0"/>
    <w:rPr>
      <w:sz w:val="18"/>
      <w:szCs w:val="18"/>
    </w:rPr>
  </w:style>
  <w:style w:type="paragraph" w:styleId="27">
    <w:name w:val="footer"/>
    <w:basedOn w:val="1"/>
    <w:link w:val="103"/>
    <w:autoRedefine/>
    <w:qFormat/>
    <w:uiPriority w:val="99"/>
    <w:pPr>
      <w:tabs>
        <w:tab w:val="center" w:pos="4153"/>
        <w:tab w:val="right" w:pos="8306"/>
      </w:tabs>
      <w:snapToGrid w:val="0"/>
      <w:jc w:val="left"/>
    </w:pPr>
    <w:rPr>
      <w:sz w:val="18"/>
      <w:szCs w:val="18"/>
    </w:rPr>
  </w:style>
  <w:style w:type="paragraph" w:styleId="28">
    <w:name w:val="header"/>
    <w:basedOn w:val="1"/>
    <w:link w:val="100"/>
    <w:autoRedefine/>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semiHidden/>
    <w:qFormat/>
    <w:uiPriority w:val="0"/>
    <w:pPr>
      <w:spacing w:before="120" w:after="120"/>
      <w:jc w:val="left"/>
    </w:pPr>
    <w:rPr>
      <w:b/>
      <w:bCs/>
      <w:caps/>
    </w:rPr>
  </w:style>
  <w:style w:type="paragraph" w:styleId="30">
    <w:name w:val="toc 4"/>
    <w:basedOn w:val="1"/>
    <w:next w:val="1"/>
    <w:autoRedefine/>
    <w:semiHidden/>
    <w:qFormat/>
    <w:uiPriority w:val="0"/>
    <w:pPr>
      <w:ind w:left="630"/>
      <w:jc w:val="left"/>
    </w:pPr>
    <w:rPr>
      <w:szCs w:val="21"/>
    </w:rPr>
  </w:style>
  <w:style w:type="paragraph" w:styleId="31">
    <w:name w:val="toc 6"/>
    <w:basedOn w:val="1"/>
    <w:next w:val="1"/>
    <w:autoRedefine/>
    <w:semiHidden/>
    <w:qFormat/>
    <w:uiPriority w:val="0"/>
    <w:pPr>
      <w:ind w:left="1050"/>
      <w:jc w:val="left"/>
    </w:pPr>
    <w:rPr>
      <w:szCs w:val="21"/>
    </w:rPr>
  </w:style>
  <w:style w:type="paragraph" w:styleId="32">
    <w:name w:val="Body Text Indent 3"/>
    <w:basedOn w:val="1"/>
    <w:link w:val="101"/>
    <w:autoRedefine/>
    <w:qFormat/>
    <w:uiPriority w:val="0"/>
    <w:pPr>
      <w:spacing w:line="360" w:lineRule="auto"/>
      <w:ind w:firstLine="482" w:firstLineChars="200"/>
    </w:pPr>
    <w:rPr>
      <w:rFonts w:ascii="宋体"/>
      <w:b/>
      <w:bCs/>
      <w:sz w:val="24"/>
    </w:rPr>
  </w:style>
  <w:style w:type="paragraph" w:styleId="33">
    <w:name w:val="toc 2"/>
    <w:basedOn w:val="1"/>
    <w:next w:val="1"/>
    <w:autoRedefine/>
    <w:semiHidden/>
    <w:qFormat/>
    <w:uiPriority w:val="0"/>
    <w:pPr>
      <w:tabs>
        <w:tab w:val="right" w:leader="dot" w:pos="8296"/>
      </w:tabs>
      <w:ind w:left="210"/>
      <w:jc w:val="left"/>
    </w:pPr>
    <w:rPr>
      <w:smallCaps/>
    </w:rPr>
  </w:style>
  <w:style w:type="paragraph" w:styleId="34">
    <w:name w:val="toc 9"/>
    <w:basedOn w:val="1"/>
    <w:next w:val="1"/>
    <w:autoRedefine/>
    <w:semiHidden/>
    <w:qFormat/>
    <w:uiPriority w:val="0"/>
    <w:pPr>
      <w:ind w:left="1680"/>
      <w:jc w:val="left"/>
    </w:pPr>
    <w:rPr>
      <w:szCs w:val="21"/>
    </w:rPr>
  </w:style>
  <w:style w:type="paragraph" w:styleId="35">
    <w:name w:val="Body Text 2"/>
    <w:basedOn w:val="1"/>
    <w:link w:val="102"/>
    <w:autoRedefine/>
    <w:qFormat/>
    <w:uiPriority w:val="0"/>
    <w:pPr>
      <w:spacing w:line="360" w:lineRule="auto"/>
    </w:pPr>
    <w:rPr>
      <w:sz w:val="24"/>
    </w:rPr>
  </w:style>
  <w:style w:type="paragraph" w:styleId="36">
    <w:name w:val="HTML Preformatted"/>
    <w:basedOn w:val="1"/>
    <w:link w:val="9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autoRedefine/>
    <w:qFormat/>
    <w:uiPriority w:val="99"/>
    <w:rPr>
      <w:sz w:val="24"/>
    </w:rPr>
  </w:style>
  <w:style w:type="paragraph" w:styleId="38">
    <w:name w:val="index 1"/>
    <w:basedOn w:val="1"/>
    <w:next w:val="1"/>
    <w:autoRedefine/>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39">
    <w:name w:val="Title"/>
    <w:basedOn w:val="1"/>
    <w:link w:val="93"/>
    <w:autoRedefine/>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191"/>
    <w:autoRedefine/>
    <w:qFormat/>
    <w:uiPriority w:val="0"/>
    <w:pPr>
      <w:autoSpaceDE/>
      <w:autoSpaceDN/>
      <w:adjustRightInd/>
      <w:textAlignment w:val="auto"/>
    </w:pPr>
    <w:rPr>
      <w:rFonts w:ascii="Times New Roman"/>
      <w:b/>
      <w:bCs/>
      <w:kern w:val="2"/>
      <w:sz w:val="21"/>
      <w:szCs w:val="24"/>
    </w:rPr>
  </w:style>
  <w:style w:type="paragraph" w:styleId="41">
    <w:name w:val="Body Text First Indent"/>
    <w:basedOn w:val="18"/>
    <w:link w:val="136"/>
    <w:autoRedefine/>
    <w:qFormat/>
    <w:uiPriority w:val="0"/>
    <w:pPr>
      <w:spacing w:after="120" w:line="240" w:lineRule="auto"/>
      <w:ind w:firstLine="420" w:firstLineChars="100"/>
    </w:pPr>
    <w:rPr>
      <w:sz w:val="21"/>
    </w:rPr>
  </w:style>
  <w:style w:type="table" w:styleId="43">
    <w:name w:val="Table Grid"/>
    <w:basedOn w:val="4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autoRedefine/>
    <w:qFormat/>
    <w:uiPriority w:val="22"/>
    <w:rPr>
      <w:b/>
      <w:bCs/>
    </w:rPr>
  </w:style>
  <w:style w:type="character" w:styleId="46">
    <w:name w:val="page number"/>
    <w:basedOn w:val="44"/>
    <w:autoRedefine/>
    <w:qFormat/>
    <w:uiPriority w:val="0"/>
  </w:style>
  <w:style w:type="character" w:styleId="47">
    <w:name w:val="FollowedHyperlink"/>
    <w:basedOn w:val="44"/>
    <w:autoRedefine/>
    <w:qFormat/>
    <w:uiPriority w:val="0"/>
    <w:rPr>
      <w:color w:val="5C5C5C"/>
      <w:u w:val="none"/>
    </w:rPr>
  </w:style>
  <w:style w:type="character" w:styleId="48">
    <w:name w:val="Emphasis"/>
    <w:basedOn w:val="44"/>
    <w:autoRedefine/>
    <w:qFormat/>
    <w:uiPriority w:val="0"/>
    <w:rPr>
      <w:b/>
      <w:bCs/>
    </w:rPr>
  </w:style>
  <w:style w:type="character" w:styleId="49">
    <w:name w:val="HTML Definition"/>
    <w:basedOn w:val="44"/>
    <w:autoRedefine/>
    <w:semiHidden/>
    <w:unhideWhenUsed/>
    <w:qFormat/>
    <w:uiPriority w:val="0"/>
  </w:style>
  <w:style w:type="character" w:styleId="50">
    <w:name w:val="HTML Typewriter"/>
    <w:basedOn w:val="44"/>
    <w:autoRedefine/>
    <w:semiHidden/>
    <w:unhideWhenUsed/>
    <w:qFormat/>
    <w:uiPriority w:val="0"/>
    <w:rPr>
      <w:rFonts w:hint="default" w:ascii="monospace" w:hAnsi="monospace" w:eastAsia="monospace" w:cs="monospace"/>
      <w:sz w:val="20"/>
    </w:rPr>
  </w:style>
  <w:style w:type="character" w:styleId="51">
    <w:name w:val="HTML Acronym"/>
    <w:basedOn w:val="44"/>
    <w:autoRedefine/>
    <w:semiHidden/>
    <w:unhideWhenUsed/>
    <w:qFormat/>
    <w:uiPriority w:val="0"/>
  </w:style>
  <w:style w:type="character" w:styleId="52">
    <w:name w:val="HTML Variable"/>
    <w:basedOn w:val="44"/>
    <w:autoRedefine/>
    <w:semiHidden/>
    <w:unhideWhenUsed/>
    <w:qFormat/>
    <w:uiPriority w:val="0"/>
  </w:style>
  <w:style w:type="character" w:styleId="53">
    <w:name w:val="Hyperlink"/>
    <w:basedOn w:val="44"/>
    <w:autoRedefine/>
    <w:qFormat/>
    <w:uiPriority w:val="0"/>
    <w:rPr>
      <w:color w:val="5C5C5C"/>
      <w:u w:val="none"/>
    </w:rPr>
  </w:style>
  <w:style w:type="character" w:styleId="54">
    <w:name w:val="HTML Code"/>
    <w:basedOn w:val="44"/>
    <w:autoRedefine/>
    <w:semiHidden/>
    <w:unhideWhenUsed/>
    <w:qFormat/>
    <w:uiPriority w:val="0"/>
    <w:rPr>
      <w:rFonts w:hint="default" w:ascii="monospace" w:hAnsi="monospace" w:eastAsia="monospace" w:cs="monospace"/>
      <w:color w:val="5C5C5C"/>
      <w:sz w:val="21"/>
      <w:szCs w:val="21"/>
      <w:u w:val="none"/>
      <w:bdr w:val="single" w:color="D6D6D6" w:sz="6" w:space="0"/>
      <w:shd w:val="clear" w:fill="FFFFFF"/>
    </w:rPr>
  </w:style>
  <w:style w:type="character" w:styleId="55">
    <w:name w:val="annotation reference"/>
    <w:basedOn w:val="44"/>
    <w:autoRedefine/>
    <w:qFormat/>
    <w:uiPriority w:val="0"/>
    <w:rPr>
      <w:sz w:val="21"/>
      <w:szCs w:val="21"/>
    </w:rPr>
  </w:style>
  <w:style w:type="character" w:styleId="56">
    <w:name w:val="HTML Cite"/>
    <w:basedOn w:val="44"/>
    <w:autoRedefine/>
    <w:semiHidden/>
    <w:unhideWhenUsed/>
    <w:qFormat/>
    <w:uiPriority w:val="0"/>
  </w:style>
  <w:style w:type="character" w:styleId="57">
    <w:name w:val="HTML Keyboard"/>
    <w:basedOn w:val="44"/>
    <w:autoRedefine/>
    <w:semiHidden/>
    <w:unhideWhenUsed/>
    <w:qFormat/>
    <w:uiPriority w:val="0"/>
    <w:rPr>
      <w:rFonts w:ascii="monospace" w:hAnsi="monospace" w:eastAsia="monospace" w:cs="monospace"/>
      <w:sz w:val="20"/>
    </w:rPr>
  </w:style>
  <w:style w:type="character" w:styleId="58">
    <w:name w:val="HTML Sample"/>
    <w:basedOn w:val="44"/>
    <w:autoRedefine/>
    <w:semiHidden/>
    <w:unhideWhenUsed/>
    <w:qFormat/>
    <w:uiPriority w:val="0"/>
    <w:rPr>
      <w:rFonts w:hint="default" w:ascii="monospace" w:hAnsi="monospace" w:eastAsia="monospace" w:cs="monospace"/>
    </w:rPr>
  </w:style>
  <w:style w:type="character" w:customStyle="1" w:styleId="59">
    <w:name w:val="标题 4 Char"/>
    <w:link w:val="4"/>
    <w:autoRedefine/>
    <w:qFormat/>
    <w:uiPriority w:val="0"/>
    <w:rPr>
      <w:rFonts w:ascii="Arial" w:hAnsi="Arial" w:eastAsia="黑体"/>
      <w:b/>
      <w:bCs/>
      <w:kern w:val="2"/>
      <w:sz w:val="28"/>
      <w:szCs w:val="28"/>
      <w:lang w:val="en-US" w:eastAsia="zh-CN" w:bidi="ar-SA"/>
    </w:rPr>
  </w:style>
  <w:style w:type="paragraph" w:customStyle="1" w:styleId="60">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61">
    <w:name w:val="标题 3 Char1"/>
    <w:link w:val="3"/>
    <w:autoRedefine/>
    <w:qFormat/>
    <w:uiPriority w:val="0"/>
    <w:rPr>
      <w:rFonts w:ascii="宋体" w:hAnsi="宋体" w:eastAsia="宋体"/>
      <w:b/>
      <w:bCs/>
      <w:kern w:val="2"/>
      <w:sz w:val="28"/>
      <w:szCs w:val="32"/>
      <w:lang w:val="en-US" w:eastAsia="zh-CN" w:bidi="ar-SA"/>
    </w:rPr>
  </w:style>
  <w:style w:type="character" w:customStyle="1" w:styleId="62">
    <w:name w:val="标题 1 Char"/>
    <w:link w:val="2"/>
    <w:autoRedefine/>
    <w:qFormat/>
    <w:uiPriority w:val="9"/>
    <w:rPr>
      <w:rFonts w:ascii="宋体" w:hAnsi="宋体" w:eastAsia="黑体"/>
      <w:b/>
      <w:bCs/>
      <w:kern w:val="44"/>
      <w:sz w:val="28"/>
      <w:szCs w:val="44"/>
      <w:lang w:val="en-US" w:eastAsia="zh-CN" w:bidi="ar-SA"/>
    </w:rPr>
  </w:style>
  <w:style w:type="character" w:customStyle="1" w:styleId="63">
    <w:name w:val="正文缩进 Char"/>
    <w:link w:val="7"/>
    <w:autoRedefine/>
    <w:qFormat/>
    <w:uiPriority w:val="0"/>
    <w:rPr>
      <w:rFonts w:eastAsia="宋体"/>
      <w:kern w:val="2"/>
      <w:sz w:val="21"/>
      <w:lang w:val="en-US" w:eastAsia="zh-CN" w:bidi="ar-SA"/>
    </w:rPr>
  </w:style>
  <w:style w:type="character" w:customStyle="1" w:styleId="64">
    <w:name w:val="标题 3 Char"/>
    <w:autoRedefine/>
    <w:qFormat/>
    <w:uiPriority w:val="9"/>
    <w:rPr>
      <w:rFonts w:ascii="黑体" w:eastAsia="黑体"/>
      <w:bCs/>
      <w:sz w:val="30"/>
    </w:rPr>
  </w:style>
  <w:style w:type="paragraph" w:customStyle="1" w:styleId="65">
    <w:name w:val="样式41"/>
    <w:basedOn w:val="1"/>
    <w:autoRedefine/>
    <w:qFormat/>
    <w:uiPriority w:val="0"/>
    <w:pPr>
      <w:numPr>
        <w:ilvl w:val="0"/>
        <w:numId w:val="2"/>
      </w:numPr>
      <w:tabs>
        <w:tab w:val="left" w:pos="945"/>
      </w:tabs>
      <w:spacing w:line="360" w:lineRule="auto"/>
    </w:pPr>
    <w:rPr>
      <w:b/>
      <w:color w:val="000000"/>
      <w:sz w:val="24"/>
      <w:szCs w:val="20"/>
    </w:rPr>
  </w:style>
  <w:style w:type="paragraph" w:customStyle="1" w:styleId="66">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67">
    <w:name w:val="文档正文"/>
    <w:basedOn w:val="1"/>
    <w:autoRedefine/>
    <w:qFormat/>
    <w:uiPriority w:val="0"/>
    <w:pPr>
      <w:adjustRightInd w:val="0"/>
      <w:spacing w:line="480" w:lineRule="atLeast"/>
      <w:ind w:firstLine="567" w:firstLineChars="200"/>
      <w:textAlignment w:val="baseline"/>
    </w:pPr>
    <w:rPr>
      <w:rFonts w:ascii="长城仿宋"/>
      <w:kern w:val="0"/>
      <w:szCs w:val="20"/>
    </w:rPr>
  </w:style>
  <w:style w:type="paragraph" w:customStyle="1" w:styleId="68">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9">
    <w:name w:val="Char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72">
    <w:name w:val="自定义正文"/>
    <w:basedOn w:val="1"/>
    <w:autoRedefine/>
    <w:qFormat/>
    <w:uiPriority w:val="0"/>
    <w:pPr>
      <w:spacing w:afterLines="50"/>
      <w:ind w:left="600" w:leftChars="600"/>
    </w:pPr>
  </w:style>
  <w:style w:type="paragraph" w:customStyle="1" w:styleId="73">
    <w:name w:val="Char Char Char Char Char"/>
    <w:basedOn w:val="1"/>
    <w:autoRedefine/>
    <w:qFormat/>
    <w:uiPriority w:val="0"/>
    <w:rPr>
      <w:rFonts w:ascii="Tahoma" w:hAnsi="Tahoma"/>
      <w:sz w:val="24"/>
      <w:szCs w:val="20"/>
    </w:rPr>
  </w:style>
  <w:style w:type="paragraph" w:customStyle="1" w:styleId="74">
    <w:name w:val="小标题 1"/>
    <w:basedOn w:val="1"/>
    <w:autoRedefine/>
    <w:qFormat/>
    <w:uiPriority w:val="0"/>
    <w:pPr>
      <w:autoSpaceDE w:val="0"/>
      <w:autoSpaceDN w:val="0"/>
      <w:adjustRightInd w:val="0"/>
      <w:spacing w:line="360" w:lineRule="atLeast"/>
    </w:pPr>
    <w:rPr>
      <w:rFonts w:ascii="文鼎粗黑" w:eastAsia="文鼎粗黑"/>
      <w:kern w:val="0"/>
      <w:sz w:val="22"/>
      <w:szCs w:val="20"/>
    </w:rPr>
  </w:style>
  <w:style w:type="paragraph" w:customStyle="1" w:styleId="75">
    <w:name w:val="Char Char"/>
    <w:basedOn w:val="1"/>
    <w:autoRedefine/>
    <w:qFormat/>
    <w:uiPriority w:val="0"/>
    <w:rPr>
      <w:rFonts w:ascii="Tahoma" w:hAnsi="Tahoma"/>
      <w:sz w:val="24"/>
      <w:szCs w:val="20"/>
    </w:rPr>
  </w:style>
  <w:style w:type="paragraph" w:customStyle="1" w:styleId="76">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character" w:customStyle="1" w:styleId="77">
    <w:name w:val="标题 2 Char"/>
    <w:link w:val="5"/>
    <w:autoRedefine/>
    <w:qFormat/>
    <w:uiPriority w:val="0"/>
    <w:rPr>
      <w:rFonts w:ascii="宋体" w:hAnsi="宋体" w:eastAsia="宋体"/>
      <w:b/>
      <w:bCs/>
      <w:sz w:val="24"/>
      <w:lang w:val="en-US" w:eastAsia="zh-CN" w:bidi="ar-SA"/>
    </w:rPr>
  </w:style>
  <w:style w:type="paragraph" w:customStyle="1" w:styleId="7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styleId="79">
    <w:name w:val="List Paragraph"/>
    <w:basedOn w:val="1"/>
    <w:autoRedefine/>
    <w:qFormat/>
    <w:uiPriority w:val="0"/>
    <w:pPr>
      <w:ind w:firstLine="420" w:firstLineChars="200"/>
    </w:pPr>
    <w:rPr>
      <w:rFonts w:ascii="Calibri" w:hAnsi="Calibri"/>
      <w:szCs w:val="22"/>
    </w:rPr>
  </w:style>
  <w:style w:type="paragraph" w:customStyle="1" w:styleId="80">
    <w:name w:val="USE 1"/>
    <w:basedOn w:val="1"/>
    <w:autoRedefine/>
    <w:qFormat/>
    <w:uiPriority w:val="0"/>
    <w:pPr>
      <w:spacing w:line="200" w:lineRule="atLeast"/>
      <w:jc w:val="left"/>
    </w:pPr>
    <w:rPr>
      <w:rFonts w:ascii="宋体" w:hAnsi="宋体"/>
      <w:b/>
      <w:sz w:val="24"/>
      <w:szCs w:val="28"/>
    </w:rPr>
  </w:style>
  <w:style w:type="paragraph" w:customStyle="1" w:styleId="81">
    <w:name w:val="RFI text from 3rd Level"/>
    <w:basedOn w:val="1"/>
    <w:autoRedefine/>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82">
    <w:name w:val="正文文字缩进项目"/>
    <w:basedOn w:val="19"/>
    <w:autoRedefine/>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83">
    <w:name w:val="样式 标题 2 + 段前: 13 磅 段后: 13 磅 行距: 单倍行距"/>
    <w:basedOn w:val="5"/>
    <w:autoRedefine/>
    <w:qFormat/>
    <w:uiPriority w:val="0"/>
    <w:pPr>
      <w:adjustRightInd/>
      <w:spacing w:before="0" w:after="0"/>
      <w:jc w:val="both"/>
      <w:textAlignment w:val="auto"/>
    </w:pPr>
    <w:rPr>
      <w:rFonts w:ascii="Cambria" w:hAnsi="Cambria" w:cs="宋体"/>
      <w:kern w:val="2"/>
      <w:sz w:val="32"/>
    </w:rPr>
  </w:style>
  <w:style w:type="character" w:customStyle="1" w:styleId="84">
    <w:name w:val="H4 Char2"/>
    <w:autoRedefine/>
    <w:qFormat/>
    <w:uiPriority w:val="0"/>
    <w:rPr>
      <w:rFonts w:ascii="Arial" w:hAnsi="Arial" w:eastAsia="黑体"/>
      <w:b/>
      <w:bCs/>
      <w:kern w:val="2"/>
      <w:sz w:val="28"/>
      <w:szCs w:val="28"/>
      <w:lang w:val="en-US" w:eastAsia="zh-CN" w:bidi="ar-SA"/>
    </w:rPr>
  </w:style>
  <w:style w:type="character" w:customStyle="1" w:styleId="85">
    <w:name w:val="正文文本缩进 Char"/>
    <w:link w:val="19"/>
    <w:autoRedefine/>
    <w:qFormat/>
    <w:uiPriority w:val="0"/>
    <w:rPr>
      <w:rFonts w:eastAsia="宋体"/>
      <w:kern w:val="2"/>
      <w:sz w:val="21"/>
      <w:szCs w:val="24"/>
      <w:lang w:val="en-US" w:eastAsia="zh-CN" w:bidi="ar-SA"/>
    </w:rPr>
  </w:style>
  <w:style w:type="character" w:customStyle="1" w:styleId="86">
    <w:name w:val="标题 5 Char"/>
    <w:link w:val="6"/>
    <w:autoRedefine/>
    <w:qFormat/>
    <w:uiPriority w:val="0"/>
    <w:rPr>
      <w:rFonts w:eastAsia="宋体"/>
      <w:b/>
      <w:kern w:val="2"/>
      <w:sz w:val="28"/>
      <w:lang w:val="en-US" w:eastAsia="zh-CN" w:bidi="ar-SA"/>
    </w:rPr>
  </w:style>
  <w:style w:type="character" w:customStyle="1" w:styleId="87">
    <w:name w:val="第*章 Char"/>
    <w:autoRedefine/>
    <w:qFormat/>
    <w:uiPriority w:val="0"/>
    <w:rPr>
      <w:rFonts w:ascii="Arial" w:hAnsi="Arial" w:eastAsia="黑体"/>
      <w:b/>
      <w:bCs/>
      <w:kern w:val="2"/>
      <w:sz w:val="32"/>
      <w:szCs w:val="32"/>
    </w:rPr>
  </w:style>
  <w:style w:type="character" w:customStyle="1" w:styleId="88">
    <w:name w:val="章标题1 Char"/>
    <w:autoRedefine/>
    <w:qFormat/>
    <w:uiPriority w:val="0"/>
    <w:rPr>
      <w:rFonts w:eastAsia="宋体"/>
      <w:b/>
      <w:bCs/>
      <w:kern w:val="2"/>
      <w:sz w:val="32"/>
      <w:szCs w:val="32"/>
      <w:lang w:val="en-US" w:eastAsia="zh-CN" w:bidi="ar-SA"/>
    </w:rPr>
  </w:style>
  <w:style w:type="character" w:customStyle="1" w:styleId="89">
    <w:name w:val="标题 6 Char"/>
    <w:link w:val="8"/>
    <w:autoRedefine/>
    <w:qFormat/>
    <w:uiPriority w:val="0"/>
    <w:rPr>
      <w:rFonts w:ascii="Arial" w:hAnsi="Arial" w:eastAsia="黑体"/>
      <w:b/>
      <w:kern w:val="2"/>
      <w:sz w:val="24"/>
      <w:lang w:val="en-US" w:eastAsia="zh-CN" w:bidi="ar-SA"/>
    </w:rPr>
  </w:style>
  <w:style w:type="character" w:customStyle="1" w:styleId="90">
    <w:name w:val="标题 7 Char"/>
    <w:link w:val="9"/>
    <w:autoRedefine/>
    <w:qFormat/>
    <w:uiPriority w:val="0"/>
    <w:rPr>
      <w:rFonts w:eastAsia="宋体"/>
      <w:b/>
      <w:kern w:val="2"/>
      <w:sz w:val="24"/>
      <w:lang w:val="en-US" w:eastAsia="zh-CN" w:bidi="ar-SA"/>
    </w:rPr>
  </w:style>
  <w:style w:type="character" w:customStyle="1" w:styleId="91">
    <w:name w:val="标题 8 Char"/>
    <w:link w:val="10"/>
    <w:autoRedefine/>
    <w:qFormat/>
    <w:uiPriority w:val="0"/>
    <w:rPr>
      <w:rFonts w:ascii="Arial" w:hAnsi="Arial" w:eastAsia="黑体"/>
      <w:kern w:val="2"/>
      <w:sz w:val="24"/>
      <w:lang w:val="en-US" w:eastAsia="zh-CN" w:bidi="ar-SA"/>
    </w:rPr>
  </w:style>
  <w:style w:type="character" w:customStyle="1" w:styleId="92">
    <w:name w:val="标题 9 Char"/>
    <w:link w:val="11"/>
    <w:autoRedefine/>
    <w:qFormat/>
    <w:uiPriority w:val="0"/>
    <w:rPr>
      <w:rFonts w:ascii="Arial" w:hAnsi="Arial" w:eastAsia="黑体"/>
      <w:kern w:val="2"/>
      <w:sz w:val="21"/>
      <w:lang w:val="en-US" w:eastAsia="zh-CN" w:bidi="ar-SA"/>
    </w:rPr>
  </w:style>
  <w:style w:type="character" w:customStyle="1" w:styleId="93">
    <w:name w:val="标题 Char"/>
    <w:link w:val="39"/>
    <w:autoRedefine/>
    <w:qFormat/>
    <w:uiPriority w:val="0"/>
    <w:rPr>
      <w:rFonts w:ascii="Arial" w:hAnsi="Arial" w:eastAsia="隶书" w:cs="Arial"/>
      <w:b/>
      <w:bCs/>
      <w:kern w:val="2"/>
      <w:sz w:val="32"/>
      <w:szCs w:val="32"/>
      <w:lang w:val="en-US" w:eastAsia="zh-CN" w:bidi="ar-SA"/>
    </w:rPr>
  </w:style>
  <w:style w:type="character" w:customStyle="1" w:styleId="94">
    <w:name w:val="日期 Char"/>
    <w:link w:val="24"/>
    <w:autoRedefine/>
    <w:qFormat/>
    <w:uiPriority w:val="0"/>
    <w:rPr>
      <w:rFonts w:ascii="宋体" w:hAnsi="Courier New" w:eastAsia="宋体"/>
      <w:kern w:val="2"/>
      <w:sz w:val="32"/>
      <w:lang w:val="en-US" w:eastAsia="zh-CN" w:bidi="ar-SA"/>
    </w:rPr>
  </w:style>
  <w:style w:type="character" w:customStyle="1" w:styleId="95">
    <w:name w:val="HTML 预设格式 Char"/>
    <w:link w:val="36"/>
    <w:autoRedefine/>
    <w:qFormat/>
    <w:uiPriority w:val="0"/>
    <w:rPr>
      <w:rFonts w:ascii="Arial Unicode MS" w:hAnsi="Arial Unicode MS" w:eastAsia="Arial Unicode MS"/>
      <w:color w:val="000000"/>
      <w:lang w:val="en-US" w:eastAsia="zh-CN" w:bidi="ar-SA"/>
    </w:rPr>
  </w:style>
  <w:style w:type="character" w:customStyle="1" w:styleId="96">
    <w:name w:val="纯文本 Char"/>
    <w:link w:val="22"/>
    <w:autoRedefine/>
    <w:qFormat/>
    <w:uiPriority w:val="0"/>
    <w:rPr>
      <w:rFonts w:ascii="宋体" w:hAnsi="Courier New" w:eastAsia="宋体"/>
      <w:kern w:val="2"/>
      <w:sz w:val="21"/>
      <w:lang w:val="en-US" w:eastAsia="zh-CN" w:bidi="ar-SA"/>
    </w:rPr>
  </w:style>
  <w:style w:type="character" w:customStyle="1" w:styleId="97">
    <w:name w:val="正文文字首行缩进 Char"/>
    <w:autoRedefine/>
    <w:qFormat/>
    <w:uiPriority w:val="0"/>
    <w:rPr>
      <w:kern w:val="2"/>
      <w:sz w:val="21"/>
      <w:szCs w:val="24"/>
    </w:rPr>
  </w:style>
  <w:style w:type="character" w:customStyle="1" w:styleId="98">
    <w:name w:val="正文文本 Char"/>
    <w:link w:val="18"/>
    <w:autoRedefine/>
    <w:qFormat/>
    <w:uiPriority w:val="99"/>
    <w:rPr>
      <w:rFonts w:eastAsia="宋体"/>
      <w:b/>
      <w:bCs/>
      <w:kern w:val="2"/>
      <w:sz w:val="24"/>
      <w:szCs w:val="24"/>
      <w:lang w:val="en-US" w:eastAsia="zh-CN" w:bidi="ar-SA"/>
    </w:rPr>
  </w:style>
  <w:style w:type="character" w:customStyle="1" w:styleId="99">
    <w:name w:val="正文文本缩进 2 Char"/>
    <w:link w:val="25"/>
    <w:autoRedefine/>
    <w:qFormat/>
    <w:uiPriority w:val="0"/>
    <w:rPr>
      <w:rFonts w:ascii="宋体" w:hAnsi="宋体" w:eastAsia="宋体"/>
      <w:kern w:val="2"/>
      <w:sz w:val="21"/>
      <w:szCs w:val="24"/>
      <w:lang w:val="en-US" w:eastAsia="zh-CN" w:bidi="ar-SA"/>
    </w:rPr>
  </w:style>
  <w:style w:type="character" w:customStyle="1" w:styleId="100">
    <w:name w:val="页眉 Char"/>
    <w:link w:val="28"/>
    <w:autoRedefine/>
    <w:qFormat/>
    <w:uiPriority w:val="99"/>
    <w:rPr>
      <w:rFonts w:eastAsia="宋体"/>
      <w:kern w:val="2"/>
      <w:sz w:val="18"/>
      <w:szCs w:val="18"/>
      <w:lang w:val="en-US" w:eastAsia="zh-CN" w:bidi="ar-SA"/>
    </w:rPr>
  </w:style>
  <w:style w:type="character" w:customStyle="1" w:styleId="101">
    <w:name w:val="正文文本缩进 3 Char"/>
    <w:link w:val="32"/>
    <w:autoRedefine/>
    <w:qFormat/>
    <w:uiPriority w:val="0"/>
    <w:rPr>
      <w:rFonts w:ascii="宋体" w:eastAsia="宋体"/>
      <w:b/>
      <w:bCs/>
      <w:kern w:val="2"/>
      <w:sz w:val="24"/>
      <w:szCs w:val="24"/>
      <w:lang w:val="en-US" w:eastAsia="zh-CN" w:bidi="ar-SA"/>
    </w:rPr>
  </w:style>
  <w:style w:type="character" w:customStyle="1" w:styleId="102">
    <w:name w:val="正文文本 2 Char"/>
    <w:link w:val="35"/>
    <w:autoRedefine/>
    <w:qFormat/>
    <w:uiPriority w:val="0"/>
    <w:rPr>
      <w:rFonts w:eastAsia="宋体"/>
      <w:kern w:val="2"/>
      <w:sz w:val="24"/>
      <w:szCs w:val="24"/>
      <w:lang w:val="en-US" w:eastAsia="zh-CN" w:bidi="ar-SA"/>
    </w:rPr>
  </w:style>
  <w:style w:type="character" w:customStyle="1" w:styleId="103">
    <w:name w:val="页脚 Char"/>
    <w:link w:val="27"/>
    <w:autoRedefine/>
    <w:qFormat/>
    <w:uiPriority w:val="99"/>
    <w:rPr>
      <w:rFonts w:eastAsia="宋体"/>
      <w:kern w:val="2"/>
      <w:sz w:val="18"/>
      <w:szCs w:val="18"/>
      <w:lang w:val="en-US" w:eastAsia="zh-CN" w:bidi="ar-SA"/>
    </w:rPr>
  </w:style>
  <w:style w:type="character" w:customStyle="1" w:styleId="104">
    <w:name w:val="正文文本 3 Char"/>
    <w:link w:val="17"/>
    <w:autoRedefine/>
    <w:qFormat/>
    <w:uiPriority w:val="0"/>
    <w:rPr>
      <w:rFonts w:eastAsia="宋体"/>
      <w:kern w:val="2"/>
      <w:sz w:val="16"/>
      <w:szCs w:val="16"/>
      <w:lang w:val="en-US" w:eastAsia="zh-CN" w:bidi="ar-SA"/>
    </w:rPr>
  </w:style>
  <w:style w:type="character" w:customStyle="1" w:styleId="105">
    <w:name w:val="批注框文本 Char"/>
    <w:link w:val="26"/>
    <w:autoRedefine/>
    <w:semiHidden/>
    <w:qFormat/>
    <w:uiPriority w:val="0"/>
    <w:rPr>
      <w:rFonts w:eastAsia="宋体"/>
      <w:kern w:val="2"/>
      <w:sz w:val="18"/>
      <w:szCs w:val="18"/>
      <w:lang w:val="en-US" w:eastAsia="zh-CN" w:bidi="ar-SA"/>
    </w:rPr>
  </w:style>
  <w:style w:type="paragraph" w:customStyle="1" w:styleId="106">
    <w:name w:val="样式1"/>
    <w:basedOn w:val="39"/>
    <w:autoRedefine/>
    <w:qFormat/>
    <w:uiPriority w:val="0"/>
    <w:pPr>
      <w:spacing w:before="120" w:after="120"/>
    </w:pPr>
    <w:rPr>
      <w:rFonts w:eastAsia="黑体"/>
      <w:b w:val="0"/>
      <w:sz w:val="30"/>
      <w:szCs w:val="21"/>
    </w:rPr>
  </w:style>
  <w:style w:type="paragraph" w:customStyle="1" w:styleId="107">
    <w:name w:val="样式2"/>
    <w:basedOn w:val="39"/>
    <w:next w:val="106"/>
    <w:autoRedefine/>
    <w:qFormat/>
    <w:uiPriority w:val="0"/>
    <w:pPr>
      <w:spacing w:before="120" w:after="120"/>
    </w:pPr>
    <w:rPr>
      <w:rFonts w:eastAsia="黑体"/>
      <w:b w:val="0"/>
      <w:sz w:val="30"/>
      <w:szCs w:val="30"/>
    </w:rPr>
  </w:style>
  <w:style w:type="character" w:customStyle="1" w:styleId="108">
    <w:name w:val="标题 3 Char Char"/>
    <w:autoRedefine/>
    <w:qFormat/>
    <w:uiPriority w:val="0"/>
    <w:rPr>
      <w:rFonts w:eastAsia="宋体"/>
      <w:b/>
      <w:bCs/>
      <w:kern w:val="2"/>
      <w:sz w:val="32"/>
      <w:szCs w:val="32"/>
      <w:lang w:val="en-US" w:eastAsia="zh-CN" w:bidi="ar-SA"/>
    </w:rPr>
  </w:style>
  <w:style w:type="paragraph" w:customStyle="1" w:styleId="109">
    <w:name w:val="Char Char Char Char Char Char1 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10">
    <w:name w:val="cont"/>
    <w:basedOn w:val="1"/>
    <w:autoRedefine/>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11">
    <w:name w:val="--规划正文"/>
    <w:basedOn w:val="1"/>
    <w:autoRedefine/>
    <w:qFormat/>
    <w:uiPriority w:val="0"/>
    <w:pPr>
      <w:spacing w:line="360" w:lineRule="auto"/>
      <w:ind w:firstLine="200" w:firstLineChars="200"/>
    </w:pPr>
    <w:rPr>
      <w:szCs w:val="20"/>
    </w:rPr>
  </w:style>
  <w:style w:type="paragraph" w:customStyle="1" w:styleId="112">
    <w:name w:val="设计依据"/>
    <w:basedOn w:val="18"/>
    <w:autoRedefine/>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13">
    <w:name w:val="方案要点"/>
    <w:basedOn w:val="1"/>
    <w:autoRedefine/>
    <w:qFormat/>
    <w:uiPriority w:val="0"/>
    <w:pPr>
      <w:numPr>
        <w:ilvl w:val="0"/>
        <w:numId w:val="4"/>
      </w:numPr>
      <w:spacing w:line="360" w:lineRule="auto"/>
    </w:pPr>
    <w:rPr>
      <w:rFonts w:ascii="仿宋_GB2312" w:hAnsi="宋体" w:eastAsia="仿宋_GB2312"/>
      <w:color w:val="000000"/>
      <w:sz w:val="28"/>
      <w:szCs w:val="28"/>
    </w:rPr>
  </w:style>
  <w:style w:type="paragraph" w:customStyle="1" w:styleId="114">
    <w:name w:val="样式4"/>
    <w:basedOn w:val="1"/>
    <w:autoRedefine/>
    <w:qFormat/>
    <w:uiPriority w:val="0"/>
    <w:pPr>
      <w:tabs>
        <w:tab w:val="left" w:pos="842"/>
      </w:tabs>
      <w:spacing w:line="360" w:lineRule="auto"/>
      <w:ind w:left="842" w:hanging="420"/>
    </w:pPr>
    <w:rPr>
      <w:sz w:val="24"/>
    </w:rPr>
  </w:style>
  <w:style w:type="paragraph" w:customStyle="1" w:styleId="115">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116">
    <w:name w:val="--规划-表格-居左"/>
    <w:basedOn w:val="111"/>
    <w:autoRedefine/>
    <w:qFormat/>
    <w:uiPriority w:val="0"/>
    <w:pPr>
      <w:spacing w:line="240" w:lineRule="auto"/>
      <w:ind w:firstLine="0" w:firstLineChars="0"/>
    </w:pPr>
    <w:rPr>
      <w:sz w:val="20"/>
    </w:rPr>
  </w:style>
  <w:style w:type="paragraph" w:customStyle="1" w:styleId="117">
    <w:name w:val="--规划-表格-居中"/>
    <w:basedOn w:val="111"/>
    <w:autoRedefine/>
    <w:qFormat/>
    <w:uiPriority w:val="0"/>
    <w:pPr>
      <w:spacing w:line="240" w:lineRule="auto"/>
      <w:ind w:firstLine="0" w:firstLineChars="0"/>
      <w:jc w:val="center"/>
    </w:pPr>
    <w:rPr>
      <w:sz w:val="20"/>
    </w:rPr>
  </w:style>
  <w:style w:type="paragraph" w:customStyle="1" w:styleId="118">
    <w:name w:val="--编号内缩进"/>
    <w:basedOn w:val="1"/>
    <w:autoRedefine/>
    <w:qFormat/>
    <w:uiPriority w:val="0"/>
    <w:pPr>
      <w:spacing w:line="360" w:lineRule="auto"/>
      <w:ind w:left="420" w:firstLine="200" w:firstLineChars="200"/>
    </w:pPr>
    <w:rPr>
      <w:szCs w:val="21"/>
    </w:rPr>
  </w:style>
  <w:style w:type="paragraph" w:customStyle="1" w:styleId="119">
    <w:name w:val="--规划-题注"/>
    <w:basedOn w:val="1"/>
    <w:next w:val="111"/>
    <w:autoRedefine/>
    <w:qFormat/>
    <w:uiPriority w:val="0"/>
    <w:pPr>
      <w:spacing w:line="360" w:lineRule="auto"/>
      <w:jc w:val="center"/>
    </w:pPr>
    <w:rPr>
      <w:rFonts w:eastAsia="黑体"/>
    </w:rPr>
  </w:style>
  <w:style w:type="paragraph" w:customStyle="1" w:styleId="120">
    <w:name w:val="--规划-图和表"/>
    <w:next w:val="111"/>
    <w:autoRedefine/>
    <w:qFormat/>
    <w:uiPriority w:val="0"/>
    <w:pPr>
      <w:jc w:val="center"/>
    </w:pPr>
    <w:rPr>
      <w:rFonts w:ascii="Times New Roman" w:hAnsi="Times New Roman" w:eastAsia="宋体" w:cs="Times New Roman"/>
      <w:kern w:val="2"/>
      <w:sz w:val="21"/>
      <w:lang w:val="en-US" w:eastAsia="zh-CN" w:bidi="ar-SA"/>
    </w:rPr>
  </w:style>
  <w:style w:type="paragraph" w:customStyle="1" w:styleId="121">
    <w:name w:val="--规划-小标题"/>
    <w:basedOn w:val="1"/>
    <w:next w:val="111"/>
    <w:autoRedefine/>
    <w:qFormat/>
    <w:uiPriority w:val="0"/>
    <w:pPr>
      <w:keepNext/>
      <w:keepLines/>
      <w:spacing w:line="360" w:lineRule="auto"/>
      <w:outlineLvl w:val="4"/>
    </w:pPr>
    <w:rPr>
      <w:rFonts w:eastAsia="黑体"/>
    </w:rPr>
  </w:style>
  <w:style w:type="paragraph" w:customStyle="1" w:styleId="122">
    <w:name w:val="--规划正文 Char"/>
    <w:basedOn w:val="1"/>
    <w:autoRedefine/>
    <w:qFormat/>
    <w:uiPriority w:val="0"/>
    <w:pPr>
      <w:spacing w:line="360" w:lineRule="auto"/>
      <w:ind w:firstLine="200" w:firstLineChars="200"/>
    </w:pPr>
    <w:rPr>
      <w:sz w:val="24"/>
    </w:rPr>
  </w:style>
  <w:style w:type="paragraph" w:customStyle="1" w:styleId="123">
    <w:name w:val="缺省文本"/>
    <w:basedOn w:val="1"/>
    <w:autoRedefine/>
    <w:qFormat/>
    <w:uiPriority w:val="0"/>
    <w:pPr>
      <w:autoSpaceDE w:val="0"/>
      <w:autoSpaceDN w:val="0"/>
      <w:adjustRightInd w:val="0"/>
      <w:jc w:val="left"/>
    </w:pPr>
    <w:rPr>
      <w:kern w:val="0"/>
    </w:rPr>
  </w:style>
  <w:style w:type="paragraph" w:customStyle="1" w:styleId="124">
    <w:name w:val="封面文档标题"/>
    <w:basedOn w:val="1"/>
    <w:autoRedefine/>
    <w:qFormat/>
    <w:uiPriority w:val="0"/>
    <w:pPr>
      <w:autoSpaceDE w:val="0"/>
      <w:autoSpaceDN w:val="0"/>
      <w:adjustRightInd w:val="0"/>
      <w:spacing w:line="360" w:lineRule="auto"/>
      <w:jc w:val="center"/>
    </w:pPr>
    <w:rPr>
      <w:rFonts w:ascii="Arial" w:hAnsi="Arial"/>
      <w:b/>
      <w:kern w:val="0"/>
      <w:sz w:val="56"/>
    </w:rPr>
  </w:style>
  <w:style w:type="character" w:customStyle="1" w:styleId="125">
    <w:name w:val="--规划正文 Char Char"/>
    <w:autoRedefine/>
    <w:qFormat/>
    <w:uiPriority w:val="0"/>
    <w:rPr>
      <w:rFonts w:eastAsia="宋体"/>
      <w:kern w:val="2"/>
      <w:sz w:val="24"/>
      <w:szCs w:val="24"/>
      <w:lang w:val="en-US" w:eastAsia="zh-CN" w:bidi="ar-SA"/>
    </w:rPr>
  </w:style>
  <w:style w:type="paragraph" w:customStyle="1" w:styleId="126">
    <w:name w:val="样式3"/>
    <w:basedOn w:val="2"/>
    <w:autoRedefine/>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7">
    <w:name w:val="--规划正文 Char1"/>
    <w:autoRedefine/>
    <w:qFormat/>
    <w:uiPriority w:val="0"/>
    <w:rPr>
      <w:rFonts w:eastAsia="宋体"/>
      <w:kern w:val="2"/>
      <w:sz w:val="21"/>
      <w:lang w:val="en-US" w:eastAsia="zh-CN" w:bidi="ar-SA"/>
    </w:rPr>
  </w:style>
  <w:style w:type="paragraph" w:customStyle="1" w:styleId="128">
    <w:name w:val="word"/>
    <w:basedOn w:val="1"/>
    <w:autoRedefine/>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9">
    <w:name w:val="列表项目"/>
    <w:basedOn w:val="1"/>
    <w:autoRedefine/>
    <w:qFormat/>
    <w:uiPriority w:val="0"/>
    <w:pPr>
      <w:tabs>
        <w:tab w:val="left" w:pos="420"/>
        <w:tab w:val="left" w:pos="1080"/>
      </w:tabs>
      <w:spacing w:line="288" w:lineRule="auto"/>
      <w:ind w:left="1080" w:hanging="360"/>
    </w:pPr>
    <w:rPr>
      <w:sz w:val="24"/>
      <w:szCs w:val="20"/>
    </w:rPr>
  </w:style>
  <w:style w:type="character" w:customStyle="1" w:styleId="130">
    <w:name w:val="content1"/>
    <w:autoRedefine/>
    <w:qFormat/>
    <w:uiPriority w:val="0"/>
    <w:rPr>
      <w:rFonts w:hint="default" w:ascii="??" w:hAnsi="??"/>
      <w:sz w:val="16"/>
      <w:szCs w:val="16"/>
      <w:u w:val="none"/>
    </w:rPr>
  </w:style>
  <w:style w:type="character" w:customStyle="1" w:styleId="131">
    <w:name w:val="unnamed4"/>
    <w:basedOn w:val="44"/>
    <w:autoRedefine/>
    <w:qFormat/>
    <w:uiPriority w:val="0"/>
  </w:style>
  <w:style w:type="character" w:customStyle="1" w:styleId="132">
    <w:name w:val="font2"/>
    <w:basedOn w:val="44"/>
    <w:autoRedefine/>
    <w:qFormat/>
    <w:uiPriority w:val="0"/>
  </w:style>
  <w:style w:type="character" w:customStyle="1" w:styleId="133">
    <w:name w:val="font41"/>
    <w:autoRedefine/>
    <w:qFormat/>
    <w:uiPriority w:val="0"/>
    <w:rPr>
      <w:color w:val="000000"/>
      <w:spacing w:val="260"/>
      <w:sz w:val="18"/>
      <w:szCs w:val="18"/>
      <w:u w:val="none"/>
    </w:rPr>
  </w:style>
  <w:style w:type="paragraph" w:customStyle="1" w:styleId="134">
    <w:name w:val="正文(首行缩进)"/>
    <w:autoRedefine/>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35">
    <w:name w:val="xl72"/>
    <w:basedOn w:val="1"/>
    <w:autoRedefine/>
    <w:qFormat/>
    <w:uiPriority w:val="0"/>
    <w:pPr>
      <w:widowControl/>
      <w:spacing w:before="100" w:beforeAutospacing="1" w:after="100" w:afterAutospacing="1"/>
      <w:jc w:val="left"/>
    </w:pPr>
    <w:rPr>
      <w:rFonts w:ascii="宋体" w:hAnsi="宋体"/>
      <w:b/>
      <w:bCs/>
      <w:kern w:val="0"/>
      <w:sz w:val="28"/>
      <w:szCs w:val="28"/>
    </w:rPr>
  </w:style>
  <w:style w:type="character" w:customStyle="1" w:styleId="136">
    <w:name w:val="正文首行缩进 Char"/>
    <w:link w:val="41"/>
    <w:autoRedefine/>
    <w:qFormat/>
    <w:uiPriority w:val="0"/>
    <w:rPr>
      <w:rFonts w:eastAsia="宋体"/>
      <w:b/>
      <w:bCs/>
      <w:kern w:val="2"/>
      <w:sz w:val="21"/>
      <w:szCs w:val="24"/>
      <w:lang w:val="en-US" w:eastAsia="zh-CN" w:bidi="ar-SA"/>
    </w:rPr>
  </w:style>
  <w:style w:type="paragraph" w:customStyle="1" w:styleId="137">
    <w:name w:val="正文(首行缩进) Char"/>
    <w:autoRedefine/>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8">
    <w:name w:val="汉议细等线简8"/>
    <w:autoRedefine/>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9">
    <w:name w:val="汉仪细等线简9BOLD"/>
    <w:basedOn w:val="1"/>
    <w:autoRedefine/>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40">
    <w:name w:val="mode"/>
    <w:basedOn w:val="44"/>
    <w:autoRedefine/>
    <w:qFormat/>
    <w:uiPriority w:val="0"/>
  </w:style>
  <w:style w:type="paragraph" w:customStyle="1" w:styleId="141">
    <w:name w:val="9"/>
    <w:basedOn w:val="1"/>
    <w:next w:val="7"/>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42">
    <w:name w:val="unnamed3"/>
    <w:basedOn w:val="44"/>
    <w:autoRedefine/>
    <w:qFormat/>
    <w:uiPriority w:val="0"/>
  </w:style>
  <w:style w:type="paragraph" w:customStyle="1" w:styleId="143">
    <w:name w:val="8"/>
    <w:basedOn w:val="1"/>
    <w:next w:val="19"/>
    <w:autoRedefine/>
    <w:qFormat/>
    <w:uiPriority w:val="0"/>
    <w:pPr>
      <w:spacing w:after="120"/>
      <w:ind w:left="420" w:leftChars="200"/>
    </w:pPr>
  </w:style>
  <w:style w:type="paragraph" w:customStyle="1" w:styleId="144">
    <w:name w:val="7"/>
    <w:basedOn w:val="1"/>
    <w:autoRedefine/>
    <w:qFormat/>
    <w:uiPriority w:val="0"/>
    <w:pPr>
      <w:autoSpaceDE w:val="0"/>
      <w:autoSpaceDN w:val="0"/>
      <w:adjustRightInd w:val="0"/>
      <w:spacing w:line="270" w:lineRule="atLeast"/>
      <w:jc w:val="left"/>
    </w:pPr>
    <w:rPr>
      <w:rFonts w:ascii="宋体"/>
      <w:kern w:val="0"/>
      <w:sz w:val="18"/>
      <w:szCs w:val="18"/>
    </w:rPr>
  </w:style>
  <w:style w:type="paragraph" w:customStyle="1" w:styleId="145">
    <w:name w:val="00"/>
    <w:basedOn w:val="1"/>
    <w:autoRedefine/>
    <w:qFormat/>
    <w:uiPriority w:val="0"/>
    <w:pPr>
      <w:autoSpaceDE w:val="0"/>
      <w:autoSpaceDN w:val="0"/>
      <w:adjustRightInd w:val="0"/>
      <w:jc w:val="left"/>
    </w:pPr>
    <w:rPr>
      <w:rFonts w:ascii="黑体" w:eastAsia="黑体"/>
      <w:b/>
      <w:bCs/>
      <w:kern w:val="0"/>
      <w:sz w:val="20"/>
      <w:szCs w:val="20"/>
    </w:rPr>
  </w:style>
  <w:style w:type="paragraph" w:customStyle="1" w:styleId="146">
    <w:name w:val="5"/>
    <w:basedOn w:val="1"/>
    <w:autoRedefine/>
    <w:qFormat/>
    <w:uiPriority w:val="0"/>
    <w:pPr>
      <w:autoSpaceDE w:val="0"/>
      <w:autoSpaceDN w:val="0"/>
      <w:adjustRightInd w:val="0"/>
      <w:jc w:val="left"/>
    </w:pPr>
    <w:rPr>
      <w:rFonts w:ascii="宋体"/>
      <w:b/>
      <w:bCs/>
      <w:kern w:val="0"/>
      <w:sz w:val="18"/>
      <w:szCs w:val="18"/>
    </w:rPr>
  </w:style>
  <w:style w:type="paragraph" w:customStyle="1" w:styleId="147">
    <w:name w:val="6"/>
    <w:basedOn w:val="146"/>
    <w:autoRedefine/>
    <w:qFormat/>
    <w:uiPriority w:val="0"/>
    <w:pPr>
      <w:spacing w:line="270" w:lineRule="atLeast"/>
      <w:jc w:val="both"/>
    </w:pPr>
    <w:rPr>
      <w:b w:val="0"/>
      <w:bCs w:val="0"/>
    </w:rPr>
  </w:style>
  <w:style w:type="paragraph" w:customStyle="1" w:styleId="148">
    <w:name w:val="产品描述"/>
    <w:autoRedefine/>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9">
    <w:name w:val="姜文清定义的正文"/>
    <w:basedOn w:val="1"/>
    <w:autoRedefine/>
    <w:qFormat/>
    <w:uiPriority w:val="0"/>
    <w:pPr>
      <w:spacing w:line="240" w:lineRule="atLeast"/>
      <w:ind w:firstLine="567"/>
    </w:pPr>
    <w:rPr>
      <w:szCs w:val="20"/>
    </w:rPr>
  </w:style>
  <w:style w:type="paragraph" w:customStyle="1" w:styleId="150">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51">
    <w:name w:val="CM2"/>
    <w:basedOn w:val="150"/>
    <w:next w:val="150"/>
    <w:autoRedefine/>
    <w:qFormat/>
    <w:uiPriority w:val="0"/>
    <w:pPr>
      <w:spacing w:line="200" w:lineRule="atLeast"/>
    </w:pPr>
    <w:rPr>
      <w:rFonts w:ascii="Arial" w:hAnsi="Arial" w:eastAsia="宋体" w:cs="Times New Roman"/>
      <w:color w:val="auto"/>
    </w:rPr>
  </w:style>
  <w:style w:type="paragraph" w:customStyle="1" w:styleId="152">
    <w:name w:val="Normal Paragraph"/>
    <w:basedOn w:val="1"/>
    <w:autoRedefine/>
    <w:qFormat/>
    <w:uiPriority w:val="0"/>
    <w:pPr>
      <w:widowControl/>
      <w:spacing w:before="120" w:line="360" w:lineRule="auto"/>
      <w:ind w:firstLine="425"/>
    </w:pPr>
    <w:rPr>
      <w:kern w:val="0"/>
      <w:sz w:val="24"/>
    </w:rPr>
  </w:style>
  <w:style w:type="character" w:customStyle="1" w:styleId="153">
    <w:name w:val="blue"/>
    <w:basedOn w:val="44"/>
    <w:autoRedefine/>
    <w:qFormat/>
    <w:uiPriority w:val="0"/>
  </w:style>
  <w:style w:type="paragraph" w:customStyle="1" w:styleId="154">
    <w:name w:val="blue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5">
    <w:name w:val="font"/>
    <w:basedOn w:val="44"/>
    <w:autoRedefine/>
    <w:qFormat/>
    <w:uiPriority w:val="0"/>
  </w:style>
  <w:style w:type="character" w:customStyle="1" w:styleId="156">
    <w:name w:val="font11"/>
    <w:autoRedefine/>
    <w:qFormat/>
    <w:uiPriority w:val="0"/>
    <w:rPr>
      <w:rFonts w:hint="default" w:ascii="ˎ̥" w:hAnsi="ˎ̥"/>
    </w:rPr>
  </w:style>
  <w:style w:type="paragraph" w:customStyle="1" w:styleId="157">
    <w:name w:val="a14"/>
    <w:basedOn w:val="1"/>
    <w:autoRedefine/>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8">
    <w:name w:val="proddescription"/>
    <w:basedOn w:val="44"/>
    <w:autoRedefine/>
    <w:qFormat/>
    <w:uiPriority w:val="0"/>
  </w:style>
  <w:style w:type="character" w:customStyle="1" w:styleId="159">
    <w:name w:val="prodheadlines"/>
    <w:basedOn w:val="44"/>
    <w:autoRedefine/>
    <w:qFormat/>
    <w:uiPriority w:val="0"/>
  </w:style>
  <w:style w:type="character" w:customStyle="1" w:styleId="160">
    <w:name w:val="text"/>
    <w:basedOn w:val="44"/>
    <w:autoRedefine/>
    <w:qFormat/>
    <w:uiPriority w:val="0"/>
  </w:style>
  <w:style w:type="paragraph" w:customStyle="1" w:styleId="161">
    <w:name w:val="tex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2">
    <w:name w:val="z-窗体顶端1"/>
    <w:basedOn w:val="1"/>
    <w:next w:val="1"/>
    <w:link w:val="197"/>
    <w:autoRedefine/>
    <w:qFormat/>
    <w:uiPriority w:val="0"/>
    <w:pPr>
      <w:widowControl/>
      <w:pBdr>
        <w:bottom w:val="single" w:color="auto" w:sz="6" w:space="1"/>
      </w:pBdr>
      <w:jc w:val="center"/>
    </w:pPr>
    <w:rPr>
      <w:rFonts w:ascii="Arial" w:hAnsi="Arial" w:cs="Arial"/>
      <w:vanish/>
      <w:kern w:val="0"/>
      <w:sz w:val="16"/>
      <w:szCs w:val="16"/>
    </w:rPr>
  </w:style>
  <w:style w:type="paragraph" w:customStyle="1" w:styleId="163">
    <w:name w:val="z-窗体底端1"/>
    <w:basedOn w:val="1"/>
    <w:next w:val="1"/>
    <w:autoRedefine/>
    <w:hidden/>
    <w:qFormat/>
    <w:uiPriority w:val="0"/>
    <w:pPr>
      <w:widowControl/>
      <w:pBdr>
        <w:top w:val="single" w:color="auto" w:sz="6" w:space="1"/>
      </w:pBdr>
      <w:jc w:val="center"/>
    </w:pPr>
    <w:rPr>
      <w:rFonts w:ascii="Arial" w:hAnsi="Arial" w:cs="Arial"/>
      <w:vanish/>
      <w:kern w:val="0"/>
      <w:sz w:val="16"/>
      <w:szCs w:val="16"/>
    </w:rPr>
  </w:style>
  <w:style w:type="paragraph" w:customStyle="1" w:styleId="164">
    <w:name w:val="正文样式"/>
    <w:basedOn w:val="1"/>
    <w:autoRedefine/>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65">
    <w:name w:val="xl34"/>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66">
    <w:name w:val="段落正文"/>
    <w:basedOn w:val="22"/>
    <w:autoRedefine/>
    <w:qFormat/>
    <w:uiPriority w:val="0"/>
    <w:pPr>
      <w:ind w:firstLine="560" w:firstLineChars="200"/>
    </w:pPr>
    <w:rPr>
      <w:sz w:val="28"/>
    </w:rPr>
  </w:style>
  <w:style w:type="character" w:customStyle="1" w:styleId="167">
    <w:name w:val="gray6"/>
    <w:basedOn w:val="44"/>
    <w:autoRedefine/>
    <w:qFormat/>
    <w:uiPriority w:val="0"/>
  </w:style>
  <w:style w:type="character" w:customStyle="1" w:styleId="168">
    <w:name w:val="style9"/>
    <w:basedOn w:val="44"/>
    <w:autoRedefine/>
    <w:qFormat/>
    <w:uiPriority w:val="0"/>
  </w:style>
  <w:style w:type="paragraph" w:customStyle="1" w:styleId="169">
    <w:name w:val="2册标题4"/>
    <w:basedOn w:val="1"/>
    <w:next w:val="1"/>
    <w:autoRedefine/>
    <w:qFormat/>
    <w:uiPriority w:val="0"/>
    <w:pPr>
      <w:spacing w:beforeLines="50" w:afterLines="50" w:line="300" w:lineRule="auto"/>
      <w:ind w:left="420" w:leftChars="200"/>
      <w:outlineLvl w:val="3"/>
    </w:pPr>
    <w:rPr>
      <w:rFonts w:ascii="Arial" w:hAnsi="Arial" w:eastAsia="幼圆" w:cs="Arial"/>
      <w:b/>
      <w:sz w:val="24"/>
    </w:rPr>
  </w:style>
  <w:style w:type="character" w:customStyle="1" w:styleId="170">
    <w:name w:val="grame"/>
    <w:basedOn w:val="44"/>
    <w:autoRedefine/>
    <w:qFormat/>
    <w:uiPriority w:val="0"/>
  </w:style>
  <w:style w:type="paragraph" w:customStyle="1" w:styleId="171">
    <w:name w:val="style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2">
    <w:name w:val="Char1"/>
    <w:basedOn w:val="1"/>
    <w:autoRedefine/>
    <w:qFormat/>
    <w:uiPriority w:val="0"/>
    <w:pPr>
      <w:jc w:val="left"/>
    </w:pPr>
    <w:rPr>
      <w:rFonts w:ascii="Tahoma" w:hAnsi="Tahoma"/>
      <w:sz w:val="24"/>
      <w:szCs w:val="20"/>
    </w:rPr>
  </w:style>
  <w:style w:type="paragraph" w:customStyle="1" w:styleId="173">
    <w:name w:val="编号1"/>
    <w:basedOn w:val="1"/>
    <w:autoRedefine/>
    <w:qFormat/>
    <w:uiPriority w:val="0"/>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174">
    <w:name w:val="Char Char Char Char Char Char Char 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175">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76">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7">
    <w:name w:val="font6"/>
    <w:basedOn w:val="1"/>
    <w:autoRedefine/>
    <w:qFormat/>
    <w:uiPriority w:val="0"/>
    <w:pPr>
      <w:widowControl/>
      <w:spacing w:before="100" w:beforeAutospacing="1" w:after="100" w:afterAutospacing="1"/>
      <w:jc w:val="left"/>
    </w:pPr>
    <w:rPr>
      <w:kern w:val="0"/>
      <w:sz w:val="24"/>
    </w:rPr>
  </w:style>
  <w:style w:type="paragraph" w:customStyle="1" w:styleId="178">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9">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0">
    <w:name w:val="表格字"/>
    <w:basedOn w:val="1"/>
    <w:autoRedefine/>
    <w:qFormat/>
    <w:uiPriority w:val="0"/>
    <w:pPr>
      <w:adjustRightInd w:val="0"/>
      <w:jc w:val="center"/>
    </w:pPr>
    <w:rPr>
      <w:rFonts w:ascii="宋体"/>
      <w:sz w:val="24"/>
      <w:szCs w:val="20"/>
    </w:rPr>
  </w:style>
  <w:style w:type="character" w:customStyle="1" w:styleId="181">
    <w:name w:val="样式 小三 加粗"/>
    <w:autoRedefine/>
    <w:qFormat/>
    <w:uiPriority w:val="0"/>
    <w:rPr>
      <w:rFonts w:eastAsia="宋体"/>
      <w:b/>
      <w:bCs/>
      <w:sz w:val="32"/>
    </w:rPr>
  </w:style>
  <w:style w:type="paragraph" w:customStyle="1" w:styleId="182">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3">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84">
    <w:name w:val="Char Char Char"/>
    <w:basedOn w:val="1"/>
    <w:autoRedefine/>
    <w:qFormat/>
    <w:uiPriority w:val="0"/>
    <w:rPr>
      <w:rFonts w:ascii="Tahoma" w:hAnsi="Tahoma"/>
      <w:sz w:val="24"/>
      <w:szCs w:val="20"/>
    </w:rPr>
  </w:style>
  <w:style w:type="paragraph" w:customStyle="1" w:styleId="185">
    <w:name w:val="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6">
    <w:name w:val="info4"/>
    <w:basedOn w:val="44"/>
    <w:autoRedefine/>
    <w:qFormat/>
    <w:uiPriority w:val="0"/>
  </w:style>
  <w:style w:type="paragraph" w:customStyle="1" w:styleId="187">
    <w:name w:val="缩进正文"/>
    <w:basedOn w:val="1"/>
    <w:link w:val="188"/>
    <w:autoRedefine/>
    <w:qFormat/>
    <w:uiPriority w:val="0"/>
    <w:pPr>
      <w:ind w:firstLine="560" w:firstLineChars="200"/>
    </w:pPr>
    <w:rPr>
      <w:rFonts w:eastAsia="仿宋_GB2312" w:cs="宋体"/>
      <w:sz w:val="28"/>
      <w:szCs w:val="20"/>
    </w:rPr>
  </w:style>
  <w:style w:type="character" w:customStyle="1" w:styleId="188">
    <w:name w:val="缩进正文 Char"/>
    <w:link w:val="187"/>
    <w:autoRedefine/>
    <w:qFormat/>
    <w:uiPriority w:val="0"/>
    <w:rPr>
      <w:rFonts w:eastAsia="仿宋_GB2312" w:cs="宋体"/>
      <w:kern w:val="2"/>
      <w:sz w:val="28"/>
      <w:lang w:val="en-US" w:eastAsia="zh-CN" w:bidi="ar-SA"/>
    </w:rPr>
  </w:style>
  <w:style w:type="paragraph" w:customStyle="1" w:styleId="189">
    <w:name w:val="列出段落1"/>
    <w:basedOn w:val="1"/>
    <w:link w:val="196"/>
    <w:autoRedefine/>
    <w:qFormat/>
    <w:uiPriority w:val="0"/>
    <w:pPr>
      <w:ind w:firstLine="420" w:firstLineChars="200"/>
    </w:pPr>
    <w:rPr>
      <w:rFonts w:ascii="Calibri" w:hAnsi="Calibri" w:cs="Calibri"/>
      <w:szCs w:val="21"/>
    </w:rPr>
  </w:style>
  <w:style w:type="character" w:customStyle="1" w:styleId="190">
    <w:name w:val="批注文字 Char"/>
    <w:basedOn w:val="44"/>
    <w:link w:val="16"/>
    <w:autoRedefine/>
    <w:semiHidden/>
    <w:qFormat/>
    <w:uiPriority w:val="0"/>
    <w:rPr>
      <w:rFonts w:ascii="宋体"/>
      <w:sz w:val="34"/>
    </w:rPr>
  </w:style>
  <w:style w:type="character" w:customStyle="1" w:styleId="191">
    <w:name w:val="批注主题 Char"/>
    <w:basedOn w:val="190"/>
    <w:link w:val="40"/>
    <w:autoRedefine/>
    <w:qFormat/>
    <w:uiPriority w:val="0"/>
    <w:rPr>
      <w:rFonts w:ascii="宋体"/>
      <w:sz w:val="34"/>
    </w:rPr>
  </w:style>
  <w:style w:type="paragraph" w:customStyle="1" w:styleId="192">
    <w:name w:val="评价"/>
    <w:basedOn w:val="1"/>
    <w:autoRedefine/>
    <w:qFormat/>
    <w:uiPriority w:val="0"/>
    <w:pPr>
      <w:spacing w:afterLines="20"/>
      <w:ind w:firstLine="1446" w:firstLineChars="200"/>
    </w:pPr>
    <w:rPr>
      <w:rFonts w:ascii="Calibri" w:hAnsi="Calibri"/>
      <w:sz w:val="24"/>
    </w:rPr>
  </w:style>
  <w:style w:type="paragraph" w:customStyle="1" w:styleId="193">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94">
    <w:name w:val="alt-edited1"/>
    <w:autoRedefine/>
    <w:qFormat/>
    <w:uiPriority w:val="0"/>
    <w:rPr>
      <w:color w:val="4D90F0"/>
    </w:rPr>
  </w:style>
  <w:style w:type="paragraph" w:customStyle="1" w:styleId="195">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196">
    <w:name w:val="列表段落 字符"/>
    <w:link w:val="189"/>
    <w:autoRedefine/>
    <w:qFormat/>
    <w:uiPriority w:val="0"/>
    <w:rPr>
      <w:rFonts w:ascii="Calibri" w:hAnsi="Calibri" w:cs="Calibri"/>
      <w:kern w:val="2"/>
      <w:sz w:val="21"/>
      <w:szCs w:val="21"/>
    </w:rPr>
  </w:style>
  <w:style w:type="character" w:customStyle="1" w:styleId="197">
    <w:name w:val="z-窗体顶端 Char1"/>
    <w:basedOn w:val="44"/>
    <w:link w:val="162"/>
    <w:autoRedefine/>
    <w:qFormat/>
    <w:uiPriority w:val="0"/>
    <w:rPr>
      <w:rFonts w:ascii="Arial" w:hAnsi="Arial" w:cs="Arial"/>
      <w:vanish/>
      <w:sz w:val="16"/>
      <w:szCs w:val="16"/>
    </w:rPr>
  </w:style>
  <w:style w:type="character" w:customStyle="1" w:styleId="198">
    <w:name w:val="*正文 Char"/>
    <w:link w:val="199"/>
    <w:autoRedefine/>
    <w:qFormat/>
    <w:uiPriority w:val="0"/>
    <w:rPr>
      <w:rFonts w:ascii="宋体" w:hAnsi="宋体"/>
      <w:sz w:val="24"/>
      <w:szCs w:val="24"/>
    </w:rPr>
  </w:style>
  <w:style w:type="paragraph" w:customStyle="1" w:styleId="199">
    <w:name w:val="*正文"/>
    <w:basedOn w:val="1"/>
    <w:link w:val="198"/>
    <w:autoRedefine/>
    <w:qFormat/>
    <w:uiPriority w:val="0"/>
    <w:pPr>
      <w:spacing w:line="360" w:lineRule="auto"/>
      <w:ind w:firstLine="200" w:firstLineChars="200"/>
    </w:pPr>
    <w:rPr>
      <w:rFonts w:ascii="宋体" w:hAnsi="宋体"/>
      <w:kern w:val="0"/>
      <w:sz w:val="24"/>
    </w:rPr>
  </w:style>
  <w:style w:type="character" w:customStyle="1" w:styleId="200">
    <w:name w:val="标题 4 Char1"/>
    <w:basedOn w:val="44"/>
    <w:autoRedefine/>
    <w:qFormat/>
    <w:uiPriority w:val="99"/>
    <w:rPr>
      <w:rFonts w:ascii="Arial" w:hAnsi="Arial" w:eastAsia="黑体"/>
      <w:b/>
      <w:bCs/>
      <w:kern w:val="2"/>
      <w:sz w:val="28"/>
      <w:szCs w:val="28"/>
    </w:rPr>
  </w:style>
  <w:style w:type="character" w:customStyle="1" w:styleId="201">
    <w:name w:val="hover"/>
    <w:basedOn w:val="44"/>
    <w:autoRedefine/>
    <w:qFormat/>
    <w:uiPriority w:val="0"/>
    <w:rPr>
      <w:color w:val="2590EB"/>
    </w:rPr>
  </w:style>
  <w:style w:type="character" w:customStyle="1" w:styleId="202">
    <w:name w:val="hover1"/>
    <w:basedOn w:val="44"/>
    <w:autoRedefine/>
    <w:qFormat/>
    <w:uiPriority w:val="0"/>
    <w:rPr>
      <w:color w:val="2590EB"/>
    </w:rPr>
  </w:style>
  <w:style w:type="character" w:customStyle="1" w:styleId="203">
    <w:name w:val="hover2"/>
    <w:basedOn w:val="44"/>
    <w:autoRedefine/>
    <w:qFormat/>
    <w:uiPriority w:val="0"/>
  </w:style>
  <w:style w:type="character" w:customStyle="1" w:styleId="204">
    <w:name w:val="hover3"/>
    <w:basedOn w:val="44"/>
    <w:autoRedefine/>
    <w:qFormat/>
    <w:uiPriority w:val="0"/>
    <w:rPr>
      <w:color w:val="2590EB"/>
      <w:shd w:val="clear" w:fill="E9F4F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938F0D-685D-4760-87A5-484591DE7A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78</Pages>
  <Words>55169</Words>
  <Characters>8584</Characters>
  <Lines>71</Lines>
  <Paragraphs>127</Paragraphs>
  <TotalTime>35</TotalTime>
  <ScaleCrop>false</ScaleCrop>
  <LinksUpToDate>false</LinksUpToDate>
  <CharactersWithSpaces>63626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2022-01-27T03:49:00Z</dcterms:created>
  <dc:creator>thsware</dc:creator>
  <cp:lastModifiedBy>中正招标罗敏仪</cp:lastModifiedBy>
  <cp:lastPrinted>2021-11-29T11:53:00Z</cp:lastPrinted>
  <dcterms:modified xsi:type="dcterms:W3CDTF">2024-04-17T06:30:46Z</dcterms:modified>
  <dc:title>招  标　文　件</dc:title>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B92BCEBCE850491B8516E56E65171A17</vt:lpwstr>
  </property>
</Properties>
</file>